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18AF5">
      <w:pPr>
        <w:jc w:val="center"/>
        <w:rPr>
          <w:rFonts w:hint="eastAsia" w:ascii="宋体" w:hAnsi="宋体"/>
          <w:b/>
          <w:color w:val="auto"/>
          <w:sz w:val="44"/>
          <w:szCs w:val="44"/>
          <w:highlight w:val="none"/>
          <w:lang w:val="en-US" w:eastAsia="zh-CN"/>
        </w:rPr>
      </w:pPr>
      <w:bookmarkStart w:id="0" w:name="_Toc287620665"/>
    </w:p>
    <w:p w14:paraId="228357BD">
      <w:pPr>
        <w:jc w:val="center"/>
        <w:rPr>
          <w:rFonts w:hint="eastAsia" w:ascii="宋体" w:hAnsi="宋体" w:eastAsia="宋体"/>
          <w:b/>
          <w:color w:val="auto"/>
          <w:sz w:val="44"/>
          <w:szCs w:val="44"/>
          <w:highlight w:val="none"/>
          <w:lang w:val="en-US" w:eastAsia="zh-CN"/>
        </w:rPr>
      </w:pPr>
      <w:r>
        <w:rPr>
          <w:rFonts w:hint="eastAsia" w:ascii="宋体" w:hAnsi="宋体"/>
          <w:b/>
          <w:color w:val="auto"/>
          <w:sz w:val="44"/>
          <w:szCs w:val="44"/>
          <w:highlight w:val="none"/>
          <w:lang w:val="en-US" w:eastAsia="zh-CN"/>
        </w:rPr>
        <w:t xml:space="preserve"> </w:t>
      </w:r>
    </w:p>
    <w:p w14:paraId="6B37F065">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lang w:eastAsia="zh-CN"/>
        </w:rPr>
        <w:t>广阳镇部分区域土地管护</w:t>
      </w:r>
      <w:r>
        <w:rPr>
          <w:rFonts w:hint="eastAsia" w:ascii="宋体" w:hAnsi="宋体"/>
          <w:color w:val="auto"/>
          <w:kern w:val="0"/>
          <w:sz w:val="32"/>
          <w:szCs w:val="32"/>
          <w:highlight w:val="none"/>
          <w:u w:val="single"/>
        </w:rPr>
        <w:t>（项目名称）</w:t>
      </w:r>
    </w:p>
    <w:p w14:paraId="4F526C0C">
      <w:pPr>
        <w:autoSpaceDE w:val="0"/>
        <w:autoSpaceDN w:val="0"/>
        <w:adjustRightInd w:val="0"/>
        <w:snapToGrid w:val="0"/>
        <w:spacing w:line="360" w:lineRule="auto"/>
        <w:jc w:val="left"/>
        <w:rPr>
          <w:rFonts w:ascii="宋体" w:hAnsi="宋体"/>
          <w:color w:val="auto"/>
          <w:kern w:val="0"/>
          <w:sz w:val="20"/>
          <w:szCs w:val="20"/>
          <w:highlight w:val="none"/>
        </w:rPr>
      </w:pPr>
    </w:p>
    <w:p w14:paraId="2E57F855">
      <w:pPr>
        <w:autoSpaceDE w:val="0"/>
        <w:autoSpaceDN w:val="0"/>
        <w:adjustRightInd w:val="0"/>
        <w:snapToGrid w:val="0"/>
        <w:spacing w:line="360" w:lineRule="auto"/>
        <w:jc w:val="left"/>
        <w:rPr>
          <w:rFonts w:ascii="宋体" w:hAnsi="宋体"/>
          <w:color w:val="auto"/>
          <w:kern w:val="0"/>
          <w:sz w:val="20"/>
          <w:szCs w:val="20"/>
          <w:highlight w:val="none"/>
        </w:rPr>
      </w:pPr>
    </w:p>
    <w:p w14:paraId="089C81E9">
      <w:pPr>
        <w:autoSpaceDE w:val="0"/>
        <w:autoSpaceDN w:val="0"/>
        <w:adjustRightInd w:val="0"/>
        <w:snapToGrid w:val="0"/>
        <w:spacing w:line="360" w:lineRule="auto"/>
        <w:jc w:val="left"/>
        <w:rPr>
          <w:rFonts w:ascii="宋体" w:hAnsi="宋体"/>
          <w:color w:val="auto"/>
          <w:kern w:val="0"/>
          <w:sz w:val="20"/>
          <w:szCs w:val="20"/>
          <w:highlight w:val="none"/>
        </w:rPr>
      </w:pPr>
    </w:p>
    <w:p w14:paraId="1A66EF06">
      <w:pPr>
        <w:autoSpaceDE w:val="0"/>
        <w:autoSpaceDN w:val="0"/>
        <w:adjustRightInd w:val="0"/>
        <w:snapToGrid w:val="0"/>
        <w:spacing w:line="360" w:lineRule="auto"/>
        <w:jc w:val="left"/>
        <w:rPr>
          <w:rFonts w:ascii="宋体" w:hAnsi="宋体"/>
          <w:color w:val="auto"/>
          <w:kern w:val="0"/>
          <w:sz w:val="20"/>
          <w:szCs w:val="20"/>
          <w:highlight w:val="none"/>
        </w:rPr>
      </w:pPr>
    </w:p>
    <w:p w14:paraId="55F24D92">
      <w:pPr>
        <w:autoSpaceDE w:val="0"/>
        <w:autoSpaceDN w:val="0"/>
        <w:adjustRightInd w:val="0"/>
        <w:snapToGrid w:val="0"/>
        <w:spacing w:line="360" w:lineRule="auto"/>
        <w:jc w:val="left"/>
        <w:rPr>
          <w:rFonts w:ascii="宋体" w:hAnsi="宋体"/>
          <w:color w:val="auto"/>
          <w:kern w:val="0"/>
          <w:sz w:val="20"/>
          <w:szCs w:val="20"/>
          <w:highlight w:val="none"/>
        </w:rPr>
      </w:pPr>
    </w:p>
    <w:p w14:paraId="4318BB2B">
      <w:pPr>
        <w:autoSpaceDE w:val="0"/>
        <w:autoSpaceDN w:val="0"/>
        <w:adjustRightInd w:val="0"/>
        <w:snapToGrid w:val="0"/>
        <w:spacing w:line="360" w:lineRule="auto"/>
        <w:jc w:val="left"/>
        <w:rPr>
          <w:rFonts w:ascii="宋体" w:hAnsi="宋体"/>
          <w:color w:val="auto"/>
          <w:kern w:val="0"/>
          <w:sz w:val="20"/>
          <w:szCs w:val="20"/>
          <w:highlight w:val="none"/>
        </w:rPr>
      </w:pPr>
    </w:p>
    <w:p w14:paraId="0D810AF4">
      <w:pPr>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lang w:val="en-US" w:eastAsia="zh-CN"/>
        </w:rPr>
        <w:t>竞争性比选</w:t>
      </w:r>
      <w:r>
        <w:rPr>
          <w:rFonts w:ascii="宋体" w:hAnsi="宋体"/>
          <w:color w:val="auto"/>
          <w:kern w:val="0"/>
          <w:sz w:val="72"/>
          <w:szCs w:val="72"/>
          <w:highlight w:val="none"/>
        </w:rPr>
        <w:t>文件</w:t>
      </w:r>
    </w:p>
    <w:p w14:paraId="6F686744">
      <w:pPr>
        <w:autoSpaceDE w:val="0"/>
        <w:autoSpaceDN w:val="0"/>
        <w:adjustRightInd w:val="0"/>
        <w:snapToGrid w:val="0"/>
        <w:spacing w:line="360" w:lineRule="auto"/>
        <w:jc w:val="left"/>
        <w:rPr>
          <w:rFonts w:ascii="宋体" w:hAnsi="宋体"/>
          <w:color w:val="auto"/>
          <w:kern w:val="0"/>
          <w:sz w:val="10"/>
          <w:szCs w:val="10"/>
          <w:highlight w:val="none"/>
        </w:rPr>
      </w:pPr>
    </w:p>
    <w:p w14:paraId="574B92F8">
      <w:pPr>
        <w:autoSpaceDE w:val="0"/>
        <w:autoSpaceDN w:val="0"/>
        <w:adjustRightInd w:val="0"/>
        <w:snapToGrid w:val="0"/>
        <w:spacing w:line="360" w:lineRule="auto"/>
        <w:jc w:val="left"/>
        <w:rPr>
          <w:rFonts w:ascii="宋体" w:hAnsi="宋体"/>
          <w:color w:val="auto"/>
          <w:kern w:val="0"/>
          <w:sz w:val="20"/>
          <w:szCs w:val="20"/>
          <w:highlight w:val="none"/>
        </w:rPr>
      </w:pPr>
    </w:p>
    <w:p w14:paraId="580D8966">
      <w:pPr>
        <w:autoSpaceDE w:val="0"/>
        <w:autoSpaceDN w:val="0"/>
        <w:adjustRightInd w:val="0"/>
        <w:snapToGrid w:val="0"/>
        <w:spacing w:line="360" w:lineRule="auto"/>
        <w:jc w:val="left"/>
        <w:rPr>
          <w:rFonts w:ascii="宋体" w:hAnsi="宋体"/>
          <w:color w:val="auto"/>
          <w:kern w:val="0"/>
          <w:sz w:val="20"/>
          <w:szCs w:val="20"/>
          <w:highlight w:val="none"/>
        </w:rPr>
      </w:pPr>
    </w:p>
    <w:p w14:paraId="692B3470">
      <w:pPr>
        <w:autoSpaceDE w:val="0"/>
        <w:autoSpaceDN w:val="0"/>
        <w:adjustRightInd w:val="0"/>
        <w:snapToGrid w:val="0"/>
        <w:spacing w:line="360" w:lineRule="auto"/>
        <w:jc w:val="left"/>
        <w:rPr>
          <w:rFonts w:ascii="宋体" w:hAnsi="宋体"/>
          <w:color w:val="auto"/>
          <w:kern w:val="0"/>
          <w:sz w:val="20"/>
          <w:szCs w:val="20"/>
          <w:highlight w:val="none"/>
        </w:rPr>
      </w:pPr>
    </w:p>
    <w:p w14:paraId="009C6040">
      <w:pPr>
        <w:autoSpaceDE w:val="0"/>
        <w:autoSpaceDN w:val="0"/>
        <w:adjustRightInd w:val="0"/>
        <w:snapToGrid w:val="0"/>
        <w:spacing w:line="360" w:lineRule="auto"/>
        <w:jc w:val="left"/>
        <w:rPr>
          <w:rFonts w:ascii="宋体" w:hAnsi="宋体"/>
          <w:color w:val="auto"/>
          <w:kern w:val="0"/>
          <w:sz w:val="20"/>
          <w:szCs w:val="20"/>
          <w:highlight w:val="none"/>
        </w:rPr>
      </w:pPr>
    </w:p>
    <w:p w14:paraId="7A25C312">
      <w:pPr>
        <w:autoSpaceDE w:val="0"/>
        <w:autoSpaceDN w:val="0"/>
        <w:adjustRightInd w:val="0"/>
        <w:snapToGrid w:val="0"/>
        <w:spacing w:line="360" w:lineRule="auto"/>
        <w:jc w:val="left"/>
        <w:rPr>
          <w:rFonts w:ascii="宋体" w:hAnsi="宋体"/>
          <w:color w:val="auto"/>
          <w:kern w:val="0"/>
          <w:sz w:val="20"/>
          <w:szCs w:val="20"/>
          <w:highlight w:val="none"/>
        </w:rPr>
      </w:pPr>
    </w:p>
    <w:p w14:paraId="2FE8D60B">
      <w:pPr>
        <w:autoSpaceDE w:val="0"/>
        <w:autoSpaceDN w:val="0"/>
        <w:adjustRightInd w:val="0"/>
        <w:snapToGrid w:val="0"/>
        <w:spacing w:line="360" w:lineRule="auto"/>
        <w:jc w:val="left"/>
        <w:rPr>
          <w:rFonts w:ascii="宋体" w:hAnsi="宋体"/>
          <w:color w:val="auto"/>
          <w:kern w:val="0"/>
          <w:sz w:val="20"/>
          <w:szCs w:val="20"/>
          <w:highlight w:val="none"/>
        </w:rPr>
      </w:pPr>
    </w:p>
    <w:p w14:paraId="7B92DC6B">
      <w:pPr>
        <w:autoSpaceDE w:val="0"/>
        <w:autoSpaceDN w:val="0"/>
        <w:adjustRightInd w:val="0"/>
        <w:snapToGrid w:val="0"/>
        <w:spacing w:line="360" w:lineRule="auto"/>
        <w:jc w:val="left"/>
        <w:rPr>
          <w:rFonts w:ascii="宋体" w:hAnsi="宋体"/>
          <w:color w:val="auto"/>
          <w:kern w:val="0"/>
          <w:sz w:val="20"/>
          <w:szCs w:val="20"/>
          <w:highlight w:val="none"/>
        </w:rPr>
      </w:pPr>
    </w:p>
    <w:p w14:paraId="44D100B5">
      <w:pPr>
        <w:autoSpaceDE w:val="0"/>
        <w:autoSpaceDN w:val="0"/>
        <w:adjustRightInd w:val="0"/>
        <w:snapToGrid w:val="0"/>
        <w:spacing w:line="360" w:lineRule="auto"/>
        <w:rPr>
          <w:rFonts w:ascii="宋体" w:hAnsi="宋体"/>
          <w:color w:val="auto"/>
          <w:kern w:val="0"/>
          <w:sz w:val="20"/>
          <w:szCs w:val="20"/>
          <w:highlight w:val="none"/>
        </w:rPr>
      </w:pPr>
    </w:p>
    <w:p w14:paraId="1F03805D">
      <w:pPr>
        <w:autoSpaceDE w:val="0"/>
        <w:autoSpaceDN w:val="0"/>
        <w:adjustRightInd w:val="0"/>
        <w:snapToGrid w:val="0"/>
        <w:spacing w:line="360" w:lineRule="auto"/>
        <w:jc w:val="left"/>
        <w:rPr>
          <w:rFonts w:ascii="宋体" w:hAnsi="宋体"/>
          <w:color w:val="auto"/>
          <w:kern w:val="0"/>
          <w:sz w:val="20"/>
          <w:szCs w:val="20"/>
          <w:highlight w:val="none"/>
        </w:rPr>
      </w:pPr>
    </w:p>
    <w:p w14:paraId="5B6F1BD6">
      <w:pPr>
        <w:autoSpaceDE w:val="0"/>
        <w:autoSpaceDN w:val="0"/>
        <w:adjustRightInd w:val="0"/>
        <w:snapToGrid w:val="0"/>
        <w:spacing w:line="360" w:lineRule="auto"/>
        <w:rPr>
          <w:rFonts w:ascii="宋体" w:hAnsi="宋体"/>
          <w:color w:val="auto"/>
          <w:kern w:val="0"/>
          <w:sz w:val="20"/>
          <w:szCs w:val="20"/>
          <w:highlight w:val="none"/>
        </w:rPr>
      </w:pPr>
    </w:p>
    <w:p w14:paraId="34A9139D">
      <w:pPr>
        <w:autoSpaceDE w:val="0"/>
        <w:autoSpaceDN w:val="0"/>
        <w:adjustRightInd w:val="0"/>
        <w:snapToGrid w:val="0"/>
        <w:spacing w:line="360" w:lineRule="auto"/>
        <w:rPr>
          <w:rFonts w:ascii="宋体" w:hAnsi="宋体"/>
          <w:color w:val="auto"/>
          <w:kern w:val="0"/>
          <w:sz w:val="20"/>
          <w:szCs w:val="20"/>
          <w:highlight w:val="none"/>
        </w:rPr>
      </w:pPr>
    </w:p>
    <w:p w14:paraId="778F91EB">
      <w:pPr>
        <w:autoSpaceDE w:val="0"/>
        <w:autoSpaceDN w:val="0"/>
        <w:adjustRightInd w:val="0"/>
        <w:snapToGrid w:val="0"/>
        <w:spacing w:line="360" w:lineRule="auto"/>
        <w:rPr>
          <w:rFonts w:ascii="宋体" w:hAnsi="宋体"/>
          <w:color w:val="auto"/>
          <w:kern w:val="0"/>
          <w:sz w:val="20"/>
          <w:szCs w:val="20"/>
          <w:highlight w:val="none"/>
        </w:rPr>
      </w:pPr>
    </w:p>
    <w:p w14:paraId="111C33FF">
      <w:pPr>
        <w:tabs>
          <w:tab w:val="left" w:pos="6219"/>
        </w:tabs>
        <w:autoSpaceDE w:val="0"/>
        <w:autoSpaceDN w:val="0"/>
        <w:adjustRightInd w:val="0"/>
        <w:snapToGrid w:val="0"/>
        <w:spacing w:line="360" w:lineRule="auto"/>
        <w:jc w:val="center"/>
        <w:rPr>
          <w:rFonts w:ascii="宋体" w:hAnsi="宋体"/>
          <w:b/>
          <w:color w:val="auto"/>
          <w:w w:val="99"/>
          <w:kern w:val="0"/>
          <w:sz w:val="28"/>
          <w:szCs w:val="28"/>
          <w:highlight w:val="none"/>
        </w:rPr>
      </w:pPr>
      <w:r>
        <w:rPr>
          <w:rFonts w:hint="eastAsia" w:ascii="宋体" w:hAnsi="宋体" w:cs="Times New Roman"/>
          <w:b/>
          <w:color w:val="auto"/>
          <w:spacing w:val="8"/>
          <w:kern w:val="0"/>
          <w:sz w:val="28"/>
          <w:szCs w:val="28"/>
          <w:highlight w:val="none"/>
          <w:lang w:val="en-US" w:eastAsia="zh-CN"/>
        </w:rPr>
        <w:t>比选</w:t>
      </w:r>
      <w:r>
        <w:rPr>
          <w:rFonts w:hint="eastAsia" w:ascii="宋体" w:hAnsi="宋体" w:cs="Times New Roman"/>
          <w:b/>
          <w:color w:val="auto"/>
          <w:spacing w:val="8"/>
          <w:kern w:val="0"/>
          <w:sz w:val="28"/>
          <w:szCs w:val="28"/>
          <w:highlight w:val="none"/>
          <w:lang w:eastAsia="zh-CN"/>
        </w:rPr>
        <w:t>人：</w:t>
      </w:r>
      <w:r>
        <w:rPr>
          <w:rFonts w:hint="eastAsia" w:ascii="宋体" w:hAnsi="宋体" w:cs="Times New Roman"/>
          <w:b/>
          <w:bCs/>
          <w:color w:val="auto"/>
          <w:kern w:val="0"/>
          <w:sz w:val="28"/>
          <w:szCs w:val="28"/>
          <w:highlight w:val="none"/>
          <w:u w:val="single"/>
          <w:lang w:val="en-US" w:eastAsia="zh-CN"/>
        </w:rPr>
        <w:t>重庆广阳湾生态城投资发展集团有限公司</w:t>
      </w:r>
      <w:r>
        <w:rPr>
          <w:rFonts w:ascii="宋体" w:hAnsi="宋体"/>
          <w:b/>
          <w:color w:val="auto"/>
          <w:w w:val="99"/>
          <w:kern w:val="0"/>
          <w:sz w:val="28"/>
          <w:szCs w:val="28"/>
          <w:highlight w:val="none"/>
        </w:rPr>
        <w:t>（</w:t>
      </w:r>
      <w:r>
        <w:rPr>
          <w:rFonts w:ascii="宋体" w:hAnsi="宋体" w:cs="Times New Roman"/>
          <w:b/>
          <w:color w:val="auto"/>
          <w:w w:val="99"/>
          <w:kern w:val="0"/>
          <w:sz w:val="28"/>
          <w:szCs w:val="28"/>
          <w:highlight w:val="none"/>
        </w:rPr>
        <w:t>盖单位法人章）</w:t>
      </w:r>
    </w:p>
    <w:p w14:paraId="50CD5F93">
      <w:pPr>
        <w:tabs>
          <w:tab w:val="left" w:pos="6252"/>
        </w:tabs>
        <w:autoSpaceDE w:val="0"/>
        <w:autoSpaceDN w:val="0"/>
        <w:adjustRightInd w:val="0"/>
        <w:snapToGrid w:val="0"/>
        <w:spacing w:line="360" w:lineRule="auto"/>
        <w:jc w:val="center"/>
        <w:rPr>
          <w:rFonts w:ascii="宋体" w:hAnsi="宋体"/>
          <w:b/>
          <w:color w:val="auto"/>
          <w:w w:val="99"/>
          <w:kern w:val="0"/>
          <w:sz w:val="28"/>
          <w:szCs w:val="28"/>
          <w:highlight w:val="none"/>
        </w:rPr>
      </w:pPr>
      <w:r>
        <w:rPr>
          <w:rFonts w:hint="eastAsia" w:ascii="宋体" w:hAnsi="宋体"/>
          <w:b/>
          <w:color w:val="auto"/>
          <w:spacing w:val="8"/>
          <w:kern w:val="0"/>
          <w:sz w:val="28"/>
          <w:szCs w:val="28"/>
          <w:highlight w:val="none"/>
          <w:lang w:eastAsia="zh-CN"/>
        </w:rPr>
        <w:t>比选代理机构</w:t>
      </w:r>
      <w:r>
        <w:rPr>
          <w:rFonts w:ascii="宋体" w:hAnsi="宋体"/>
          <w:b/>
          <w:color w:val="auto"/>
          <w:spacing w:val="8"/>
          <w:kern w:val="0"/>
          <w:sz w:val="28"/>
          <w:szCs w:val="28"/>
          <w:highlight w:val="none"/>
        </w:rPr>
        <w:t>：</w:t>
      </w:r>
      <w:r>
        <w:rPr>
          <w:rFonts w:hint="eastAsia" w:ascii="宋体" w:hAnsi="宋体"/>
          <w:b/>
          <w:bCs/>
          <w:color w:val="auto"/>
          <w:kern w:val="0"/>
          <w:sz w:val="28"/>
          <w:szCs w:val="28"/>
          <w:highlight w:val="none"/>
          <w:u w:val="single"/>
          <w:lang w:val="en-US" w:eastAsia="zh-CN"/>
        </w:rPr>
        <w:t xml:space="preserve">重庆得皓工程项目管理咨询有限公司 </w:t>
      </w:r>
      <w:r>
        <w:rPr>
          <w:rFonts w:ascii="宋体" w:hAnsi="宋体"/>
          <w:b/>
          <w:color w:val="auto"/>
          <w:w w:val="99"/>
          <w:kern w:val="0"/>
          <w:sz w:val="28"/>
          <w:szCs w:val="28"/>
          <w:highlight w:val="none"/>
        </w:rPr>
        <w:t>（盖单位法人章）</w:t>
      </w:r>
    </w:p>
    <w:p w14:paraId="7A22F7BF">
      <w:pPr>
        <w:autoSpaceDE w:val="0"/>
        <w:autoSpaceDN w:val="0"/>
        <w:adjustRightInd w:val="0"/>
        <w:snapToGrid w:val="0"/>
        <w:spacing w:line="360" w:lineRule="auto"/>
        <w:jc w:val="center"/>
        <w:rPr>
          <w:rFonts w:ascii="宋体" w:hAnsi="宋体"/>
          <w:b/>
          <w:color w:val="auto"/>
          <w:kern w:val="0"/>
          <w:sz w:val="20"/>
          <w:szCs w:val="20"/>
          <w:highlight w:val="none"/>
        </w:rPr>
      </w:pPr>
    </w:p>
    <w:p w14:paraId="1E5DBD2E">
      <w:pPr>
        <w:autoSpaceDE w:val="0"/>
        <w:autoSpaceDN w:val="0"/>
        <w:adjustRightInd w:val="0"/>
        <w:snapToGrid w:val="0"/>
        <w:spacing w:line="360" w:lineRule="auto"/>
        <w:jc w:val="center"/>
        <w:rPr>
          <w:rFonts w:ascii="宋体" w:hAnsi="宋体"/>
          <w:b/>
          <w:color w:val="auto"/>
          <w:kern w:val="0"/>
          <w:sz w:val="28"/>
          <w:szCs w:val="28"/>
          <w:highlight w:val="none"/>
        </w:rPr>
      </w:pPr>
    </w:p>
    <w:p w14:paraId="36A88D9A">
      <w:pPr>
        <w:autoSpaceDE w:val="0"/>
        <w:autoSpaceDN w:val="0"/>
        <w:adjustRightInd w:val="0"/>
        <w:snapToGrid w:val="0"/>
        <w:spacing w:line="360" w:lineRule="auto"/>
        <w:jc w:val="center"/>
        <w:rPr>
          <w:rFonts w:ascii="宋体" w:hAnsi="宋体"/>
          <w:b/>
          <w:color w:val="auto"/>
          <w:kern w:val="0"/>
          <w:sz w:val="28"/>
          <w:szCs w:val="28"/>
          <w:highlight w:val="none"/>
        </w:rPr>
      </w:pPr>
    </w:p>
    <w:p w14:paraId="1F9EB0F5">
      <w:pPr>
        <w:autoSpaceDE w:val="0"/>
        <w:autoSpaceDN w:val="0"/>
        <w:adjustRightInd w:val="0"/>
        <w:snapToGrid w:val="0"/>
        <w:spacing w:line="360" w:lineRule="auto"/>
        <w:rPr>
          <w:rFonts w:ascii="宋体" w:hAnsi="宋体"/>
          <w:b/>
          <w:color w:val="auto"/>
          <w:kern w:val="0"/>
          <w:sz w:val="20"/>
          <w:szCs w:val="20"/>
          <w:highlight w:val="none"/>
        </w:rPr>
      </w:pPr>
    </w:p>
    <w:p w14:paraId="480D616A">
      <w:pPr>
        <w:tabs>
          <w:tab w:val="left" w:pos="6252"/>
        </w:tabs>
        <w:autoSpaceDE w:val="0"/>
        <w:autoSpaceDN w:val="0"/>
        <w:adjustRightInd w:val="0"/>
        <w:snapToGrid w:val="0"/>
        <w:spacing w:line="360" w:lineRule="auto"/>
        <w:jc w:val="center"/>
        <w:rPr>
          <w:rFonts w:ascii="宋体" w:hAnsi="宋体"/>
          <w:bCs/>
          <w:color w:val="auto"/>
          <w:spacing w:val="8"/>
          <w:kern w:val="0"/>
          <w:sz w:val="28"/>
          <w:szCs w:val="28"/>
          <w:highlight w:val="none"/>
        </w:rPr>
      </w:pPr>
      <w:bookmarkStart w:id="1" w:name="_Toc509218549"/>
      <w:bookmarkStart w:id="2" w:name="_Toc536796736"/>
      <w:bookmarkStart w:id="3" w:name="_Toc536621766"/>
      <w:bookmarkStart w:id="4" w:name="_Toc13210649"/>
      <w:bookmarkStart w:id="5" w:name="_Toc536797277"/>
      <w:r>
        <w:rPr>
          <w:rFonts w:hint="eastAsia" w:ascii="宋体" w:hAnsi="宋体"/>
          <w:b/>
          <w:color w:val="auto"/>
          <w:spacing w:val="8"/>
          <w:kern w:val="0"/>
          <w:sz w:val="28"/>
          <w:szCs w:val="28"/>
          <w:highlight w:val="none"/>
          <w:u w:val="single"/>
          <w:lang w:val="en-US" w:eastAsia="zh-CN"/>
        </w:rPr>
        <w:t>2025</w:t>
      </w:r>
      <w:r>
        <w:rPr>
          <w:rFonts w:ascii="宋体" w:hAnsi="宋体"/>
          <w:b/>
          <w:color w:val="auto"/>
          <w:spacing w:val="8"/>
          <w:kern w:val="0"/>
          <w:sz w:val="28"/>
          <w:szCs w:val="28"/>
          <w:highlight w:val="none"/>
        </w:rPr>
        <w:t>年</w:t>
      </w:r>
      <w:r>
        <w:rPr>
          <w:rFonts w:hint="eastAsia" w:ascii="宋体" w:hAnsi="宋体"/>
          <w:b/>
          <w:color w:val="auto"/>
          <w:spacing w:val="8"/>
          <w:kern w:val="0"/>
          <w:sz w:val="28"/>
          <w:szCs w:val="28"/>
          <w:highlight w:val="none"/>
          <w:u w:val="single"/>
          <w:lang w:val="en-US" w:eastAsia="zh-CN"/>
        </w:rPr>
        <w:t>2</w:t>
      </w:r>
      <w:r>
        <w:rPr>
          <w:rFonts w:ascii="宋体" w:hAnsi="宋体"/>
          <w:b/>
          <w:color w:val="auto"/>
          <w:spacing w:val="8"/>
          <w:kern w:val="0"/>
          <w:sz w:val="28"/>
          <w:szCs w:val="28"/>
          <w:highlight w:val="none"/>
        </w:rPr>
        <w:t>月</w:t>
      </w:r>
      <w:bookmarkEnd w:id="1"/>
      <w:bookmarkEnd w:id="2"/>
      <w:bookmarkEnd w:id="3"/>
      <w:bookmarkEnd w:id="4"/>
      <w:bookmarkEnd w:id="5"/>
    </w:p>
    <w:p w14:paraId="71606E1C">
      <w:pPr>
        <w:pStyle w:val="2"/>
        <w:spacing w:line="360" w:lineRule="auto"/>
        <w:jc w:val="center"/>
        <w:rPr>
          <w:rFonts w:ascii="宋体" w:hAnsi="宋体"/>
          <w:color w:val="auto"/>
          <w:w w:val="99"/>
          <w:kern w:val="0"/>
          <w:sz w:val="24"/>
          <w:highlight w:val="none"/>
        </w:rPr>
        <w:sectPr>
          <w:headerReference r:id="rId3" w:type="default"/>
          <w:footerReference r:id="rId4" w:type="default"/>
          <w:pgSz w:w="11907" w:h="16840"/>
          <w:pgMar w:top="1304" w:right="1134" w:bottom="1304" w:left="1304" w:header="851" w:footer="992" w:gutter="0"/>
          <w:pgNumType w:fmt="numberInDash" w:start="1"/>
          <w:cols w:space="720" w:num="1"/>
          <w:docGrid w:linePitch="312" w:charSpace="0"/>
        </w:sectPr>
      </w:pPr>
    </w:p>
    <w:p w14:paraId="7EF4C312">
      <w:pPr>
        <w:pStyle w:val="120"/>
        <w:jc w:val="center"/>
        <w:rPr>
          <w:rFonts w:ascii="宋体" w:hAnsi="宋体"/>
          <w:color w:val="auto"/>
          <w:sz w:val="44"/>
          <w:szCs w:val="44"/>
          <w:highlight w:val="none"/>
        </w:rPr>
      </w:pPr>
      <w:bookmarkStart w:id="6" w:name="_Toc5767"/>
      <w:bookmarkStart w:id="7" w:name="_Toc28843"/>
      <w:r>
        <w:rPr>
          <w:rFonts w:ascii="宋体" w:hAnsi="宋体"/>
          <w:color w:val="auto"/>
          <w:sz w:val="44"/>
          <w:szCs w:val="44"/>
          <w:highlight w:val="none"/>
          <w:lang w:val="zh-CN"/>
        </w:rPr>
        <w:t>目</w:t>
      </w:r>
      <w:r>
        <w:rPr>
          <w:rFonts w:hint="eastAsia" w:ascii="宋体" w:hAnsi="宋体"/>
          <w:color w:val="auto"/>
          <w:sz w:val="44"/>
          <w:szCs w:val="44"/>
          <w:highlight w:val="none"/>
          <w:lang w:val="zh-CN"/>
        </w:rPr>
        <w:t xml:space="preserve"> </w:t>
      </w:r>
      <w:r>
        <w:rPr>
          <w:rFonts w:ascii="宋体" w:hAnsi="宋体"/>
          <w:color w:val="auto"/>
          <w:sz w:val="44"/>
          <w:szCs w:val="44"/>
          <w:highlight w:val="none"/>
          <w:lang w:val="zh-CN"/>
        </w:rPr>
        <w:t>录</w:t>
      </w:r>
      <w:bookmarkEnd w:id="6"/>
      <w:bookmarkEnd w:id="7"/>
    </w:p>
    <w:p w14:paraId="1FB6D797">
      <w:pPr>
        <w:pStyle w:val="31"/>
        <w:tabs>
          <w:tab w:val="right" w:leader="dot" w:pos="9469"/>
        </w:tabs>
        <w:spacing w:line="480" w:lineRule="auto"/>
        <w:rPr>
          <w:color w:val="auto"/>
          <w:sz w:val="32"/>
          <w:szCs w:val="32"/>
          <w:highlight w:val="none"/>
        </w:rPr>
      </w:pPr>
      <w:r>
        <w:rPr>
          <w:rFonts w:ascii="宋体" w:hAnsi="宋体"/>
          <w:color w:val="auto"/>
          <w:sz w:val="32"/>
          <w:szCs w:val="32"/>
          <w:highlight w:val="none"/>
        </w:rPr>
        <w:fldChar w:fldCharType="begin"/>
      </w:r>
      <w:r>
        <w:rPr>
          <w:rFonts w:ascii="宋体" w:hAnsi="宋体"/>
          <w:color w:val="auto"/>
          <w:sz w:val="32"/>
          <w:szCs w:val="32"/>
          <w:highlight w:val="none"/>
        </w:rPr>
        <w:instrText xml:space="preserve"> TOC \o "1-3" \h \z \u </w:instrText>
      </w:r>
      <w:r>
        <w:rPr>
          <w:rFonts w:ascii="宋体" w:hAnsi="宋体"/>
          <w:color w:val="auto"/>
          <w:sz w:val="32"/>
          <w:szCs w:val="32"/>
          <w:highlight w:val="none"/>
        </w:rPr>
        <w:fldChar w:fldCharType="separate"/>
      </w:r>
    </w:p>
    <w:p w14:paraId="2AA74A9E">
      <w:pPr>
        <w:pStyle w:val="31"/>
        <w:tabs>
          <w:tab w:val="right" w:leader="dot" w:pos="9469"/>
        </w:tabs>
        <w:spacing w:line="480" w:lineRule="auto"/>
        <w:rPr>
          <w:color w:val="auto"/>
          <w:sz w:val="32"/>
          <w:szCs w:val="32"/>
          <w:highlight w:val="none"/>
        </w:rPr>
      </w:pPr>
      <w:r>
        <w:rPr>
          <w:rFonts w:ascii="宋体" w:hAnsi="宋体"/>
          <w:bCs/>
          <w:color w:val="auto"/>
          <w:sz w:val="32"/>
          <w:szCs w:val="32"/>
          <w:highlight w:val="none"/>
          <w:lang w:val="zh-CN"/>
        </w:rPr>
        <w:fldChar w:fldCharType="begin"/>
      </w:r>
      <w:r>
        <w:rPr>
          <w:rFonts w:ascii="宋体" w:hAnsi="宋体"/>
          <w:bCs/>
          <w:color w:val="auto"/>
          <w:sz w:val="32"/>
          <w:szCs w:val="32"/>
          <w:highlight w:val="none"/>
          <w:lang w:val="zh-CN"/>
        </w:rPr>
        <w:instrText xml:space="preserve"> HYPERLINK \l _Toc28121 </w:instrText>
      </w:r>
      <w:r>
        <w:rPr>
          <w:rFonts w:ascii="宋体" w:hAnsi="宋体"/>
          <w:bCs/>
          <w:color w:val="auto"/>
          <w:sz w:val="32"/>
          <w:szCs w:val="32"/>
          <w:highlight w:val="none"/>
          <w:lang w:val="zh-CN"/>
        </w:rPr>
        <w:fldChar w:fldCharType="separate"/>
      </w:r>
      <w:r>
        <w:rPr>
          <w:rFonts w:ascii="宋体" w:hAnsi="宋体"/>
          <w:snapToGrid w:val="0"/>
          <w:color w:val="auto"/>
          <w:kern w:val="0"/>
          <w:sz w:val="32"/>
          <w:szCs w:val="32"/>
          <w:highlight w:val="none"/>
        </w:rPr>
        <w:t xml:space="preserve">第一章  </w:t>
      </w:r>
      <w:r>
        <w:rPr>
          <w:rFonts w:hint="eastAsia" w:ascii="宋体" w:hAnsi="宋体"/>
          <w:snapToGrid w:val="0"/>
          <w:color w:val="auto"/>
          <w:kern w:val="0"/>
          <w:sz w:val="32"/>
          <w:szCs w:val="32"/>
          <w:highlight w:val="none"/>
          <w:lang w:eastAsia="zh-CN"/>
        </w:rPr>
        <w:t>比选公告</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_Toc28121 \h </w:instrText>
      </w:r>
      <w:r>
        <w:rPr>
          <w:color w:val="auto"/>
          <w:sz w:val="32"/>
          <w:szCs w:val="32"/>
          <w:highlight w:val="none"/>
        </w:rPr>
        <w:fldChar w:fldCharType="separate"/>
      </w:r>
      <w:r>
        <w:rPr>
          <w:color w:val="auto"/>
          <w:sz w:val="32"/>
          <w:szCs w:val="32"/>
          <w:highlight w:val="none"/>
        </w:rPr>
        <w:t>3</w:t>
      </w:r>
      <w:r>
        <w:rPr>
          <w:color w:val="auto"/>
          <w:sz w:val="32"/>
          <w:szCs w:val="32"/>
          <w:highlight w:val="none"/>
        </w:rPr>
        <w:fldChar w:fldCharType="end"/>
      </w:r>
      <w:r>
        <w:rPr>
          <w:rFonts w:ascii="宋体" w:hAnsi="宋体"/>
          <w:bCs/>
          <w:color w:val="auto"/>
          <w:sz w:val="32"/>
          <w:szCs w:val="32"/>
          <w:highlight w:val="none"/>
          <w:lang w:val="zh-CN"/>
        </w:rPr>
        <w:fldChar w:fldCharType="end"/>
      </w:r>
    </w:p>
    <w:p w14:paraId="49874AC7">
      <w:pPr>
        <w:pStyle w:val="31"/>
        <w:tabs>
          <w:tab w:val="right" w:leader="dot" w:pos="9469"/>
        </w:tabs>
        <w:spacing w:line="480" w:lineRule="auto"/>
        <w:rPr>
          <w:color w:val="auto"/>
          <w:sz w:val="32"/>
          <w:szCs w:val="32"/>
          <w:highlight w:val="none"/>
        </w:rPr>
      </w:pPr>
      <w:r>
        <w:rPr>
          <w:rFonts w:ascii="宋体" w:hAnsi="宋体"/>
          <w:bCs/>
          <w:color w:val="auto"/>
          <w:sz w:val="32"/>
          <w:szCs w:val="32"/>
          <w:highlight w:val="none"/>
          <w:lang w:val="zh-CN"/>
        </w:rPr>
        <w:fldChar w:fldCharType="begin"/>
      </w:r>
      <w:r>
        <w:rPr>
          <w:rFonts w:ascii="宋体" w:hAnsi="宋体"/>
          <w:bCs/>
          <w:color w:val="auto"/>
          <w:sz w:val="32"/>
          <w:szCs w:val="32"/>
          <w:highlight w:val="none"/>
          <w:lang w:val="zh-CN"/>
        </w:rPr>
        <w:instrText xml:space="preserve"> HYPERLINK \l _Toc28579 </w:instrText>
      </w:r>
      <w:r>
        <w:rPr>
          <w:rFonts w:ascii="宋体" w:hAnsi="宋体"/>
          <w:bCs/>
          <w:color w:val="auto"/>
          <w:sz w:val="32"/>
          <w:szCs w:val="32"/>
          <w:highlight w:val="none"/>
          <w:lang w:val="zh-CN"/>
        </w:rPr>
        <w:fldChar w:fldCharType="separate"/>
      </w:r>
      <w:r>
        <w:rPr>
          <w:rFonts w:ascii="宋体" w:hAnsi="宋体"/>
          <w:snapToGrid w:val="0"/>
          <w:color w:val="auto"/>
          <w:kern w:val="0"/>
          <w:sz w:val="32"/>
          <w:szCs w:val="32"/>
          <w:highlight w:val="none"/>
        </w:rPr>
        <w:t xml:space="preserve">第二章  </w:t>
      </w:r>
      <w:r>
        <w:rPr>
          <w:rFonts w:hint="eastAsia" w:ascii="宋体" w:hAnsi="宋体"/>
          <w:snapToGrid w:val="0"/>
          <w:color w:val="auto"/>
          <w:kern w:val="0"/>
          <w:sz w:val="32"/>
          <w:szCs w:val="32"/>
          <w:highlight w:val="none"/>
          <w:lang w:eastAsia="zh-CN"/>
        </w:rPr>
        <w:t>竞选人</w:t>
      </w:r>
      <w:r>
        <w:rPr>
          <w:rFonts w:ascii="宋体" w:hAnsi="宋体"/>
          <w:snapToGrid w:val="0"/>
          <w:color w:val="auto"/>
          <w:kern w:val="0"/>
          <w:sz w:val="32"/>
          <w:szCs w:val="32"/>
          <w:highlight w:val="none"/>
        </w:rPr>
        <w:t>须知</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_Toc28579 \h </w:instrText>
      </w:r>
      <w:r>
        <w:rPr>
          <w:color w:val="auto"/>
          <w:sz w:val="32"/>
          <w:szCs w:val="32"/>
          <w:highlight w:val="none"/>
        </w:rPr>
        <w:fldChar w:fldCharType="separate"/>
      </w:r>
      <w:r>
        <w:rPr>
          <w:color w:val="auto"/>
          <w:sz w:val="32"/>
          <w:szCs w:val="32"/>
          <w:highlight w:val="none"/>
        </w:rPr>
        <w:t>5</w:t>
      </w:r>
      <w:r>
        <w:rPr>
          <w:color w:val="auto"/>
          <w:sz w:val="32"/>
          <w:szCs w:val="32"/>
          <w:highlight w:val="none"/>
        </w:rPr>
        <w:fldChar w:fldCharType="end"/>
      </w:r>
      <w:r>
        <w:rPr>
          <w:rFonts w:ascii="宋体" w:hAnsi="宋体"/>
          <w:bCs/>
          <w:color w:val="auto"/>
          <w:sz w:val="32"/>
          <w:szCs w:val="32"/>
          <w:highlight w:val="none"/>
          <w:lang w:val="zh-CN"/>
        </w:rPr>
        <w:fldChar w:fldCharType="end"/>
      </w:r>
    </w:p>
    <w:p w14:paraId="031ED533">
      <w:pPr>
        <w:pStyle w:val="31"/>
        <w:tabs>
          <w:tab w:val="right" w:leader="dot" w:pos="9469"/>
        </w:tabs>
        <w:spacing w:line="480" w:lineRule="auto"/>
        <w:rPr>
          <w:color w:val="auto"/>
          <w:sz w:val="32"/>
          <w:szCs w:val="32"/>
          <w:highlight w:val="none"/>
        </w:rPr>
      </w:pPr>
      <w:r>
        <w:rPr>
          <w:rFonts w:ascii="宋体" w:hAnsi="宋体"/>
          <w:bCs/>
          <w:color w:val="auto"/>
          <w:sz w:val="32"/>
          <w:szCs w:val="32"/>
          <w:highlight w:val="none"/>
          <w:lang w:val="zh-CN"/>
        </w:rPr>
        <w:fldChar w:fldCharType="begin"/>
      </w:r>
      <w:r>
        <w:rPr>
          <w:rFonts w:ascii="宋体" w:hAnsi="宋体"/>
          <w:bCs/>
          <w:color w:val="auto"/>
          <w:sz w:val="32"/>
          <w:szCs w:val="32"/>
          <w:highlight w:val="none"/>
          <w:lang w:val="zh-CN"/>
        </w:rPr>
        <w:instrText xml:space="preserve"> HYPERLINK \l _Toc22226 </w:instrText>
      </w:r>
      <w:r>
        <w:rPr>
          <w:rFonts w:ascii="宋体" w:hAnsi="宋体"/>
          <w:bCs/>
          <w:color w:val="auto"/>
          <w:sz w:val="32"/>
          <w:szCs w:val="32"/>
          <w:highlight w:val="none"/>
          <w:lang w:val="zh-CN"/>
        </w:rPr>
        <w:fldChar w:fldCharType="separate"/>
      </w:r>
      <w:r>
        <w:rPr>
          <w:rFonts w:ascii="宋体" w:hAnsi="宋体" w:eastAsia="宋体" w:cs="Times New Roman"/>
          <w:bCs/>
          <w:color w:val="auto"/>
          <w:kern w:val="44"/>
          <w:sz w:val="32"/>
          <w:szCs w:val="72"/>
          <w:highlight w:val="none"/>
          <w:lang w:val="en-US" w:eastAsia="zh-CN" w:bidi="ar-SA"/>
        </w:rPr>
        <w:t xml:space="preserve">第三章 </w:t>
      </w:r>
      <w:r>
        <w:rPr>
          <w:rFonts w:hint="eastAsia" w:ascii="宋体" w:hAnsi="宋体" w:eastAsia="宋体" w:cs="Times New Roman"/>
          <w:bCs/>
          <w:color w:val="auto"/>
          <w:kern w:val="44"/>
          <w:sz w:val="32"/>
          <w:szCs w:val="72"/>
          <w:highlight w:val="none"/>
          <w:lang w:val="en-US" w:eastAsia="zh-CN" w:bidi="ar-SA"/>
        </w:rPr>
        <w:t xml:space="preserve"> </w:t>
      </w:r>
      <w:r>
        <w:rPr>
          <w:rFonts w:ascii="宋体" w:hAnsi="宋体" w:eastAsia="宋体" w:cs="Times New Roman"/>
          <w:bCs/>
          <w:color w:val="auto"/>
          <w:kern w:val="44"/>
          <w:sz w:val="32"/>
          <w:szCs w:val="72"/>
          <w:highlight w:val="none"/>
          <w:lang w:val="en-US" w:eastAsia="zh-CN" w:bidi="ar-SA"/>
        </w:rPr>
        <w:t>评标办法（综合评估法）</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_Toc22226 \h </w:instrText>
      </w:r>
      <w:r>
        <w:rPr>
          <w:color w:val="auto"/>
          <w:sz w:val="32"/>
          <w:szCs w:val="32"/>
          <w:highlight w:val="none"/>
        </w:rPr>
        <w:fldChar w:fldCharType="separate"/>
      </w:r>
      <w:r>
        <w:rPr>
          <w:color w:val="auto"/>
          <w:sz w:val="32"/>
          <w:szCs w:val="32"/>
          <w:highlight w:val="none"/>
        </w:rPr>
        <w:t>13</w:t>
      </w:r>
      <w:r>
        <w:rPr>
          <w:color w:val="auto"/>
          <w:sz w:val="32"/>
          <w:szCs w:val="32"/>
          <w:highlight w:val="none"/>
        </w:rPr>
        <w:fldChar w:fldCharType="end"/>
      </w:r>
      <w:r>
        <w:rPr>
          <w:rFonts w:ascii="宋体" w:hAnsi="宋体"/>
          <w:bCs/>
          <w:color w:val="auto"/>
          <w:sz w:val="32"/>
          <w:szCs w:val="32"/>
          <w:highlight w:val="none"/>
          <w:lang w:val="zh-CN"/>
        </w:rPr>
        <w:fldChar w:fldCharType="end"/>
      </w:r>
    </w:p>
    <w:p w14:paraId="66AB7C7A">
      <w:pPr>
        <w:pStyle w:val="31"/>
        <w:tabs>
          <w:tab w:val="right" w:leader="dot" w:pos="9469"/>
        </w:tabs>
        <w:spacing w:line="480" w:lineRule="auto"/>
        <w:rPr>
          <w:color w:val="auto"/>
          <w:sz w:val="32"/>
          <w:szCs w:val="32"/>
          <w:highlight w:val="none"/>
        </w:rPr>
      </w:pPr>
      <w:r>
        <w:rPr>
          <w:rFonts w:ascii="宋体" w:hAnsi="宋体"/>
          <w:bCs/>
          <w:color w:val="auto"/>
          <w:sz w:val="32"/>
          <w:szCs w:val="32"/>
          <w:highlight w:val="none"/>
          <w:lang w:val="zh-CN"/>
        </w:rPr>
        <w:fldChar w:fldCharType="begin"/>
      </w:r>
      <w:r>
        <w:rPr>
          <w:rFonts w:ascii="宋体" w:hAnsi="宋体"/>
          <w:bCs/>
          <w:color w:val="auto"/>
          <w:sz w:val="32"/>
          <w:szCs w:val="32"/>
          <w:highlight w:val="none"/>
          <w:lang w:val="zh-CN"/>
        </w:rPr>
        <w:instrText xml:space="preserve"> HYPERLINK \l _Toc16777 </w:instrText>
      </w:r>
      <w:r>
        <w:rPr>
          <w:rFonts w:ascii="宋体" w:hAnsi="宋体"/>
          <w:bCs/>
          <w:color w:val="auto"/>
          <w:sz w:val="32"/>
          <w:szCs w:val="32"/>
          <w:highlight w:val="none"/>
          <w:lang w:val="zh-CN"/>
        </w:rPr>
        <w:fldChar w:fldCharType="separate"/>
      </w:r>
      <w:r>
        <w:rPr>
          <w:rFonts w:hint="eastAsia" w:ascii="宋体" w:hAnsi="宋体"/>
          <w:color w:val="auto"/>
          <w:kern w:val="0"/>
          <w:sz w:val="32"/>
          <w:szCs w:val="32"/>
          <w:highlight w:val="none"/>
        </w:rPr>
        <w:t>第四章  合同条款及格式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_Toc16777 \h </w:instrText>
      </w:r>
      <w:r>
        <w:rPr>
          <w:color w:val="auto"/>
          <w:sz w:val="32"/>
          <w:szCs w:val="32"/>
          <w:highlight w:val="none"/>
        </w:rPr>
        <w:fldChar w:fldCharType="separate"/>
      </w:r>
      <w:r>
        <w:rPr>
          <w:color w:val="auto"/>
          <w:sz w:val="32"/>
          <w:szCs w:val="32"/>
          <w:highlight w:val="none"/>
        </w:rPr>
        <w:t>30</w:t>
      </w:r>
      <w:r>
        <w:rPr>
          <w:color w:val="auto"/>
          <w:sz w:val="32"/>
          <w:szCs w:val="32"/>
          <w:highlight w:val="none"/>
        </w:rPr>
        <w:fldChar w:fldCharType="end"/>
      </w:r>
      <w:r>
        <w:rPr>
          <w:rFonts w:ascii="宋体" w:hAnsi="宋体"/>
          <w:bCs/>
          <w:color w:val="auto"/>
          <w:sz w:val="32"/>
          <w:szCs w:val="32"/>
          <w:highlight w:val="none"/>
          <w:lang w:val="zh-CN"/>
        </w:rPr>
        <w:fldChar w:fldCharType="end"/>
      </w:r>
    </w:p>
    <w:p w14:paraId="044ED18D">
      <w:pPr>
        <w:pStyle w:val="31"/>
        <w:tabs>
          <w:tab w:val="right" w:leader="dot" w:pos="9469"/>
        </w:tabs>
        <w:spacing w:line="480" w:lineRule="auto"/>
        <w:rPr>
          <w:color w:val="auto"/>
          <w:sz w:val="32"/>
          <w:szCs w:val="32"/>
          <w:highlight w:val="none"/>
        </w:rPr>
      </w:pPr>
      <w:r>
        <w:rPr>
          <w:rFonts w:ascii="宋体" w:hAnsi="宋体"/>
          <w:bCs/>
          <w:color w:val="auto"/>
          <w:sz w:val="32"/>
          <w:szCs w:val="32"/>
          <w:highlight w:val="none"/>
          <w:lang w:val="zh-CN"/>
        </w:rPr>
        <w:fldChar w:fldCharType="begin"/>
      </w:r>
      <w:r>
        <w:rPr>
          <w:rFonts w:ascii="宋体" w:hAnsi="宋体"/>
          <w:bCs/>
          <w:color w:val="auto"/>
          <w:sz w:val="32"/>
          <w:szCs w:val="32"/>
          <w:highlight w:val="none"/>
          <w:lang w:val="zh-CN"/>
        </w:rPr>
        <w:instrText xml:space="preserve"> HYPERLINK \l _Toc16451 </w:instrText>
      </w:r>
      <w:r>
        <w:rPr>
          <w:rFonts w:ascii="宋体" w:hAnsi="宋体"/>
          <w:bCs/>
          <w:color w:val="auto"/>
          <w:sz w:val="32"/>
          <w:szCs w:val="32"/>
          <w:highlight w:val="none"/>
          <w:lang w:val="zh-CN"/>
        </w:rPr>
        <w:fldChar w:fldCharType="separate"/>
      </w:r>
      <w:r>
        <w:rPr>
          <w:rFonts w:ascii="宋体" w:hAnsi="宋体"/>
          <w:color w:val="auto"/>
          <w:sz w:val="32"/>
          <w:szCs w:val="32"/>
          <w:highlight w:val="none"/>
        </w:rPr>
        <w:t>第</w:t>
      </w:r>
      <w:r>
        <w:rPr>
          <w:rFonts w:hint="eastAsia" w:ascii="宋体" w:hAnsi="宋体"/>
          <w:color w:val="auto"/>
          <w:sz w:val="32"/>
          <w:szCs w:val="32"/>
          <w:highlight w:val="none"/>
          <w:lang w:val="en-US" w:eastAsia="zh-CN"/>
        </w:rPr>
        <w:t>五</w:t>
      </w:r>
      <w:r>
        <w:rPr>
          <w:rFonts w:ascii="宋体" w:hAnsi="宋体"/>
          <w:color w:val="auto"/>
          <w:sz w:val="32"/>
          <w:szCs w:val="32"/>
          <w:highlight w:val="none"/>
        </w:rPr>
        <w:t>章</w:t>
      </w:r>
      <w:r>
        <w:rPr>
          <w:rFonts w:hint="eastAsia" w:ascii="宋体" w:hAnsi="宋体"/>
          <w:color w:val="auto"/>
          <w:sz w:val="32"/>
          <w:szCs w:val="32"/>
          <w:highlight w:val="none"/>
        </w:rPr>
        <w:t xml:space="preserve">  </w:t>
      </w:r>
      <w:r>
        <w:rPr>
          <w:rFonts w:ascii="宋体" w:hAnsi="宋体"/>
          <w:color w:val="auto"/>
          <w:sz w:val="32"/>
          <w:szCs w:val="32"/>
          <w:highlight w:val="none"/>
        </w:rPr>
        <w:t>技术标准和要求</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_Toc16451 \h </w:instrText>
      </w:r>
      <w:r>
        <w:rPr>
          <w:color w:val="auto"/>
          <w:sz w:val="32"/>
          <w:szCs w:val="32"/>
          <w:highlight w:val="none"/>
        </w:rPr>
        <w:fldChar w:fldCharType="separate"/>
      </w:r>
      <w:r>
        <w:rPr>
          <w:color w:val="auto"/>
          <w:sz w:val="32"/>
          <w:szCs w:val="32"/>
          <w:highlight w:val="none"/>
        </w:rPr>
        <w:t>41</w:t>
      </w:r>
      <w:r>
        <w:rPr>
          <w:color w:val="auto"/>
          <w:sz w:val="32"/>
          <w:szCs w:val="32"/>
          <w:highlight w:val="none"/>
        </w:rPr>
        <w:fldChar w:fldCharType="end"/>
      </w:r>
      <w:r>
        <w:rPr>
          <w:rFonts w:ascii="宋体" w:hAnsi="宋体"/>
          <w:bCs/>
          <w:color w:val="auto"/>
          <w:sz w:val="32"/>
          <w:szCs w:val="32"/>
          <w:highlight w:val="none"/>
          <w:lang w:val="zh-CN"/>
        </w:rPr>
        <w:fldChar w:fldCharType="end"/>
      </w:r>
    </w:p>
    <w:p w14:paraId="239A5F8D">
      <w:pPr>
        <w:pStyle w:val="31"/>
        <w:tabs>
          <w:tab w:val="right" w:leader="dot" w:pos="9469"/>
        </w:tabs>
        <w:spacing w:line="480" w:lineRule="auto"/>
        <w:rPr>
          <w:color w:val="auto"/>
          <w:sz w:val="32"/>
          <w:szCs w:val="32"/>
          <w:highlight w:val="none"/>
        </w:rPr>
      </w:pPr>
      <w:r>
        <w:rPr>
          <w:rFonts w:ascii="宋体" w:hAnsi="宋体"/>
          <w:bCs/>
          <w:color w:val="auto"/>
          <w:sz w:val="32"/>
          <w:szCs w:val="32"/>
          <w:highlight w:val="none"/>
          <w:lang w:val="zh-CN"/>
        </w:rPr>
        <w:fldChar w:fldCharType="begin"/>
      </w:r>
      <w:r>
        <w:rPr>
          <w:rFonts w:ascii="宋体" w:hAnsi="宋体"/>
          <w:bCs/>
          <w:color w:val="auto"/>
          <w:sz w:val="32"/>
          <w:szCs w:val="32"/>
          <w:highlight w:val="none"/>
          <w:lang w:val="zh-CN"/>
        </w:rPr>
        <w:instrText xml:space="preserve"> HYPERLINK \l _Toc4333 </w:instrText>
      </w:r>
      <w:r>
        <w:rPr>
          <w:rFonts w:ascii="宋体" w:hAnsi="宋体"/>
          <w:bCs/>
          <w:color w:val="auto"/>
          <w:sz w:val="32"/>
          <w:szCs w:val="32"/>
          <w:highlight w:val="none"/>
          <w:lang w:val="zh-CN"/>
        </w:rPr>
        <w:fldChar w:fldCharType="separate"/>
      </w:r>
      <w:r>
        <w:rPr>
          <w:rFonts w:hint="eastAsia" w:ascii="宋体" w:hAnsi="宋体"/>
          <w:color w:val="auto"/>
          <w:sz w:val="32"/>
          <w:szCs w:val="32"/>
          <w:highlight w:val="none"/>
        </w:rPr>
        <w:t>第</w:t>
      </w:r>
      <w:r>
        <w:rPr>
          <w:rFonts w:hint="eastAsia" w:ascii="宋体" w:hAnsi="宋体"/>
          <w:color w:val="auto"/>
          <w:sz w:val="32"/>
          <w:szCs w:val="32"/>
          <w:highlight w:val="none"/>
          <w:lang w:val="en-US" w:eastAsia="zh-CN"/>
        </w:rPr>
        <w:t>六</w:t>
      </w:r>
      <w:r>
        <w:rPr>
          <w:rFonts w:hint="eastAsia" w:ascii="宋体" w:hAnsi="宋体"/>
          <w:color w:val="auto"/>
          <w:sz w:val="32"/>
          <w:szCs w:val="32"/>
          <w:highlight w:val="none"/>
        </w:rPr>
        <w:t xml:space="preserve">章  </w:t>
      </w:r>
      <w:r>
        <w:rPr>
          <w:rFonts w:hint="eastAsia" w:ascii="宋体" w:hAnsi="宋体"/>
          <w:color w:val="auto"/>
          <w:sz w:val="32"/>
          <w:szCs w:val="32"/>
          <w:highlight w:val="none"/>
          <w:lang w:eastAsia="zh-CN"/>
        </w:rPr>
        <w:t>竞选文件</w:t>
      </w:r>
      <w:r>
        <w:rPr>
          <w:rFonts w:hint="eastAsia" w:ascii="宋体" w:hAnsi="宋体"/>
          <w:color w:val="auto"/>
          <w:sz w:val="32"/>
          <w:szCs w:val="32"/>
          <w:highlight w:val="none"/>
        </w:rPr>
        <w:t>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_Toc4333 \h </w:instrText>
      </w:r>
      <w:r>
        <w:rPr>
          <w:color w:val="auto"/>
          <w:sz w:val="32"/>
          <w:szCs w:val="32"/>
          <w:highlight w:val="none"/>
        </w:rPr>
        <w:fldChar w:fldCharType="separate"/>
      </w:r>
      <w:r>
        <w:rPr>
          <w:color w:val="auto"/>
          <w:sz w:val="32"/>
          <w:szCs w:val="32"/>
          <w:highlight w:val="none"/>
        </w:rPr>
        <w:t>42</w:t>
      </w:r>
      <w:r>
        <w:rPr>
          <w:color w:val="auto"/>
          <w:sz w:val="32"/>
          <w:szCs w:val="32"/>
          <w:highlight w:val="none"/>
        </w:rPr>
        <w:fldChar w:fldCharType="end"/>
      </w:r>
      <w:r>
        <w:rPr>
          <w:rFonts w:ascii="宋体" w:hAnsi="宋体"/>
          <w:bCs/>
          <w:color w:val="auto"/>
          <w:sz w:val="32"/>
          <w:szCs w:val="32"/>
          <w:highlight w:val="none"/>
          <w:lang w:val="zh-CN"/>
        </w:rPr>
        <w:fldChar w:fldCharType="end"/>
      </w:r>
    </w:p>
    <w:p w14:paraId="2C556AA8">
      <w:pPr>
        <w:spacing w:line="480" w:lineRule="auto"/>
        <w:rPr>
          <w:rFonts w:ascii="宋体" w:hAnsi="宋体"/>
          <w:color w:val="auto"/>
          <w:sz w:val="36"/>
          <w:szCs w:val="44"/>
          <w:highlight w:val="none"/>
        </w:rPr>
      </w:pPr>
      <w:r>
        <w:rPr>
          <w:rFonts w:ascii="宋体" w:hAnsi="宋体"/>
          <w:bCs/>
          <w:color w:val="auto"/>
          <w:sz w:val="36"/>
          <w:szCs w:val="32"/>
          <w:highlight w:val="none"/>
          <w:lang w:val="zh-CN"/>
        </w:rPr>
        <w:fldChar w:fldCharType="end"/>
      </w:r>
    </w:p>
    <w:bookmarkEnd w:id="0"/>
    <w:p w14:paraId="148ACDCB">
      <w:pPr>
        <w:spacing w:line="480" w:lineRule="auto"/>
        <w:rPr>
          <w:rFonts w:ascii="宋体" w:hAnsi="宋体"/>
          <w:color w:val="auto"/>
          <w:sz w:val="22"/>
          <w:szCs w:val="28"/>
          <w:highlight w:val="none"/>
        </w:rPr>
      </w:pPr>
      <w:bookmarkStart w:id="8" w:name="_Toc430530414"/>
    </w:p>
    <w:p w14:paraId="264D9432">
      <w:pPr>
        <w:spacing w:line="20" w:lineRule="exact"/>
        <w:jc w:val="left"/>
        <w:rPr>
          <w:rFonts w:ascii="宋体" w:hAnsi="宋体"/>
          <w:color w:val="auto"/>
          <w:highlight w:val="none"/>
        </w:rPr>
        <w:sectPr>
          <w:footerReference r:id="rId5" w:type="default"/>
          <w:pgSz w:w="11907" w:h="16840"/>
          <w:pgMar w:top="1304" w:right="1134" w:bottom="1304" w:left="1304" w:header="851" w:footer="992" w:gutter="0"/>
          <w:pgNumType w:fmt="numberInDash" w:start="1"/>
          <w:cols w:space="720" w:num="1"/>
          <w:docGrid w:linePitch="312" w:charSpace="0"/>
        </w:sectPr>
      </w:pPr>
    </w:p>
    <w:bookmarkEnd w:id="8"/>
    <w:p w14:paraId="56FEB711">
      <w:pPr>
        <w:spacing w:line="360" w:lineRule="auto"/>
        <w:rPr>
          <w:rFonts w:ascii="宋体" w:hAnsi="宋体"/>
          <w:color w:val="auto"/>
          <w:highlight w:val="none"/>
        </w:rPr>
      </w:pPr>
    </w:p>
    <w:p w14:paraId="001DB402">
      <w:pPr>
        <w:pStyle w:val="2"/>
        <w:spacing w:before="0" w:after="0" w:line="480" w:lineRule="auto"/>
        <w:jc w:val="center"/>
        <w:rPr>
          <w:rFonts w:ascii="宋体" w:hAnsi="宋体"/>
          <w:color w:val="auto"/>
          <w:sz w:val="52"/>
          <w:szCs w:val="52"/>
          <w:highlight w:val="none"/>
        </w:rPr>
      </w:pPr>
      <w:bookmarkStart w:id="9" w:name="_Toc9936"/>
      <w:bookmarkStart w:id="10" w:name="_Toc509218690"/>
      <w:bookmarkStart w:id="11" w:name="_Toc22739"/>
      <w:bookmarkStart w:id="12" w:name="_Toc23956"/>
      <w:r>
        <w:rPr>
          <w:rFonts w:hint="eastAsia" w:ascii="宋体" w:hAnsi="宋体"/>
          <w:color w:val="auto"/>
          <w:sz w:val="52"/>
          <w:szCs w:val="52"/>
          <w:highlight w:val="none"/>
        </w:rPr>
        <w:t>第 一 卷</w:t>
      </w:r>
      <w:bookmarkEnd w:id="9"/>
      <w:bookmarkEnd w:id="10"/>
      <w:bookmarkEnd w:id="11"/>
      <w:bookmarkEnd w:id="12"/>
    </w:p>
    <w:p w14:paraId="45A88CA4">
      <w:pPr>
        <w:spacing w:line="200" w:lineRule="exact"/>
        <w:rPr>
          <w:rFonts w:ascii="宋体" w:hAnsi="宋体"/>
          <w:color w:val="auto"/>
          <w:highlight w:val="none"/>
        </w:rPr>
      </w:pPr>
      <w:r>
        <w:rPr>
          <w:rFonts w:ascii="宋体" w:hAnsi="宋体"/>
          <w:color w:val="auto"/>
          <w:highlight w:val="none"/>
        </w:rPr>
        <w:br w:type="page"/>
      </w:r>
    </w:p>
    <w:p w14:paraId="589AB112">
      <w:pPr>
        <w:pStyle w:val="2"/>
        <w:spacing w:line="360" w:lineRule="auto"/>
        <w:jc w:val="center"/>
        <w:rPr>
          <w:rFonts w:ascii="宋体" w:hAnsi="宋体"/>
          <w:snapToGrid w:val="0"/>
          <w:color w:val="auto"/>
          <w:kern w:val="0"/>
          <w:highlight w:val="none"/>
        </w:rPr>
      </w:pPr>
      <w:bookmarkStart w:id="13" w:name="_Toc12819"/>
      <w:bookmarkStart w:id="14" w:name="_Toc287607727"/>
      <w:bookmarkStart w:id="15" w:name="_Toc224103298"/>
      <w:bookmarkStart w:id="16" w:name="_Toc509218691"/>
      <w:bookmarkStart w:id="17" w:name="_Toc430530415"/>
      <w:bookmarkStart w:id="18" w:name="_Toc277082535"/>
      <w:bookmarkStart w:id="19" w:name="_Toc28121"/>
      <w:bookmarkStart w:id="20" w:name="_Toc287620666"/>
      <w:r>
        <w:rPr>
          <w:rFonts w:ascii="宋体" w:hAnsi="宋体"/>
          <w:snapToGrid w:val="0"/>
          <w:color w:val="auto"/>
          <w:kern w:val="0"/>
          <w:highlight w:val="none"/>
        </w:rPr>
        <w:t xml:space="preserve">第一章  </w:t>
      </w:r>
      <w:r>
        <w:rPr>
          <w:rFonts w:hint="eastAsia" w:ascii="宋体" w:hAnsi="宋体"/>
          <w:snapToGrid w:val="0"/>
          <w:color w:val="auto"/>
          <w:kern w:val="0"/>
          <w:highlight w:val="none"/>
          <w:lang w:eastAsia="zh-CN"/>
        </w:rPr>
        <w:t>比选公告</w:t>
      </w:r>
      <w:bookmarkEnd w:id="13"/>
      <w:bookmarkEnd w:id="14"/>
      <w:bookmarkEnd w:id="15"/>
      <w:bookmarkEnd w:id="16"/>
      <w:bookmarkEnd w:id="17"/>
      <w:bookmarkEnd w:id="18"/>
      <w:bookmarkEnd w:id="19"/>
      <w:bookmarkEnd w:id="20"/>
    </w:p>
    <w:p w14:paraId="66B8C73A">
      <w:pPr>
        <w:autoSpaceDE w:val="0"/>
        <w:autoSpaceDN w:val="0"/>
        <w:adjustRightInd w:val="0"/>
        <w:snapToGrid w:val="0"/>
        <w:spacing w:line="360" w:lineRule="auto"/>
        <w:jc w:val="center"/>
        <w:rPr>
          <w:rFonts w:hint="eastAsia" w:ascii="宋体" w:hAnsi="宋体" w:eastAsia="宋体"/>
          <w:snapToGrid w:val="0"/>
          <w:color w:val="auto"/>
          <w:kern w:val="0"/>
          <w:sz w:val="28"/>
          <w:szCs w:val="28"/>
          <w:highlight w:val="none"/>
          <w:lang w:eastAsia="zh-CN"/>
        </w:rPr>
      </w:pPr>
      <w:bookmarkStart w:id="541" w:name="_GoBack"/>
      <w:r>
        <w:rPr>
          <w:rFonts w:hint="eastAsia" w:ascii="宋体" w:hAnsi="宋体"/>
          <w:snapToGrid w:val="0"/>
          <w:color w:val="auto"/>
          <w:kern w:val="0"/>
          <w:sz w:val="28"/>
          <w:szCs w:val="28"/>
          <w:highlight w:val="none"/>
          <w:u w:val="single"/>
          <w:lang w:eastAsia="zh-CN"/>
        </w:rPr>
        <w:t>广阳镇部分区域土地管护</w:t>
      </w:r>
      <w:r>
        <w:rPr>
          <w:rFonts w:hint="eastAsia" w:ascii="宋体" w:hAnsi="宋体"/>
          <w:snapToGrid w:val="0"/>
          <w:color w:val="auto"/>
          <w:kern w:val="0"/>
          <w:sz w:val="28"/>
          <w:szCs w:val="28"/>
          <w:highlight w:val="none"/>
          <w:u w:val="single"/>
          <w:lang w:eastAsia="zh-CN"/>
        </w:rPr>
        <w:t xml:space="preserve">  </w:t>
      </w:r>
      <w:r>
        <w:rPr>
          <w:rFonts w:hint="eastAsia" w:ascii="宋体" w:hAnsi="宋体"/>
          <w:snapToGrid w:val="0"/>
          <w:color w:val="auto"/>
          <w:w w:val="99"/>
          <w:kern w:val="0"/>
          <w:sz w:val="28"/>
          <w:szCs w:val="28"/>
          <w:highlight w:val="none"/>
          <w:lang w:eastAsia="zh-CN"/>
        </w:rPr>
        <w:t>比选公告</w:t>
      </w:r>
    </w:p>
    <w:p w14:paraId="28414A5D">
      <w:pPr>
        <w:pStyle w:val="3"/>
        <w:spacing w:before="100" w:after="100" w:line="460" w:lineRule="exact"/>
        <w:rPr>
          <w:rFonts w:ascii="宋体" w:hAnsi="宋体"/>
          <w:snapToGrid w:val="0"/>
          <w:color w:val="auto"/>
          <w:sz w:val="28"/>
          <w:szCs w:val="28"/>
          <w:highlight w:val="none"/>
        </w:rPr>
      </w:pPr>
      <w:bookmarkStart w:id="21" w:name="_Toc200359238"/>
      <w:bookmarkStart w:id="22" w:name="_Toc200359427"/>
      <w:bookmarkStart w:id="23" w:name="_Toc430530416"/>
      <w:bookmarkStart w:id="24" w:name="_Toc287620667"/>
      <w:bookmarkStart w:id="25" w:name="_Toc277082536"/>
      <w:bookmarkStart w:id="26" w:name="_Toc509218692"/>
      <w:bookmarkStart w:id="27" w:name="_Toc27491"/>
      <w:bookmarkStart w:id="28" w:name="_Toc287607728"/>
      <w:bookmarkStart w:id="29" w:name="_Toc224103299"/>
      <w:bookmarkStart w:id="30" w:name="_Toc21181"/>
      <w:bookmarkStart w:id="31" w:name="_Toc26523"/>
      <w:r>
        <w:rPr>
          <w:rFonts w:ascii="宋体" w:hAnsi="宋体"/>
          <w:snapToGrid w:val="0"/>
          <w:color w:val="auto"/>
          <w:sz w:val="28"/>
          <w:szCs w:val="28"/>
          <w:highlight w:val="none"/>
        </w:rPr>
        <w:t xml:space="preserve">1.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招标条件</w:t>
      </w:r>
      <w:bookmarkEnd w:id="21"/>
      <w:bookmarkEnd w:id="22"/>
      <w:bookmarkEnd w:id="23"/>
      <w:bookmarkEnd w:id="24"/>
      <w:bookmarkEnd w:id="25"/>
      <w:bookmarkEnd w:id="26"/>
      <w:bookmarkEnd w:id="27"/>
      <w:bookmarkEnd w:id="28"/>
      <w:bookmarkEnd w:id="29"/>
      <w:bookmarkEnd w:id="30"/>
      <w:bookmarkEnd w:id="31"/>
    </w:p>
    <w:p w14:paraId="596B169E">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snapToGrid w:val="0"/>
          <w:color w:val="auto"/>
          <w:kern w:val="0"/>
          <w:szCs w:val="21"/>
          <w:highlight w:val="none"/>
        </w:rPr>
      </w:pPr>
      <w:r>
        <w:rPr>
          <w:rFonts w:ascii="宋体" w:hAnsi="宋体"/>
          <w:snapToGrid w:val="0"/>
          <w:color w:val="auto"/>
          <w:kern w:val="0"/>
          <w:szCs w:val="21"/>
          <w:highlight w:val="none"/>
        </w:rPr>
        <w:t>本招标项目</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eastAsia="zh-CN"/>
        </w:rPr>
        <w:t xml:space="preserve">广阳镇部分区域土地管护 </w:t>
      </w:r>
      <w:r>
        <w:rPr>
          <w:rFonts w:hint="eastAsia" w:ascii="宋体" w:hAnsi="宋体"/>
          <w:snapToGrid w:val="0"/>
          <w:color w:val="auto"/>
          <w:kern w:val="0"/>
          <w:szCs w:val="21"/>
          <w:highlight w:val="none"/>
          <w:u w:val="single"/>
          <w:lang w:eastAsia="zh-CN"/>
        </w:rPr>
        <w:t xml:space="preserve"> </w:t>
      </w:r>
      <w:r>
        <w:rPr>
          <w:rFonts w:ascii="宋体" w:hAnsi="宋体"/>
          <w:snapToGrid w:val="0"/>
          <w:color w:val="auto"/>
          <w:kern w:val="0"/>
          <w:szCs w:val="21"/>
          <w:highlight w:val="none"/>
          <w:u w:val="single"/>
        </w:rPr>
        <w:t>（项目名称）</w:t>
      </w:r>
      <w:r>
        <w:rPr>
          <w:rFonts w:ascii="宋体" w:hAnsi="宋体"/>
          <w:snapToGrid w:val="0"/>
          <w:color w:val="auto"/>
          <w:kern w:val="0"/>
          <w:szCs w:val="21"/>
          <w:highlight w:val="none"/>
        </w:rPr>
        <w:t>，项目业主为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eastAsia="zh-CN"/>
        </w:rPr>
        <w:t>重庆广阳湾生态城投资发展集团有限公司</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，资金来自</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业主自筹</w:t>
      </w:r>
      <w:r>
        <w:rPr>
          <w:rFonts w:ascii="宋体" w:hAnsi="宋体"/>
          <w:snapToGrid w:val="0"/>
          <w:color w:val="auto"/>
          <w:kern w:val="0"/>
          <w:szCs w:val="21"/>
          <w:highlight w:val="none"/>
        </w:rPr>
        <w:t>，项目出资比例为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100%</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比选人</w:t>
      </w:r>
      <w:r>
        <w:rPr>
          <w:rFonts w:ascii="宋体" w:hAnsi="宋体"/>
          <w:snapToGrid w:val="0"/>
          <w:color w:val="auto"/>
          <w:kern w:val="0"/>
          <w:position w:val="-2"/>
          <w:szCs w:val="21"/>
          <w:highlight w:val="none"/>
        </w:rPr>
        <w:t>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eastAsia="zh-CN"/>
        </w:rPr>
        <w:t>重庆广阳湾生态城投资发展集团有限公司</w:t>
      </w:r>
      <w:r>
        <w:rPr>
          <w:rFonts w:hint="eastAsia" w:ascii="宋体" w:hAnsi="宋体"/>
          <w:snapToGrid w:val="0"/>
          <w:color w:val="auto"/>
          <w:kern w:val="0"/>
          <w:szCs w:val="21"/>
          <w:highlight w:val="none"/>
          <w:u w:val="single"/>
        </w:rPr>
        <w:t xml:space="preserve"> </w:t>
      </w:r>
      <w:r>
        <w:rPr>
          <w:rFonts w:ascii="宋体" w:hAnsi="宋体"/>
          <w:snapToGrid w:val="0"/>
          <w:color w:val="auto"/>
          <w:kern w:val="0"/>
          <w:position w:val="-2"/>
          <w:szCs w:val="21"/>
          <w:highlight w:val="none"/>
        </w:rPr>
        <w:t>。项目已具备招标条件，现对</w:t>
      </w:r>
      <w:r>
        <w:rPr>
          <w:rFonts w:hint="eastAsia" w:ascii="宋体" w:hAnsi="宋体"/>
          <w:snapToGrid w:val="0"/>
          <w:color w:val="auto"/>
          <w:kern w:val="0"/>
          <w:position w:val="-2"/>
          <w:szCs w:val="21"/>
          <w:highlight w:val="none"/>
          <w:u w:val="single"/>
        </w:rPr>
        <w:t>该项目</w:t>
      </w:r>
      <w:r>
        <w:rPr>
          <w:rFonts w:ascii="宋体" w:hAnsi="宋体"/>
          <w:snapToGrid w:val="0"/>
          <w:color w:val="auto"/>
          <w:kern w:val="0"/>
          <w:position w:val="-2"/>
          <w:szCs w:val="21"/>
          <w:highlight w:val="none"/>
        </w:rPr>
        <w:t>进行公开</w:t>
      </w:r>
      <w:r>
        <w:rPr>
          <w:rFonts w:hint="eastAsia" w:ascii="宋体" w:hAnsi="宋体"/>
          <w:snapToGrid w:val="0"/>
          <w:color w:val="auto"/>
          <w:kern w:val="0"/>
          <w:position w:val="-2"/>
          <w:szCs w:val="21"/>
          <w:highlight w:val="none"/>
          <w:lang w:val="en-US" w:eastAsia="zh-CN"/>
        </w:rPr>
        <w:t>比选</w:t>
      </w:r>
      <w:r>
        <w:rPr>
          <w:rFonts w:ascii="宋体" w:hAnsi="宋体"/>
          <w:snapToGrid w:val="0"/>
          <w:color w:val="auto"/>
          <w:kern w:val="0"/>
          <w:position w:val="-2"/>
          <w:szCs w:val="21"/>
          <w:highlight w:val="none"/>
        </w:rPr>
        <w:t>。</w:t>
      </w:r>
    </w:p>
    <w:p w14:paraId="3958ECC5">
      <w:pPr>
        <w:pStyle w:val="3"/>
        <w:spacing w:before="100" w:after="100" w:line="460" w:lineRule="exact"/>
        <w:rPr>
          <w:rFonts w:ascii="宋体" w:hAnsi="宋体"/>
          <w:snapToGrid w:val="0"/>
          <w:color w:val="auto"/>
          <w:sz w:val="28"/>
          <w:szCs w:val="28"/>
          <w:highlight w:val="none"/>
        </w:rPr>
      </w:pPr>
      <w:bookmarkStart w:id="32" w:name="_Toc200359239"/>
      <w:bookmarkStart w:id="33" w:name="_Toc16344"/>
      <w:bookmarkStart w:id="34" w:name="_Toc430530417"/>
      <w:bookmarkStart w:id="35" w:name="_Toc287607729"/>
      <w:bookmarkStart w:id="36" w:name="_Toc509218693"/>
      <w:bookmarkStart w:id="37" w:name="_Toc277082537"/>
      <w:bookmarkStart w:id="38" w:name="_Toc287620668"/>
      <w:bookmarkStart w:id="39" w:name="_Toc2343"/>
      <w:bookmarkStart w:id="40" w:name="_Toc224103300"/>
      <w:bookmarkStart w:id="41" w:name="_Toc200359428"/>
      <w:bookmarkStart w:id="42" w:name="_Toc22556"/>
      <w:r>
        <w:rPr>
          <w:rFonts w:ascii="宋体" w:hAnsi="宋体"/>
          <w:snapToGrid w:val="0"/>
          <w:color w:val="auto"/>
          <w:sz w:val="28"/>
          <w:szCs w:val="28"/>
          <w:highlight w:val="none"/>
        </w:rPr>
        <w:t>2.</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 xml:space="preserve"> 项目概况与招标范围</w:t>
      </w:r>
      <w:bookmarkEnd w:id="32"/>
      <w:bookmarkEnd w:id="33"/>
      <w:bookmarkEnd w:id="34"/>
      <w:bookmarkEnd w:id="35"/>
      <w:bookmarkEnd w:id="36"/>
      <w:bookmarkEnd w:id="37"/>
      <w:bookmarkEnd w:id="38"/>
      <w:bookmarkEnd w:id="39"/>
      <w:bookmarkEnd w:id="40"/>
      <w:bookmarkEnd w:id="41"/>
      <w:bookmarkEnd w:id="42"/>
    </w:p>
    <w:p w14:paraId="355044D2">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snapToGrid w:val="0"/>
          <w:color w:val="auto"/>
          <w:kern w:val="0"/>
          <w:szCs w:val="21"/>
          <w:highlight w:val="none"/>
          <w:u w:val="single"/>
          <w:lang w:eastAsia="zh-CN"/>
        </w:rPr>
      </w:pPr>
      <w:r>
        <w:rPr>
          <w:rFonts w:hint="eastAsia" w:ascii="宋体" w:hAnsi="宋体"/>
          <w:snapToGrid w:val="0"/>
          <w:color w:val="auto"/>
          <w:kern w:val="0"/>
          <w:szCs w:val="21"/>
          <w:highlight w:val="none"/>
        </w:rPr>
        <w:t xml:space="preserve">2.1 </w:t>
      </w:r>
      <w:r>
        <w:rPr>
          <w:rFonts w:hint="eastAsia" w:ascii="宋体" w:hAnsi="宋体"/>
          <w:snapToGrid w:val="0"/>
          <w:color w:val="auto"/>
          <w:kern w:val="0"/>
          <w:szCs w:val="21"/>
          <w:highlight w:val="none"/>
          <w:lang w:eastAsia="zh-CN"/>
        </w:rPr>
        <w:t>服务地点</w:t>
      </w:r>
      <w:r>
        <w:rPr>
          <w:rFonts w:hint="eastAsia" w:ascii="宋体" w:hAnsi="宋体"/>
          <w:snapToGrid w:val="0"/>
          <w:color w:val="auto"/>
          <w:kern w:val="0"/>
          <w:szCs w:val="21"/>
          <w:highlight w:val="none"/>
        </w:rPr>
        <w:t>：重庆市南岸区</w:t>
      </w:r>
      <w:r>
        <w:rPr>
          <w:rFonts w:hint="eastAsia" w:ascii="宋体" w:hAnsi="宋体"/>
          <w:snapToGrid w:val="0"/>
          <w:color w:val="auto"/>
          <w:kern w:val="0"/>
          <w:szCs w:val="21"/>
          <w:highlight w:val="none"/>
          <w:lang w:val="en-US" w:eastAsia="zh-CN"/>
        </w:rPr>
        <w:t>茶园经开区</w:t>
      </w:r>
      <w:r>
        <w:rPr>
          <w:rFonts w:hint="eastAsia" w:ascii="宋体" w:hAnsi="宋体"/>
          <w:snapToGrid w:val="0"/>
          <w:color w:val="auto"/>
          <w:kern w:val="0"/>
          <w:szCs w:val="21"/>
          <w:highlight w:val="none"/>
          <w:u w:val="none"/>
          <w:lang w:eastAsia="zh-CN"/>
        </w:rPr>
        <w:t>。</w:t>
      </w:r>
    </w:p>
    <w:p w14:paraId="7EF0E096">
      <w:pPr>
        <w:tabs>
          <w:tab w:val="left" w:pos="3840"/>
          <w:tab w:val="left" w:pos="5300"/>
        </w:tabs>
        <w:autoSpaceDE w:val="0"/>
        <w:autoSpaceDN w:val="0"/>
        <w:adjustRightInd w:val="0"/>
        <w:snapToGrid w:val="0"/>
        <w:spacing w:line="460" w:lineRule="exact"/>
        <w:ind w:firstLine="420" w:firstLineChars="200"/>
        <w:jc w:val="left"/>
        <w:rPr>
          <w:rFonts w:hint="default" w:ascii="宋体" w:hAnsi="宋体" w:eastAsia="宋体" w:cs="Times New Roman"/>
          <w:snapToGrid w:val="0"/>
          <w:color w:val="auto"/>
          <w:kern w:val="0"/>
          <w:szCs w:val="21"/>
          <w:highlight w:val="none"/>
          <w:lang w:val="en-US" w:eastAsia="zh-CN"/>
        </w:rPr>
      </w:pPr>
      <w:r>
        <w:rPr>
          <w:rFonts w:hint="eastAsia" w:ascii="宋体" w:hAnsi="宋体" w:cs="Times New Roman"/>
          <w:snapToGrid w:val="0"/>
          <w:color w:val="auto"/>
          <w:kern w:val="0"/>
          <w:szCs w:val="21"/>
          <w:highlight w:val="none"/>
          <w:lang w:val="en-US" w:eastAsia="zh-CN"/>
        </w:rPr>
        <w:t>2.2 项目概况：管护面积约1960亩（最终以实际管护为准）。</w:t>
      </w:r>
    </w:p>
    <w:p w14:paraId="3291026B">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cs="Times New Roman"/>
          <w:snapToGrid w:val="0"/>
          <w:color w:val="auto"/>
          <w:kern w:val="0"/>
          <w:szCs w:val="21"/>
          <w:highlight w:val="none"/>
          <w:u w:val="none"/>
        </w:rPr>
      </w:pPr>
      <w:r>
        <w:rPr>
          <w:rFonts w:hint="eastAsia" w:ascii="宋体" w:hAnsi="宋体" w:cs="Times New Roman"/>
          <w:snapToGrid w:val="0"/>
          <w:color w:val="auto"/>
          <w:kern w:val="0"/>
          <w:szCs w:val="21"/>
          <w:highlight w:val="none"/>
        </w:rPr>
        <w:t>2.</w:t>
      </w:r>
      <w:r>
        <w:rPr>
          <w:rFonts w:hint="eastAsia" w:ascii="宋体" w:hAnsi="宋体" w:cs="Times New Roman"/>
          <w:snapToGrid w:val="0"/>
          <w:color w:val="auto"/>
          <w:kern w:val="0"/>
          <w:szCs w:val="21"/>
          <w:highlight w:val="none"/>
          <w:lang w:val="en-US" w:eastAsia="zh-CN"/>
        </w:rPr>
        <w:t>3</w:t>
      </w:r>
      <w:r>
        <w:rPr>
          <w:rFonts w:hint="eastAsia" w:ascii="宋体" w:hAnsi="宋体" w:cs="Times New Roman"/>
          <w:snapToGrid w:val="0"/>
          <w:color w:val="auto"/>
          <w:kern w:val="0"/>
          <w:szCs w:val="21"/>
          <w:highlight w:val="none"/>
        </w:rPr>
        <w:t xml:space="preserve"> </w:t>
      </w:r>
      <w:r>
        <w:rPr>
          <w:rFonts w:hint="eastAsia" w:ascii="宋体" w:hAnsi="宋体" w:cs="Times New Roman"/>
          <w:snapToGrid w:val="0"/>
          <w:color w:val="auto"/>
          <w:kern w:val="0"/>
          <w:szCs w:val="21"/>
          <w:highlight w:val="none"/>
          <w:lang w:val="en-US" w:eastAsia="zh-CN"/>
        </w:rPr>
        <w:t>比选</w:t>
      </w:r>
      <w:r>
        <w:rPr>
          <w:rFonts w:hint="eastAsia" w:ascii="宋体" w:hAnsi="宋体" w:cs="Times New Roman"/>
          <w:snapToGrid w:val="0"/>
          <w:color w:val="auto"/>
          <w:kern w:val="0"/>
          <w:szCs w:val="21"/>
          <w:highlight w:val="none"/>
        </w:rPr>
        <w:t>范围：负责履行土地管护职责，负责土地管护具体工作：包括但不限于各类现场问题协调、处置，如非法侵占、乱倾乱倒、安全管理、信访投诉、图斑整改等</w:t>
      </w:r>
      <w:r>
        <w:rPr>
          <w:rFonts w:hint="eastAsia" w:ascii="宋体" w:hAnsi="宋体" w:cs="Times New Roman"/>
          <w:snapToGrid w:val="0"/>
          <w:color w:val="auto"/>
          <w:kern w:val="0"/>
          <w:szCs w:val="21"/>
          <w:highlight w:val="none"/>
          <w:u w:val="none"/>
        </w:rPr>
        <w:t>。</w:t>
      </w:r>
    </w:p>
    <w:p w14:paraId="14976FC6">
      <w:pPr>
        <w:tabs>
          <w:tab w:val="left" w:pos="3840"/>
          <w:tab w:val="left" w:pos="5300"/>
        </w:tabs>
        <w:autoSpaceDE w:val="0"/>
        <w:autoSpaceDN w:val="0"/>
        <w:adjustRightInd w:val="0"/>
        <w:snapToGrid w:val="0"/>
        <w:spacing w:line="460" w:lineRule="exact"/>
        <w:ind w:firstLine="420" w:firstLineChars="200"/>
        <w:jc w:val="left"/>
        <w:rPr>
          <w:rFonts w:hint="default" w:ascii="宋体" w:hAnsi="宋体" w:eastAsia="宋体"/>
          <w:snapToGrid w:val="0"/>
          <w:color w:val="auto"/>
          <w:kern w:val="0"/>
          <w:szCs w:val="21"/>
          <w:highlight w:val="none"/>
          <w:u w:val="single"/>
          <w:lang w:val="en-US" w:eastAsia="zh-CN"/>
        </w:rPr>
      </w:pPr>
      <w:r>
        <w:rPr>
          <w:rFonts w:hint="eastAsia" w:ascii="宋体" w:hAnsi="宋体"/>
          <w:snapToGrid w:val="0"/>
          <w:color w:val="auto"/>
          <w:kern w:val="0"/>
          <w:szCs w:val="21"/>
          <w:highlight w:val="none"/>
        </w:rPr>
        <w:t>2.</w:t>
      </w:r>
      <w:r>
        <w:rPr>
          <w:rFonts w:hint="eastAsia" w:ascii="宋体" w:hAnsi="宋体"/>
          <w:snapToGrid w:val="0"/>
          <w:color w:val="auto"/>
          <w:kern w:val="0"/>
          <w:szCs w:val="21"/>
          <w:highlight w:val="none"/>
          <w:lang w:val="en-US" w:eastAsia="zh-CN"/>
        </w:rPr>
        <w:t>4</w:t>
      </w:r>
      <w:r>
        <w:rPr>
          <w:rFonts w:hint="eastAsia" w:ascii="宋体" w:hAnsi="宋体"/>
          <w:snapToGrid w:val="0"/>
          <w:color w:val="auto"/>
          <w:kern w:val="0"/>
          <w:szCs w:val="21"/>
          <w:highlight w:val="none"/>
        </w:rPr>
        <w:t xml:space="preserve"> 工期要求：</w:t>
      </w:r>
      <w:r>
        <w:rPr>
          <w:rFonts w:hint="eastAsia" w:ascii="宋体" w:hAnsi="宋体" w:cs="Times New Roman"/>
          <w:snapToGrid w:val="0"/>
          <w:color w:val="auto"/>
          <w:kern w:val="0"/>
          <w:szCs w:val="21"/>
          <w:highlight w:val="none"/>
          <w:u w:val="none"/>
          <w:lang w:val="en-US" w:eastAsia="zh-CN"/>
        </w:rPr>
        <w:t xml:space="preserve">1年。    </w:t>
      </w:r>
    </w:p>
    <w:p w14:paraId="007E7304">
      <w:pPr>
        <w:pStyle w:val="3"/>
        <w:spacing w:before="100" w:after="100" w:line="460" w:lineRule="exact"/>
        <w:rPr>
          <w:rFonts w:ascii="宋体" w:hAnsi="宋体"/>
          <w:snapToGrid w:val="0"/>
          <w:color w:val="auto"/>
          <w:sz w:val="28"/>
          <w:szCs w:val="28"/>
          <w:highlight w:val="none"/>
        </w:rPr>
      </w:pPr>
      <w:bookmarkStart w:id="43" w:name="_Toc5240"/>
      <w:bookmarkStart w:id="44" w:name="_Toc224103301"/>
      <w:bookmarkStart w:id="45" w:name="_Toc287607730"/>
      <w:bookmarkStart w:id="46" w:name="_Toc287620669"/>
      <w:bookmarkStart w:id="47" w:name="_Toc277082538"/>
      <w:bookmarkStart w:id="48" w:name="_Toc430530418"/>
      <w:bookmarkStart w:id="49" w:name="_Toc19513"/>
      <w:bookmarkStart w:id="50" w:name="_Toc200359429"/>
      <w:bookmarkStart w:id="51" w:name="_Toc200359240"/>
      <w:bookmarkStart w:id="52" w:name="_Toc509218694"/>
      <w:bookmarkStart w:id="53" w:name="_Toc1052"/>
      <w:r>
        <w:rPr>
          <w:rFonts w:ascii="宋体" w:hAnsi="宋体"/>
          <w:snapToGrid w:val="0"/>
          <w:color w:val="auto"/>
          <w:sz w:val="28"/>
          <w:szCs w:val="28"/>
          <w:highlight w:val="none"/>
        </w:rPr>
        <w:t xml:space="preserve">3. </w:t>
      </w:r>
      <w:r>
        <w:rPr>
          <w:rFonts w:hint="eastAsia" w:ascii="宋体" w:hAnsi="宋体"/>
          <w:snapToGrid w:val="0"/>
          <w:color w:val="auto"/>
          <w:sz w:val="28"/>
          <w:szCs w:val="28"/>
          <w:highlight w:val="none"/>
        </w:rPr>
        <w:t xml:space="preserve"> </w:t>
      </w:r>
      <w:r>
        <w:rPr>
          <w:rFonts w:hint="eastAsia" w:ascii="宋体" w:hAnsi="宋体"/>
          <w:snapToGrid w:val="0"/>
          <w:color w:val="auto"/>
          <w:sz w:val="28"/>
          <w:szCs w:val="28"/>
          <w:highlight w:val="none"/>
          <w:lang w:eastAsia="zh-CN"/>
        </w:rPr>
        <w:t>竞选人</w:t>
      </w:r>
      <w:r>
        <w:rPr>
          <w:rFonts w:ascii="宋体" w:hAnsi="宋体"/>
          <w:snapToGrid w:val="0"/>
          <w:color w:val="auto"/>
          <w:sz w:val="28"/>
          <w:szCs w:val="28"/>
          <w:highlight w:val="none"/>
        </w:rPr>
        <w:t>资格要求</w:t>
      </w:r>
      <w:bookmarkEnd w:id="43"/>
      <w:bookmarkEnd w:id="44"/>
      <w:bookmarkEnd w:id="45"/>
      <w:bookmarkEnd w:id="46"/>
      <w:bookmarkEnd w:id="47"/>
      <w:bookmarkEnd w:id="48"/>
      <w:bookmarkEnd w:id="49"/>
      <w:bookmarkEnd w:id="50"/>
      <w:bookmarkEnd w:id="51"/>
      <w:bookmarkEnd w:id="52"/>
      <w:bookmarkEnd w:id="53"/>
    </w:p>
    <w:p w14:paraId="2C33B9FF">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ascii="宋体" w:hAnsi="宋体"/>
          <w:snapToGrid w:val="0"/>
          <w:color w:val="auto"/>
          <w:kern w:val="0"/>
          <w:szCs w:val="21"/>
          <w:highlight w:val="none"/>
        </w:rPr>
        <w:t>3.1  本次招标要求</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须具备</w:t>
      </w:r>
      <w:r>
        <w:rPr>
          <w:rFonts w:hint="eastAsia" w:ascii="宋体" w:hAnsi="宋体"/>
          <w:snapToGrid w:val="0"/>
          <w:color w:val="auto"/>
          <w:kern w:val="0"/>
          <w:szCs w:val="21"/>
          <w:highlight w:val="none"/>
        </w:rPr>
        <w:t>以下条件：</w:t>
      </w:r>
    </w:p>
    <w:p w14:paraId="51EEBEA8">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3.1.1 本次招标要求</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具备的资质条件：</w:t>
      </w:r>
      <w:r>
        <w:rPr>
          <w:rFonts w:hint="eastAsia" w:ascii="宋体" w:hAnsi="宋体"/>
          <w:snapToGrid w:val="0"/>
          <w:color w:val="auto"/>
          <w:kern w:val="0"/>
          <w:szCs w:val="21"/>
          <w:highlight w:val="none"/>
          <w:u w:val="single"/>
        </w:rPr>
        <w:t xml:space="preserve"> </w:t>
      </w:r>
      <w:bookmarkStart w:id="54" w:name="OLE_LINK2"/>
      <w:r>
        <w:rPr>
          <w:rFonts w:hint="eastAsia" w:ascii="宋体" w:hAnsi="宋体"/>
          <w:snapToGrid w:val="0"/>
          <w:color w:val="auto"/>
          <w:kern w:val="0"/>
          <w:szCs w:val="21"/>
          <w:highlight w:val="none"/>
          <w:u w:val="single"/>
          <w:lang w:val="en-US" w:eastAsia="zh-CN"/>
        </w:rPr>
        <w:t>具备工商行政部门办法的有效的营业执照</w:t>
      </w:r>
      <w:r>
        <w:rPr>
          <w:rFonts w:hint="eastAsia" w:ascii="宋体" w:hAnsi="宋体"/>
          <w:snapToGrid w:val="0"/>
          <w:color w:val="auto"/>
          <w:kern w:val="0"/>
          <w:szCs w:val="21"/>
          <w:highlight w:val="none"/>
          <w:u w:val="single"/>
        </w:rPr>
        <w:t xml:space="preserve"> </w:t>
      </w:r>
      <w:bookmarkEnd w:id="54"/>
      <w:r>
        <w:rPr>
          <w:rFonts w:hint="eastAsia" w:ascii="宋体" w:hAnsi="宋体"/>
          <w:snapToGrid w:val="0"/>
          <w:color w:val="auto"/>
          <w:kern w:val="0"/>
          <w:szCs w:val="21"/>
          <w:highlight w:val="none"/>
        </w:rPr>
        <w:t>；</w:t>
      </w:r>
    </w:p>
    <w:p w14:paraId="31A38098">
      <w:pPr>
        <w:tabs>
          <w:tab w:val="left" w:pos="3840"/>
          <w:tab w:val="left" w:pos="5300"/>
        </w:tabs>
        <w:autoSpaceDE w:val="0"/>
        <w:autoSpaceDN w:val="0"/>
        <w:adjustRightInd w:val="0"/>
        <w:snapToGrid w:val="0"/>
        <w:spacing w:line="460" w:lineRule="exact"/>
        <w:ind w:firstLine="420" w:firstLineChars="200"/>
        <w:jc w:val="left"/>
        <w:rPr>
          <w:rFonts w:ascii="宋体" w:hAnsi="宋体"/>
          <w:color w:val="auto"/>
          <w:szCs w:val="21"/>
          <w:highlight w:val="none"/>
        </w:rPr>
      </w:pPr>
      <w:r>
        <w:rPr>
          <w:rFonts w:hint="eastAsia" w:ascii="宋体" w:hAnsi="宋体"/>
          <w:snapToGrid w:val="0"/>
          <w:color w:val="auto"/>
          <w:kern w:val="0"/>
          <w:szCs w:val="21"/>
          <w:highlight w:val="none"/>
        </w:rPr>
        <w:t>3.1.</w:t>
      </w:r>
      <w:r>
        <w:rPr>
          <w:rFonts w:hint="eastAsia" w:ascii="宋体" w:hAnsi="宋体"/>
          <w:snapToGrid w:val="0"/>
          <w:color w:val="auto"/>
          <w:kern w:val="0"/>
          <w:szCs w:val="21"/>
          <w:highlight w:val="none"/>
          <w:lang w:val="en-US" w:eastAsia="zh-CN"/>
        </w:rPr>
        <w:t>2</w:t>
      </w:r>
      <w:r>
        <w:rPr>
          <w:rFonts w:hint="eastAsia" w:ascii="宋体" w:hAnsi="宋体"/>
          <w:snapToGrid w:val="0"/>
          <w:color w:val="auto"/>
          <w:kern w:val="0"/>
          <w:szCs w:val="21"/>
          <w:highlight w:val="none"/>
        </w:rPr>
        <w:t xml:space="preserve"> </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还应在人员、设备、资金等方面具有相应的</w:t>
      </w:r>
      <w:r>
        <w:rPr>
          <w:rFonts w:hint="eastAsia" w:ascii="宋体" w:hAnsi="宋体"/>
          <w:snapToGrid w:val="0"/>
          <w:color w:val="auto"/>
          <w:kern w:val="0"/>
          <w:szCs w:val="21"/>
          <w:highlight w:val="none"/>
          <w:lang w:val="en-US" w:eastAsia="zh-CN"/>
        </w:rPr>
        <w:t>服务</w:t>
      </w:r>
      <w:r>
        <w:rPr>
          <w:rFonts w:hint="eastAsia" w:ascii="宋体" w:hAnsi="宋体"/>
          <w:snapToGrid w:val="0"/>
          <w:color w:val="auto"/>
          <w:kern w:val="0"/>
          <w:szCs w:val="21"/>
          <w:highlight w:val="none"/>
        </w:rPr>
        <w:t>能力，详见招标文件第二章</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须知前附表第1.4.1项内容。</w:t>
      </w:r>
    </w:p>
    <w:p w14:paraId="5AB26C69">
      <w:pPr>
        <w:tabs>
          <w:tab w:val="left" w:pos="3045"/>
          <w:tab w:val="left" w:pos="8310"/>
        </w:tabs>
        <w:autoSpaceDE w:val="0"/>
        <w:autoSpaceDN w:val="0"/>
        <w:adjustRightInd w:val="0"/>
        <w:snapToGrid w:val="0"/>
        <w:spacing w:line="46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3.2  本次招标</w:t>
      </w:r>
      <w:r>
        <w:rPr>
          <w:rFonts w:hint="eastAsia" w:ascii="宋体" w:hAnsi="宋体"/>
          <w:snapToGrid w:val="0"/>
          <w:color w:val="auto"/>
          <w:kern w:val="0"/>
          <w:szCs w:val="21"/>
          <w:highlight w:val="none"/>
        </w:rPr>
        <w:t xml:space="preserve"> 不接受</w:t>
      </w:r>
      <w:r>
        <w:rPr>
          <w:rFonts w:hint="eastAsia" w:ascii="宋体" w:hAnsi="宋体"/>
          <w:snapToGrid w:val="0"/>
          <w:color w:val="auto"/>
          <w:kern w:val="0"/>
          <w:szCs w:val="21"/>
          <w:highlight w:val="none"/>
          <w:lang w:val="en-US" w:eastAsia="zh-CN"/>
        </w:rPr>
        <w:t xml:space="preserve"> </w:t>
      </w:r>
      <w:r>
        <w:rPr>
          <w:rFonts w:ascii="宋体" w:hAnsi="宋体"/>
          <w:snapToGrid w:val="0"/>
          <w:color w:val="auto"/>
          <w:kern w:val="0"/>
          <w:szCs w:val="21"/>
          <w:highlight w:val="none"/>
        </w:rPr>
        <w:t>联合体投标。</w:t>
      </w:r>
    </w:p>
    <w:p w14:paraId="584F66F0">
      <w:pPr>
        <w:pStyle w:val="3"/>
        <w:spacing w:before="100" w:after="100" w:line="460" w:lineRule="exact"/>
        <w:rPr>
          <w:rFonts w:ascii="宋体" w:hAnsi="宋体"/>
          <w:snapToGrid w:val="0"/>
          <w:color w:val="auto"/>
          <w:sz w:val="28"/>
          <w:szCs w:val="28"/>
          <w:highlight w:val="none"/>
        </w:rPr>
      </w:pPr>
      <w:bookmarkStart w:id="55" w:name="_Toc430530419"/>
      <w:bookmarkStart w:id="56" w:name="_Toc287607731"/>
      <w:bookmarkStart w:id="57" w:name="_Toc200359241"/>
      <w:bookmarkStart w:id="58" w:name="_Toc10508"/>
      <w:bookmarkStart w:id="59" w:name="_Toc200359430"/>
      <w:bookmarkStart w:id="60" w:name="_Toc4182"/>
      <w:bookmarkStart w:id="61" w:name="_Toc277082539"/>
      <w:bookmarkStart w:id="62" w:name="_Toc224103302"/>
      <w:bookmarkStart w:id="63" w:name="_Toc13751"/>
      <w:bookmarkStart w:id="64" w:name="_Toc287620670"/>
      <w:bookmarkStart w:id="65" w:name="_Toc509218695"/>
      <w:r>
        <w:rPr>
          <w:rFonts w:ascii="宋体" w:hAnsi="宋体"/>
          <w:snapToGrid w:val="0"/>
          <w:color w:val="auto"/>
          <w:sz w:val="28"/>
          <w:szCs w:val="28"/>
          <w:highlight w:val="none"/>
        </w:rPr>
        <w:t xml:space="preserve">4.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招标文件的获取</w:t>
      </w:r>
      <w:bookmarkEnd w:id="55"/>
      <w:bookmarkEnd w:id="56"/>
      <w:bookmarkEnd w:id="57"/>
      <w:bookmarkEnd w:id="58"/>
      <w:bookmarkEnd w:id="59"/>
      <w:bookmarkEnd w:id="60"/>
      <w:bookmarkEnd w:id="61"/>
      <w:bookmarkEnd w:id="62"/>
      <w:bookmarkEnd w:id="63"/>
      <w:bookmarkEnd w:id="64"/>
      <w:bookmarkEnd w:id="65"/>
    </w:p>
    <w:p w14:paraId="02C6D073">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4.1  </w:t>
      </w:r>
      <w:r>
        <w:rPr>
          <w:rFonts w:ascii="宋体" w:hAnsi="宋体"/>
          <w:snapToGrid w:val="0"/>
          <w:color w:val="auto"/>
          <w:kern w:val="0"/>
          <w:szCs w:val="21"/>
          <w:highlight w:val="none"/>
        </w:rPr>
        <w:t>凡有意参加投标者，请于</w:t>
      </w:r>
      <w:r>
        <w:rPr>
          <w:rFonts w:hint="eastAsia" w:ascii="宋体" w:hAnsi="宋体"/>
          <w:snapToGrid w:val="0"/>
          <w:color w:val="auto"/>
          <w:kern w:val="0"/>
          <w:szCs w:val="21"/>
          <w:highlight w:val="none"/>
          <w:u w:val="single"/>
          <w:lang w:val="en-US" w:eastAsia="zh-CN"/>
        </w:rPr>
        <w:t xml:space="preserve">2025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2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27 </w:t>
      </w:r>
      <w:r>
        <w:rPr>
          <w:rFonts w:ascii="宋体" w:hAnsi="宋体"/>
          <w:snapToGrid w:val="0"/>
          <w:color w:val="auto"/>
          <w:kern w:val="0"/>
          <w:szCs w:val="21"/>
          <w:highlight w:val="none"/>
        </w:rPr>
        <w:t>日</w:t>
      </w:r>
      <w:r>
        <w:rPr>
          <w:rFonts w:ascii="宋体" w:hAnsi="宋体"/>
          <w:snapToGrid w:val="0"/>
          <w:color w:val="auto"/>
          <w:kern w:val="0"/>
          <w:szCs w:val="21"/>
          <w:highlight w:val="none"/>
        </w:rPr>
        <w:t>（北京时间，下同）起在</w:t>
      </w:r>
      <w:r>
        <w:rPr>
          <w:rFonts w:hint="eastAsia" w:ascii="宋体" w:hAnsi="宋体"/>
          <w:snapToGrid w:val="0"/>
          <w:color w:val="auto"/>
          <w:kern w:val="0"/>
          <w:szCs w:val="21"/>
          <w:highlight w:val="none"/>
          <w:lang w:val="en-US" w:eastAsia="zh-CN"/>
        </w:rPr>
        <w:t>行采家</w:t>
      </w:r>
      <w:r>
        <w:rPr>
          <w:rFonts w:hint="eastAsia" w:ascii="宋体" w:hAnsi="宋体"/>
          <w:snapToGrid w:val="0"/>
          <w:color w:val="auto"/>
          <w:kern w:val="0"/>
          <w:szCs w:val="21"/>
          <w:highlight w:val="none"/>
        </w:rPr>
        <w:t>(https://www.gec123.com/）</w:t>
      </w:r>
      <w:r>
        <w:rPr>
          <w:rFonts w:hint="eastAsia" w:ascii="宋体" w:hAnsi="宋体"/>
          <w:snapToGrid w:val="0"/>
          <w:color w:val="auto"/>
          <w:kern w:val="0"/>
          <w:szCs w:val="21"/>
          <w:highlight w:val="none"/>
          <w:lang w:eastAsia="zh-CN"/>
        </w:rPr>
        <w:t>、</w:t>
      </w:r>
      <w:bookmarkStart w:id="66" w:name="OLE_LINK14"/>
      <w:r>
        <w:rPr>
          <w:rFonts w:hint="eastAsia" w:ascii="宋体" w:hAnsi="宋体"/>
          <w:snapToGrid w:val="0"/>
          <w:color w:val="auto"/>
          <w:kern w:val="0"/>
          <w:szCs w:val="21"/>
          <w:highlight w:val="none"/>
          <w:lang w:eastAsia="zh-CN"/>
        </w:rPr>
        <w:t>重庆广阳湾生态城投资发展集团有限公司官网（http://cq-gyw.com/）</w:t>
      </w:r>
      <w:bookmarkEnd w:id="66"/>
      <w:r>
        <w:rPr>
          <w:rFonts w:ascii="宋体" w:hAnsi="宋体"/>
          <w:snapToGrid w:val="0"/>
          <w:color w:val="auto"/>
          <w:kern w:val="0"/>
          <w:szCs w:val="21"/>
          <w:highlight w:val="none"/>
        </w:rPr>
        <w:t>下载招标文件</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工程量清单、图纸、澄清、修改、补充通知、最高限价通知等全部内容。不管下载与否都视为潜在</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全部知晓有关招投标过程和全部内容。</w:t>
      </w:r>
    </w:p>
    <w:p w14:paraId="46271C5C">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ascii="宋体" w:hAnsi="宋体"/>
          <w:snapToGrid w:val="0"/>
          <w:color w:val="auto"/>
          <w:kern w:val="0"/>
          <w:szCs w:val="21"/>
          <w:highlight w:val="none"/>
          <w:u w:val="none"/>
        </w:rPr>
      </w:pPr>
      <w:r>
        <w:rPr>
          <w:rFonts w:hint="eastAsia" w:ascii="宋体" w:hAnsi="宋体"/>
          <w:snapToGrid w:val="0"/>
          <w:color w:val="auto"/>
          <w:kern w:val="0"/>
          <w:szCs w:val="21"/>
          <w:highlight w:val="none"/>
        </w:rPr>
        <w:t xml:space="preserve">4.2  </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提问时间从本公告发布至（北京时间）前</w:t>
      </w:r>
      <w:r>
        <w:rPr>
          <w:rFonts w:hint="eastAsia" w:ascii="宋体" w:hAnsi="宋体"/>
          <w:snapToGrid w:val="0"/>
          <w:color w:val="auto"/>
          <w:kern w:val="0"/>
          <w:szCs w:val="21"/>
          <w:highlight w:val="none"/>
          <w:u w:val="single"/>
          <w:lang w:val="en-US" w:eastAsia="zh-CN"/>
        </w:rPr>
        <w:t xml:space="preserve">2025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3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3 </w:t>
      </w:r>
      <w:r>
        <w:rPr>
          <w:rFonts w:ascii="宋体" w:hAnsi="宋体"/>
          <w:snapToGrid w:val="0"/>
          <w:color w:val="auto"/>
          <w:kern w:val="0"/>
          <w:szCs w:val="21"/>
          <w:highlight w:val="none"/>
        </w:rPr>
        <w:t>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17</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00</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rPr>
        <w:t>分</w:t>
      </w:r>
      <w:r>
        <w:rPr>
          <w:rFonts w:hint="eastAsia" w:ascii="宋体" w:hAnsi="宋体"/>
          <w:snapToGrid w:val="0"/>
          <w:color w:val="auto"/>
          <w:kern w:val="0"/>
          <w:szCs w:val="21"/>
          <w:highlight w:val="none"/>
          <w:u w:val="none"/>
          <w:lang w:val="en-US" w:eastAsia="zh-CN"/>
        </w:rPr>
        <w:t>前，向代理机构或比选人</w:t>
      </w:r>
      <w:r>
        <w:rPr>
          <w:rFonts w:hint="eastAsia" w:ascii="宋体" w:hAnsi="宋体"/>
          <w:snapToGrid w:val="0"/>
          <w:color w:val="auto"/>
          <w:kern w:val="0"/>
          <w:szCs w:val="21"/>
          <w:highlight w:val="none"/>
          <w:u w:val="none"/>
        </w:rPr>
        <w:t>提出疑问</w:t>
      </w:r>
      <w:r>
        <w:rPr>
          <w:rFonts w:hint="eastAsia" w:ascii="宋体" w:hAnsi="宋体"/>
          <w:snapToGrid w:val="0"/>
          <w:color w:val="auto"/>
          <w:kern w:val="0"/>
          <w:szCs w:val="21"/>
          <w:highlight w:val="none"/>
          <w:u w:val="none"/>
          <w:lang w:eastAsia="zh-CN"/>
        </w:rPr>
        <w:t>（</w:t>
      </w:r>
      <w:r>
        <w:rPr>
          <w:rFonts w:hint="eastAsia" w:ascii="宋体" w:hAnsi="宋体"/>
          <w:snapToGrid w:val="0"/>
          <w:color w:val="auto"/>
          <w:kern w:val="0"/>
          <w:szCs w:val="21"/>
          <w:highlight w:val="none"/>
          <w:u w:val="none"/>
          <w:lang w:val="en-US" w:eastAsia="zh-CN"/>
        </w:rPr>
        <w:t>纸质形式</w:t>
      </w:r>
      <w:r>
        <w:rPr>
          <w:rFonts w:hint="eastAsia" w:ascii="宋体" w:hAnsi="宋体"/>
          <w:snapToGrid w:val="0"/>
          <w:color w:val="auto"/>
          <w:kern w:val="0"/>
          <w:szCs w:val="21"/>
          <w:highlight w:val="none"/>
          <w:u w:val="none"/>
          <w:lang w:eastAsia="zh-CN"/>
        </w:rPr>
        <w:t>）</w:t>
      </w:r>
      <w:r>
        <w:rPr>
          <w:rFonts w:hint="eastAsia" w:ascii="宋体" w:hAnsi="宋体"/>
          <w:snapToGrid w:val="0"/>
          <w:color w:val="auto"/>
          <w:kern w:val="0"/>
          <w:szCs w:val="21"/>
          <w:highlight w:val="none"/>
          <w:u w:val="none"/>
        </w:rPr>
        <w:t>。</w:t>
      </w:r>
    </w:p>
    <w:p w14:paraId="61D598C7">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4.3  </w:t>
      </w:r>
      <w:r>
        <w:rPr>
          <w:rFonts w:hint="eastAsia" w:ascii="宋体" w:hAnsi="宋体"/>
          <w:snapToGrid w:val="0"/>
          <w:color w:val="auto"/>
          <w:kern w:val="0"/>
          <w:szCs w:val="21"/>
          <w:highlight w:val="none"/>
          <w:lang w:eastAsia="zh-CN"/>
        </w:rPr>
        <w:t>比选人</w:t>
      </w:r>
      <w:r>
        <w:rPr>
          <w:rFonts w:hint="eastAsia" w:ascii="宋体" w:hAnsi="宋体"/>
          <w:snapToGrid w:val="0"/>
          <w:color w:val="auto"/>
          <w:kern w:val="0"/>
          <w:szCs w:val="21"/>
          <w:highlight w:val="none"/>
        </w:rPr>
        <w:t>应于</w:t>
      </w:r>
      <w:r>
        <w:rPr>
          <w:rFonts w:hint="eastAsia" w:ascii="宋体" w:hAnsi="宋体"/>
          <w:snapToGrid w:val="0"/>
          <w:color w:val="auto"/>
          <w:kern w:val="0"/>
          <w:szCs w:val="21"/>
          <w:highlight w:val="none"/>
          <w:u w:val="single"/>
          <w:lang w:val="en-US" w:eastAsia="zh-CN"/>
        </w:rPr>
        <w:t xml:space="preserve">2025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3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5 </w:t>
      </w:r>
      <w:r>
        <w:rPr>
          <w:rFonts w:ascii="宋体" w:hAnsi="宋体"/>
          <w:snapToGrid w:val="0"/>
          <w:color w:val="auto"/>
          <w:kern w:val="0"/>
          <w:szCs w:val="21"/>
          <w:highlight w:val="none"/>
        </w:rPr>
        <w:t>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18</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00</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rPr>
        <w:t>分</w:t>
      </w:r>
      <w:r>
        <w:rPr>
          <w:rFonts w:hint="eastAsia" w:ascii="宋体" w:hAnsi="宋体"/>
          <w:snapToGrid w:val="0"/>
          <w:color w:val="auto"/>
          <w:kern w:val="0"/>
          <w:szCs w:val="21"/>
          <w:highlight w:val="none"/>
        </w:rPr>
        <w:t>（北京时间）前在</w:t>
      </w:r>
      <w:r>
        <w:rPr>
          <w:rFonts w:hint="eastAsia" w:ascii="宋体" w:hAnsi="宋体"/>
          <w:snapToGrid w:val="0"/>
          <w:color w:val="auto"/>
          <w:kern w:val="0"/>
          <w:szCs w:val="21"/>
          <w:highlight w:val="none"/>
          <w:lang w:val="en-US" w:eastAsia="zh-CN"/>
        </w:rPr>
        <w:t>行采家</w:t>
      </w:r>
      <w:r>
        <w:rPr>
          <w:rFonts w:hint="eastAsia" w:ascii="宋体" w:hAnsi="宋体"/>
          <w:snapToGrid w:val="0"/>
          <w:color w:val="auto"/>
          <w:kern w:val="0"/>
          <w:szCs w:val="21"/>
          <w:highlight w:val="none"/>
        </w:rPr>
        <w:t>(https://www.gec123.com/）</w:t>
      </w:r>
      <w:r>
        <w:rPr>
          <w:rFonts w:hint="eastAsia" w:ascii="宋体" w:hAnsi="宋体"/>
          <w:snapToGrid w:val="0"/>
          <w:color w:val="auto"/>
          <w:kern w:val="0"/>
          <w:szCs w:val="21"/>
          <w:highlight w:val="none"/>
          <w:lang w:eastAsia="zh-CN"/>
        </w:rPr>
        <w:t>、</w:t>
      </w:r>
      <w:bookmarkStart w:id="67" w:name="OLE_LINK15"/>
      <w:r>
        <w:rPr>
          <w:rFonts w:hint="eastAsia" w:ascii="宋体" w:hAnsi="宋体"/>
          <w:snapToGrid w:val="0"/>
          <w:color w:val="auto"/>
          <w:kern w:val="0"/>
          <w:szCs w:val="21"/>
          <w:highlight w:val="none"/>
          <w:lang w:eastAsia="zh-CN"/>
        </w:rPr>
        <w:t>重庆广阳湾生态城投资发展集团有限公司官网（http://cq-gyw.com/）</w:t>
      </w:r>
      <w:bookmarkEnd w:id="67"/>
      <w:r>
        <w:rPr>
          <w:rFonts w:hint="eastAsia" w:ascii="宋体" w:hAnsi="宋体"/>
          <w:snapToGrid w:val="0"/>
          <w:color w:val="auto"/>
          <w:kern w:val="0"/>
          <w:szCs w:val="21"/>
          <w:highlight w:val="none"/>
        </w:rPr>
        <w:t>发布澄清</w:t>
      </w:r>
      <w:r>
        <w:rPr>
          <w:rFonts w:hint="eastAsia" w:ascii="宋体" w:hAnsi="宋体"/>
          <w:snapToGrid w:val="0"/>
          <w:color w:val="auto"/>
          <w:kern w:val="0"/>
          <w:szCs w:val="21"/>
          <w:highlight w:val="none"/>
          <w:lang w:val="en-US" w:eastAsia="zh-CN"/>
        </w:rPr>
        <w:t>或修改</w:t>
      </w:r>
      <w:r>
        <w:rPr>
          <w:rFonts w:hint="eastAsia" w:ascii="宋体" w:hAnsi="宋体"/>
          <w:snapToGrid w:val="0"/>
          <w:color w:val="auto"/>
          <w:kern w:val="0"/>
          <w:szCs w:val="21"/>
          <w:highlight w:val="none"/>
        </w:rPr>
        <w:t>。</w:t>
      </w:r>
    </w:p>
    <w:p w14:paraId="63E87047">
      <w:pPr>
        <w:pStyle w:val="3"/>
        <w:spacing w:before="100" w:after="100" w:line="460" w:lineRule="exact"/>
        <w:rPr>
          <w:rFonts w:ascii="宋体" w:hAnsi="宋体"/>
          <w:snapToGrid w:val="0"/>
          <w:color w:val="auto"/>
          <w:sz w:val="28"/>
          <w:szCs w:val="28"/>
          <w:highlight w:val="none"/>
        </w:rPr>
      </w:pPr>
      <w:bookmarkStart w:id="68" w:name="_Toc287620671"/>
      <w:bookmarkStart w:id="69" w:name="_Toc28449"/>
      <w:bookmarkStart w:id="70" w:name="_Toc509218696"/>
      <w:bookmarkStart w:id="71" w:name="_Toc430530420"/>
      <w:bookmarkStart w:id="72" w:name="_Toc277082540"/>
      <w:bookmarkStart w:id="73" w:name="_Toc3893"/>
      <w:bookmarkStart w:id="74" w:name="_Toc287607732"/>
      <w:bookmarkStart w:id="75" w:name="_Toc11595"/>
      <w:bookmarkStart w:id="76" w:name="_Toc200359431"/>
      <w:bookmarkStart w:id="77" w:name="_Toc224103303"/>
      <w:bookmarkStart w:id="78" w:name="_Toc200359242"/>
      <w:r>
        <w:rPr>
          <w:rFonts w:ascii="宋体" w:hAnsi="宋体"/>
          <w:snapToGrid w:val="0"/>
          <w:color w:val="auto"/>
          <w:sz w:val="28"/>
          <w:szCs w:val="28"/>
          <w:highlight w:val="none"/>
        </w:rPr>
        <w:t xml:space="preserve">5. </w:t>
      </w:r>
      <w:r>
        <w:rPr>
          <w:rFonts w:hint="eastAsia" w:ascii="宋体" w:hAnsi="宋体"/>
          <w:snapToGrid w:val="0"/>
          <w:color w:val="auto"/>
          <w:sz w:val="28"/>
          <w:szCs w:val="28"/>
          <w:highlight w:val="none"/>
        </w:rPr>
        <w:t xml:space="preserve"> </w:t>
      </w:r>
      <w:r>
        <w:rPr>
          <w:rFonts w:hint="eastAsia" w:ascii="宋体" w:hAnsi="宋体"/>
          <w:snapToGrid w:val="0"/>
          <w:color w:val="auto"/>
          <w:sz w:val="28"/>
          <w:szCs w:val="28"/>
          <w:highlight w:val="none"/>
          <w:lang w:eastAsia="zh-CN"/>
        </w:rPr>
        <w:t>竞选文件</w:t>
      </w:r>
      <w:r>
        <w:rPr>
          <w:rFonts w:ascii="宋体" w:hAnsi="宋体"/>
          <w:snapToGrid w:val="0"/>
          <w:color w:val="auto"/>
          <w:sz w:val="28"/>
          <w:szCs w:val="28"/>
          <w:highlight w:val="none"/>
        </w:rPr>
        <w:t>的递交</w:t>
      </w:r>
      <w:bookmarkEnd w:id="68"/>
      <w:bookmarkEnd w:id="69"/>
      <w:bookmarkEnd w:id="70"/>
      <w:bookmarkEnd w:id="71"/>
      <w:bookmarkEnd w:id="72"/>
      <w:bookmarkEnd w:id="73"/>
      <w:bookmarkEnd w:id="74"/>
      <w:bookmarkEnd w:id="75"/>
      <w:bookmarkEnd w:id="76"/>
      <w:bookmarkEnd w:id="77"/>
      <w:bookmarkEnd w:id="78"/>
    </w:p>
    <w:p w14:paraId="237DDE47">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5.1  </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递交的截止时间（投标截止时间，下同）为</w:t>
      </w:r>
      <w:r>
        <w:rPr>
          <w:rFonts w:hint="eastAsia" w:ascii="宋体" w:hAnsi="宋体"/>
          <w:snapToGrid w:val="0"/>
          <w:color w:val="auto"/>
          <w:kern w:val="0"/>
          <w:szCs w:val="21"/>
          <w:highlight w:val="none"/>
          <w:u w:val="single"/>
          <w:lang w:val="en-US" w:eastAsia="zh-CN"/>
        </w:rPr>
        <w:t xml:space="preserve">2025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3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11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14</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时</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30</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分，地点为</w:t>
      </w:r>
      <w:r>
        <w:rPr>
          <w:rFonts w:hint="eastAsia" w:ascii="宋体" w:hAnsi="宋体"/>
          <w:snapToGrid w:val="0"/>
          <w:color w:val="auto"/>
          <w:kern w:val="0"/>
          <w:szCs w:val="21"/>
          <w:highlight w:val="none"/>
          <w:u w:val="single"/>
        </w:rPr>
        <w:t xml:space="preserve"> </w:t>
      </w:r>
      <w:bookmarkStart w:id="79" w:name="OLE_LINK4"/>
      <w:r>
        <w:rPr>
          <w:rFonts w:hint="eastAsia" w:ascii="宋体" w:hAnsi="宋体"/>
          <w:snapToGrid w:val="0"/>
          <w:color w:val="auto"/>
          <w:kern w:val="0"/>
          <w:szCs w:val="21"/>
          <w:highlight w:val="none"/>
          <w:u w:val="single"/>
          <w:lang w:eastAsia="zh-CN"/>
        </w:rPr>
        <w:t>重庆得皓工程项目管理咨询有限公司 会议室（重庆市南岸区通江大道214号2栋4单元4-9 ）</w:t>
      </w:r>
      <w:bookmarkEnd w:id="79"/>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p>
    <w:p w14:paraId="22A616B9">
      <w:pPr>
        <w:autoSpaceDE w:val="0"/>
        <w:autoSpaceDN w:val="0"/>
        <w:adjustRightInd w:val="0"/>
        <w:snapToGrid w:val="0"/>
        <w:spacing w:line="450" w:lineRule="exact"/>
        <w:ind w:firstLine="420" w:firstLineChars="200"/>
        <w:rPr>
          <w:rFonts w:hint="eastAsia" w:ascii="宋体" w:hAnsi="宋体"/>
          <w:snapToGrid w:val="0"/>
          <w:color w:val="auto"/>
          <w:kern w:val="0"/>
          <w:szCs w:val="21"/>
          <w:highlight w:val="none"/>
          <w:lang w:val="en-US" w:eastAsia="zh-CN"/>
        </w:rPr>
      </w:pPr>
      <w:r>
        <w:rPr>
          <w:rFonts w:ascii="宋体" w:hAnsi="宋体"/>
          <w:snapToGrid w:val="0"/>
          <w:color w:val="auto"/>
          <w:kern w:val="0"/>
          <w:szCs w:val="21"/>
          <w:highlight w:val="none"/>
        </w:rPr>
        <w:t>5.2  逾期送达的或者未送达指定地点的</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不予受理。</w:t>
      </w:r>
      <w:r>
        <w:rPr>
          <w:rFonts w:hint="eastAsia" w:ascii="宋体" w:hAnsi="宋体"/>
          <w:snapToGrid w:val="0"/>
          <w:color w:val="auto"/>
          <w:kern w:val="0"/>
          <w:szCs w:val="21"/>
          <w:highlight w:val="none"/>
          <w:lang w:val="en-US" w:eastAsia="zh-CN"/>
        </w:rPr>
        <w:t xml:space="preserve"> </w:t>
      </w:r>
    </w:p>
    <w:p w14:paraId="746DE0CB">
      <w:pPr>
        <w:autoSpaceDE w:val="0"/>
        <w:autoSpaceDN w:val="0"/>
        <w:adjustRightInd w:val="0"/>
        <w:snapToGrid w:val="0"/>
        <w:spacing w:line="450" w:lineRule="exact"/>
        <w:ind w:firstLine="422" w:firstLineChars="200"/>
        <w:rPr>
          <w:rFonts w:hint="eastAsia" w:ascii="宋体" w:hAnsi="宋体" w:eastAsia="宋体"/>
          <w:b/>
          <w:bCs/>
          <w:snapToGrid w:val="0"/>
          <w:color w:val="auto"/>
          <w:kern w:val="0"/>
          <w:szCs w:val="21"/>
          <w:highlight w:val="none"/>
          <w:lang w:val="en-US" w:eastAsia="zh-CN"/>
        </w:rPr>
      </w:pPr>
      <w:r>
        <w:rPr>
          <w:rFonts w:hint="eastAsia" w:ascii="宋体" w:hAnsi="宋体"/>
          <w:b/>
          <w:bCs/>
          <w:snapToGrid w:val="0"/>
          <w:color w:val="auto"/>
          <w:kern w:val="0"/>
          <w:szCs w:val="21"/>
          <w:highlight w:val="none"/>
          <w:lang w:val="en-US" w:eastAsia="zh-CN"/>
        </w:rPr>
        <w:t>注：本项目采取线上线下相结合的方式进行竞选报价，竞选人须在报价截止时间（网上报价起止时间以行采家网页公告时间为准）前完成行采家平台网上报价及现场</w:t>
      </w:r>
      <w:bookmarkStart w:id="80" w:name="OLE_LINK12"/>
      <w:r>
        <w:rPr>
          <w:rFonts w:hint="eastAsia" w:ascii="宋体" w:hAnsi="宋体"/>
          <w:b/>
          <w:bCs/>
          <w:snapToGrid w:val="0"/>
          <w:color w:val="auto"/>
          <w:kern w:val="0"/>
          <w:szCs w:val="21"/>
          <w:highlight w:val="none"/>
          <w:lang w:val="en-US" w:eastAsia="zh-CN"/>
        </w:rPr>
        <w:t>竞选文件</w:t>
      </w:r>
      <w:bookmarkEnd w:id="80"/>
      <w:r>
        <w:rPr>
          <w:rFonts w:hint="eastAsia" w:ascii="宋体" w:hAnsi="宋体"/>
          <w:b/>
          <w:bCs/>
          <w:snapToGrid w:val="0"/>
          <w:color w:val="auto"/>
          <w:kern w:val="0"/>
          <w:szCs w:val="21"/>
          <w:highlight w:val="none"/>
          <w:lang w:val="en-US" w:eastAsia="zh-CN"/>
        </w:rPr>
        <w:t>的递交，线上线下竞选总报价须保持一致，报价截止时间止未在行采家上发起报价的，其竞选文件不予受理。</w:t>
      </w:r>
    </w:p>
    <w:p w14:paraId="616CFEBE">
      <w:pPr>
        <w:pStyle w:val="3"/>
        <w:spacing w:before="100" w:after="100" w:line="460" w:lineRule="exact"/>
        <w:rPr>
          <w:rFonts w:ascii="宋体" w:hAnsi="宋体"/>
          <w:snapToGrid w:val="0"/>
          <w:color w:val="auto"/>
          <w:sz w:val="28"/>
          <w:szCs w:val="28"/>
          <w:highlight w:val="none"/>
        </w:rPr>
      </w:pPr>
      <w:bookmarkStart w:id="81" w:name="_Toc287607733"/>
      <w:bookmarkStart w:id="82" w:name="_Toc430530421"/>
      <w:bookmarkStart w:id="83" w:name="_Toc277082541"/>
      <w:bookmarkStart w:id="84" w:name="_Toc224103304"/>
      <w:bookmarkStart w:id="85" w:name="_Toc8166"/>
      <w:bookmarkStart w:id="86" w:name="_Toc9905"/>
      <w:bookmarkStart w:id="87" w:name="_Toc200359432"/>
      <w:bookmarkStart w:id="88" w:name="_Toc19071"/>
      <w:bookmarkStart w:id="89" w:name="_Toc509218697"/>
      <w:bookmarkStart w:id="90" w:name="_Toc287620672"/>
      <w:bookmarkStart w:id="91" w:name="_Toc200359243"/>
      <w:r>
        <w:rPr>
          <w:rFonts w:ascii="宋体" w:hAnsi="宋体"/>
          <w:snapToGrid w:val="0"/>
          <w:color w:val="auto"/>
          <w:sz w:val="28"/>
          <w:szCs w:val="28"/>
          <w:highlight w:val="none"/>
        </w:rPr>
        <w:t xml:space="preserve">6.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发布公告的媒介</w:t>
      </w:r>
      <w:bookmarkEnd w:id="81"/>
      <w:bookmarkEnd w:id="82"/>
      <w:bookmarkEnd w:id="83"/>
      <w:bookmarkEnd w:id="84"/>
      <w:bookmarkEnd w:id="85"/>
      <w:bookmarkEnd w:id="86"/>
      <w:bookmarkEnd w:id="87"/>
      <w:bookmarkEnd w:id="88"/>
      <w:bookmarkEnd w:id="89"/>
      <w:bookmarkEnd w:id="90"/>
      <w:bookmarkEnd w:id="91"/>
    </w:p>
    <w:p w14:paraId="54F08132">
      <w:pPr>
        <w:tabs>
          <w:tab w:val="left" w:pos="4950"/>
        </w:tabs>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本次</w:t>
      </w:r>
      <w:r>
        <w:rPr>
          <w:rFonts w:hint="eastAsia" w:ascii="宋体" w:hAnsi="宋体"/>
          <w:snapToGrid w:val="0"/>
          <w:color w:val="auto"/>
          <w:kern w:val="0"/>
          <w:szCs w:val="21"/>
          <w:highlight w:val="none"/>
          <w:lang w:eastAsia="zh-CN"/>
        </w:rPr>
        <w:t>比选公告同时</w:t>
      </w:r>
      <w:r>
        <w:rPr>
          <w:rFonts w:ascii="宋体" w:hAnsi="宋体"/>
          <w:snapToGrid w:val="0"/>
          <w:color w:val="auto"/>
          <w:kern w:val="0"/>
          <w:szCs w:val="21"/>
          <w:highlight w:val="none"/>
        </w:rPr>
        <w:t>在</w:t>
      </w:r>
      <w:r>
        <w:rPr>
          <w:rFonts w:hint="eastAsia" w:ascii="宋体" w:hAnsi="宋体"/>
          <w:snapToGrid w:val="0"/>
          <w:color w:val="auto"/>
          <w:kern w:val="0"/>
          <w:szCs w:val="21"/>
          <w:highlight w:val="none"/>
          <w:u w:val="single"/>
        </w:rPr>
        <w:t xml:space="preserve"> 行采家(https://www.gec123.com/）</w:t>
      </w:r>
      <w:r>
        <w:rPr>
          <w:rFonts w:hint="eastAsia" w:ascii="宋体" w:hAnsi="宋体"/>
          <w:snapToGrid w:val="0"/>
          <w:color w:val="auto"/>
          <w:kern w:val="0"/>
          <w:szCs w:val="21"/>
          <w:highlight w:val="none"/>
          <w:u w:val="single"/>
          <w:lang w:eastAsia="zh-CN"/>
        </w:rPr>
        <w:t>、重庆广阳湾生态城投资发展集团有限公司官网（http://cq-gyw.com/）</w:t>
      </w:r>
      <w:r>
        <w:rPr>
          <w:rFonts w:ascii="宋体" w:hAnsi="宋体"/>
          <w:snapToGrid w:val="0"/>
          <w:color w:val="auto"/>
          <w:kern w:val="0"/>
          <w:szCs w:val="21"/>
          <w:highlight w:val="none"/>
        </w:rPr>
        <w:t>上发布。</w:t>
      </w:r>
    </w:p>
    <w:p w14:paraId="6D2350FF">
      <w:pPr>
        <w:pStyle w:val="3"/>
        <w:spacing w:before="100" w:after="100" w:line="460" w:lineRule="exact"/>
        <w:rPr>
          <w:rFonts w:ascii="宋体" w:hAnsi="宋体"/>
          <w:snapToGrid w:val="0"/>
          <w:color w:val="auto"/>
          <w:sz w:val="28"/>
          <w:szCs w:val="28"/>
          <w:highlight w:val="none"/>
        </w:rPr>
      </w:pPr>
      <w:bookmarkStart w:id="92" w:name="_Toc31352"/>
      <w:bookmarkStart w:id="93" w:name="_Toc14240"/>
      <w:bookmarkStart w:id="94" w:name="_Toc287607734"/>
      <w:bookmarkStart w:id="95" w:name="_Toc287620673"/>
      <w:bookmarkStart w:id="96" w:name="_Toc769"/>
      <w:bookmarkStart w:id="97" w:name="_Toc18976"/>
      <w:bookmarkStart w:id="98" w:name="_Toc224103305"/>
      <w:bookmarkStart w:id="99" w:name="_Toc277082542"/>
      <w:bookmarkStart w:id="100" w:name="_Toc430530422"/>
      <w:bookmarkStart w:id="101" w:name="_Toc509218698"/>
      <w:r>
        <w:rPr>
          <w:rFonts w:hint="eastAsia" w:ascii="宋体" w:hAnsi="宋体"/>
          <w:snapToGrid w:val="0"/>
          <w:color w:val="auto"/>
          <w:sz w:val="28"/>
          <w:szCs w:val="28"/>
          <w:highlight w:val="none"/>
        </w:rPr>
        <w:t>7</w:t>
      </w:r>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rPr>
        <w:t xml:space="preserve"> </w:t>
      </w:r>
      <w:bookmarkEnd w:id="92"/>
      <w:bookmarkEnd w:id="93"/>
      <w:bookmarkStart w:id="102" w:name="_Toc589"/>
      <w:r>
        <w:rPr>
          <w:rFonts w:ascii="宋体" w:hAnsi="宋体"/>
          <w:snapToGrid w:val="0"/>
          <w:color w:val="auto"/>
          <w:sz w:val="28"/>
          <w:szCs w:val="28"/>
          <w:highlight w:val="none"/>
        </w:rPr>
        <w:t>联系方式</w:t>
      </w:r>
      <w:bookmarkEnd w:id="94"/>
      <w:bookmarkEnd w:id="95"/>
      <w:bookmarkEnd w:id="96"/>
      <w:bookmarkEnd w:id="97"/>
      <w:bookmarkEnd w:id="98"/>
      <w:bookmarkEnd w:id="99"/>
      <w:bookmarkEnd w:id="100"/>
      <w:bookmarkEnd w:id="101"/>
      <w:bookmarkEnd w:id="102"/>
    </w:p>
    <w:p w14:paraId="4E6FE1C4">
      <w:pPr>
        <w:tabs>
          <w:tab w:val="left" w:pos="5140"/>
          <w:tab w:val="left" w:pos="8520"/>
        </w:tabs>
        <w:autoSpaceDE w:val="0"/>
        <w:autoSpaceDN w:val="0"/>
        <w:adjustRightInd w:val="0"/>
        <w:snapToGrid w:val="0"/>
        <w:spacing w:line="450" w:lineRule="exact"/>
        <w:ind w:left="5250" w:hanging="5250" w:hangingChars="2500"/>
        <w:jc w:val="left"/>
        <w:rPr>
          <w:rFonts w:hint="eastAsia" w:ascii="宋体" w:hAnsi="宋体"/>
          <w:snapToGrid w:val="0"/>
          <w:color w:val="auto"/>
          <w:kern w:val="0"/>
          <w:szCs w:val="21"/>
          <w:highlight w:val="none"/>
          <w:u w:val="none"/>
          <w:lang w:eastAsia="zh-CN"/>
        </w:rPr>
      </w:pPr>
      <w:bookmarkStart w:id="103" w:name="_Toc287620683"/>
      <w:bookmarkStart w:id="104" w:name="_Toc287607744"/>
      <w:bookmarkStart w:id="105" w:name="_Toc224103315"/>
      <w:bookmarkStart w:id="106" w:name="_Toc32148"/>
      <w:bookmarkStart w:id="107" w:name="_Toc430530432"/>
      <w:r>
        <w:rPr>
          <w:rFonts w:hint="eastAsia" w:ascii="宋体" w:hAnsi="宋体"/>
          <w:snapToGrid w:val="0"/>
          <w:color w:val="auto"/>
          <w:kern w:val="0"/>
          <w:szCs w:val="21"/>
          <w:highlight w:val="none"/>
          <w:u w:val="none"/>
          <w:lang w:val="en-US" w:eastAsia="zh-CN"/>
        </w:rPr>
        <w:t>比选</w:t>
      </w:r>
      <w:r>
        <w:rPr>
          <w:rFonts w:ascii="宋体" w:hAnsi="宋体"/>
          <w:snapToGrid w:val="0"/>
          <w:color w:val="auto"/>
          <w:kern w:val="0"/>
          <w:szCs w:val="21"/>
          <w:highlight w:val="none"/>
          <w:u w:val="none"/>
        </w:rPr>
        <w:t>人：</w:t>
      </w:r>
      <w:r>
        <w:rPr>
          <w:rFonts w:hint="eastAsia" w:ascii="宋体" w:hAnsi="宋体"/>
          <w:snapToGrid w:val="0"/>
          <w:color w:val="auto"/>
          <w:kern w:val="0"/>
          <w:szCs w:val="21"/>
          <w:highlight w:val="none"/>
          <w:u w:val="none"/>
          <w:lang w:eastAsia="zh-CN"/>
        </w:rPr>
        <w:t>重庆广阳湾生态城投资发展集团有限公司</w:t>
      </w:r>
      <w:r>
        <w:rPr>
          <w:rFonts w:ascii="宋体" w:hAnsi="宋体"/>
          <w:snapToGrid w:val="0"/>
          <w:color w:val="auto"/>
          <w:kern w:val="0"/>
          <w:szCs w:val="21"/>
          <w:highlight w:val="none"/>
          <w:u w:val="none"/>
        </w:rPr>
        <w:t xml:space="preserve">   </w:t>
      </w:r>
      <w:r>
        <w:rPr>
          <w:rFonts w:hint="eastAsia" w:ascii="宋体" w:hAnsi="宋体"/>
          <w:snapToGrid w:val="0"/>
          <w:color w:val="auto"/>
          <w:kern w:val="0"/>
          <w:szCs w:val="21"/>
          <w:highlight w:val="none"/>
          <w:u w:val="none"/>
          <w:lang w:val="en-US" w:eastAsia="zh-CN"/>
        </w:rPr>
        <w:t xml:space="preserve">  比选</w:t>
      </w:r>
      <w:r>
        <w:rPr>
          <w:rFonts w:ascii="宋体" w:hAnsi="宋体"/>
          <w:snapToGrid w:val="0"/>
          <w:color w:val="auto"/>
          <w:kern w:val="0"/>
          <w:szCs w:val="21"/>
          <w:highlight w:val="none"/>
          <w:u w:val="none"/>
        </w:rPr>
        <w:t>代理机构</w:t>
      </w:r>
      <w:r>
        <w:rPr>
          <w:rFonts w:hint="eastAsia" w:ascii="宋体" w:hAnsi="宋体"/>
          <w:snapToGrid w:val="0"/>
          <w:color w:val="auto"/>
          <w:kern w:val="0"/>
          <w:szCs w:val="21"/>
          <w:highlight w:val="none"/>
          <w:u w:val="none"/>
          <w:lang w:eastAsia="zh-CN"/>
        </w:rPr>
        <w:t xml:space="preserve">：重庆得皓工程项目管理咨询有限公司 </w:t>
      </w:r>
    </w:p>
    <w:p w14:paraId="2F8D6D92">
      <w:pPr>
        <w:tabs>
          <w:tab w:val="left" w:pos="5140"/>
          <w:tab w:val="left" w:pos="8420"/>
        </w:tabs>
        <w:autoSpaceDE w:val="0"/>
        <w:autoSpaceDN w:val="0"/>
        <w:adjustRightInd w:val="0"/>
        <w:snapToGrid w:val="0"/>
        <w:spacing w:line="450" w:lineRule="exact"/>
        <w:jc w:val="left"/>
        <w:rPr>
          <w:rFonts w:hint="eastAsia" w:ascii="宋体" w:hAnsi="宋体" w:eastAsia="宋体"/>
          <w:snapToGrid w:val="0"/>
          <w:color w:val="auto"/>
          <w:kern w:val="0"/>
          <w:szCs w:val="21"/>
          <w:highlight w:val="none"/>
          <w:u w:val="none"/>
          <w:lang w:eastAsia="zh-CN"/>
        </w:rPr>
      </w:pPr>
      <w:r>
        <w:rPr>
          <w:rFonts w:ascii="宋体" w:hAnsi="宋体"/>
          <w:snapToGrid w:val="0"/>
          <w:color w:val="auto"/>
          <w:kern w:val="0"/>
          <w:szCs w:val="21"/>
          <w:highlight w:val="none"/>
          <w:u w:val="none"/>
        </w:rPr>
        <w:t xml:space="preserve">地址： </w:t>
      </w:r>
      <w:r>
        <w:rPr>
          <w:rFonts w:hint="eastAsia" w:ascii="宋体" w:hAnsi="宋体"/>
          <w:snapToGrid w:val="0"/>
          <w:color w:val="auto"/>
          <w:kern w:val="0"/>
          <w:szCs w:val="21"/>
          <w:highlight w:val="none"/>
          <w:u w:val="none"/>
        </w:rPr>
        <w:t>重庆市南岸区茶园江桥路一号附1号</w:t>
      </w:r>
      <w:r>
        <w:rPr>
          <w:rFonts w:ascii="宋体" w:hAnsi="宋体"/>
          <w:snapToGrid w:val="0"/>
          <w:color w:val="auto"/>
          <w:kern w:val="0"/>
          <w:szCs w:val="21"/>
          <w:highlight w:val="none"/>
          <w:u w:val="none"/>
        </w:rPr>
        <w:t xml:space="preserve">   </w:t>
      </w:r>
      <w:r>
        <w:rPr>
          <w:rFonts w:hint="eastAsia" w:ascii="宋体" w:hAnsi="宋体"/>
          <w:snapToGrid w:val="0"/>
          <w:color w:val="auto"/>
          <w:kern w:val="0"/>
          <w:szCs w:val="21"/>
          <w:highlight w:val="none"/>
          <w:u w:val="none"/>
          <w:lang w:val="en-US" w:eastAsia="zh-CN"/>
        </w:rPr>
        <w:t xml:space="preserve"> </w:t>
      </w:r>
      <w:r>
        <w:rPr>
          <w:rFonts w:ascii="宋体" w:hAnsi="宋体"/>
          <w:snapToGrid w:val="0"/>
          <w:color w:val="auto"/>
          <w:kern w:val="0"/>
          <w:szCs w:val="21"/>
          <w:highlight w:val="none"/>
          <w:u w:val="none"/>
        </w:rPr>
        <w:t xml:space="preserve"> </w:t>
      </w:r>
      <w:r>
        <w:rPr>
          <w:rFonts w:hint="eastAsia" w:ascii="宋体" w:hAnsi="宋体"/>
          <w:snapToGrid w:val="0"/>
          <w:color w:val="auto"/>
          <w:kern w:val="0"/>
          <w:szCs w:val="21"/>
          <w:highlight w:val="none"/>
          <w:u w:val="none"/>
          <w:lang w:val="en-US" w:eastAsia="zh-CN"/>
        </w:rPr>
        <w:t xml:space="preserve">     </w:t>
      </w:r>
      <w:r>
        <w:rPr>
          <w:rFonts w:ascii="宋体" w:hAnsi="宋体"/>
          <w:snapToGrid w:val="0"/>
          <w:color w:val="auto"/>
          <w:kern w:val="0"/>
          <w:szCs w:val="21"/>
          <w:highlight w:val="none"/>
          <w:u w:val="none"/>
        </w:rPr>
        <w:t>地址：</w:t>
      </w:r>
      <w:r>
        <w:rPr>
          <w:rFonts w:hint="eastAsia" w:ascii="宋体" w:hAnsi="宋体"/>
          <w:snapToGrid w:val="0"/>
          <w:color w:val="auto"/>
          <w:kern w:val="0"/>
          <w:position w:val="-3"/>
          <w:szCs w:val="21"/>
          <w:highlight w:val="none"/>
          <w:u w:val="none"/>
          <w:lang w:eastAsia="zh-CN"/>
        </w:rPr>
        <w:t xml:space="preserve">重庆市南岸区通江大道214号4-9 </w:t>
      </w:r>
    </w:p>
    <w:p w14:paraId="642C7892">
      <w:pPr>
        <w:tabs>
          <w:tab w:val="left" w:pos="5140"/>
          <w:tab w:val="left" w:pos="8420"/>
        </w:tabs>
        <w:autoSpaceDE w:val="0"/>
        <w:autoSpaceDN w:val="0"/>
        <w:adjustRightInd w:val="0"/>
        <w:snapToGrid w:val="0"/>
        <w:spacing w:line="450" w:lineRule="exact"/>
        <w:jc w:val="left"/>
        <w:rPr>
          <w:rFonts w:ascii="宋体" w:hAnsi="宋体"/>
          <w:snapToGrid w:val="0"/>
          <w:color w:val="auto"/>
          <w:kern w:val="0"/>
          <w:szCs w:val="21"/>
          <w:highlight w:val="none"/>
          <w:u w:val="none"/>
        </w:rPr>
      </w:pPr>
      <w:r>
        <w:rPr>
          <w:rFonts w:ascii="宋体" w:hAnsi="宋体"/>
          <w:snapToGrid w:val="0"/>
          <w:color w:val="auto"/>
          <w:kern w:val="0"/>
          <w:szCs w:val="21"/>
          <w:highlight w:val="none"/>
          <w:u w:val="none"/>
        </w:rPr>
        <w:t>联系人：</w:t>
      </w:r>
      <w:r>
        <w:rPr>
          <w:rFonts w:hint="eastAsia" w:ascii="宋体" w:hAnsi="宋体"/>
          <w:snapToGrid w:val="0"/>
          <w:color w:val="auto"/>
          <w:kern w:val="0"/>
          <w:szCs w:val="21"/>
          <w:highlight w:val="none"/>
          <w:u w:val="none"/>
          <w:lang w:val="en-US" w:eastAsia="zh-CN"/>
        </w:rPr>
        <w:t>唐菲</w:t>
      </w:r>
      <w:r>
        <w:rPr>
          <w:rFonts w:ascii="宋体" w:hAnsi="宋体"/>
          <w:snapToGrid w:val="0"/>
          <w:color w:val="auto"/>
          <w:kern w:val="0"/>
          <w:szCs w:val="21"/>
          <w:highlight w:val="none"/>
          <w:u w:val="none"/>
        </w:rPr>
        <w:t xml:space="preserve">          </w:t>
      </w:r>
      <w:r>
        <w:rPr>
          <w:rFonts w:hint="eastAsia" w:ascii="宋体" w:hAnsi="宋体"/>
          <w:snapToGrid w:val="0"/>
          <w:color w:val="auto"/>
          <w:kern w:val="0"/>
          <w:szCs w:val="21"/>
          <w:highlight w:val="none"/>
          <w:u w:val="none"/>
          <w:lang w:val="en-US" w:eastAsia="zh-CN"/>
        </w:rPr>
        <w:t xml:space="preserve">          </w:t>
      </w:r>
      <w:r>
        <w:rPr>
          <w:rFonts w:ascii="宋体" w:hAnsi="宋体"/>
          <w:snapToGrid w:val="0"/>
          <w:color w:val="auto"/>
          <w:kern w:val="0"/>
          <w:szCs w:val="21"/>
          <w:highlight w:val="none"/>
          <w:u w:val="none"/>
        </w:rPr>
        <w:t xml:space="preserve"> </w:t>
      </w:r>
      <w:r>
        <w:rPr>
          <w:rFonts w:hint="eastAsia" w:ascii="宋体" w:hAnsi="宋体"/>
          <w:snapToGrid w:val="0"/>
          <w:color w:val="auto"/>
          <w:kern w:val="0"/>
          <w:szCs w:val="21"/>
          <w:highlight w:val="none"/>
          <w:u w:val="none"/>
          <w:lang w:val="en-US" w:eastAsia="zh-CN"/>
        </w:rPr>
        <w:t xml:space="preserve">               </w:t>
      </w:r>
      <w:r>
        <w:rPr>
          <w:rFonts w:ascii="宋体" w:hAnsi="宋体"/>
          <w:snapToGrid w:val="0"/>
          <w:color w:val="auto"/>
          <w:kern w:val="0"/>
          <w:szCs w:val="21"/>
          <w:highlight w:val="none"/>
          <w:u w:val="none"/>
        </w:rPr>
        <w:t>联系人：</w:t>
      </w:r>
      <w:r>
        <w:rPr>
          <w:rFonts w:hint="eastAsia" w:ascii="宋体" w:hAnsi="宋体"/>
          <w:snapToGrid w:val="0"/>
          <w:color w:val="auto"/>
          <w:kern w:val="0"/>
          <w:szCs w:val="21"/>
          <w:highlight w:val="none"/>
          <w:u w:val="none"/>
          <w:lang w:eastAsia="zh-CN"/>
        </w:rPr>
        <w:t>田</w:t>
      </w:r>
      <w:r>
        <w:rPr>
          <w:rFonts w:hint="eastAsia" w:ascii="宋体" w:hAnsi="宋体"/>
          <w:snapToGrid w:val="0"/>
          <w:color w:val="auto"/>
          <w:kern w:val="0"/>
          <w:szCs w:val="21"/>
          <w:highlight w:val="none"/>
          <w:u w:val="none"/>
          <w:lang w:val="en-US" w:eastAsia="zh-CN"/>
        </w:rPr>
        <w:t>丹</w:t>
      </w:r>
      <w:r>
        <w:rPr>
          <w:rFonts w:ascii="宋体" w:hAnsi="宋体"/>
          <w:snapToGrid w:val="0"/>
          <w:color w:val="auto"/>
          <w:kern w:val="0"/>
          <w:szCs w:val="21"/>
          <w:highlight w:val="none"/>
          <w:u w:val="none"/>
        </w:rPr>
        <w:t xml:space="preserve">        </w:t>
      </w:r>
      <w:r>
        <w:rPr>
          <w:rFonts w:hint="eastAsia" w:ascii="宋体" w:hAnsi="宋体"/>
          <w:snapToGrid w:val="0"/>
          <w:color w:val="auto"/>
          <w:kern w:val="0"/>
          <w:szCs w:val="21"/>
          <w:highlight w:val="none"/>
          <w:u w:val="none"/>
          <w:lang w:val="en-US" w:eastAsia="zh-CN"/>
        </w:rPr>
        <w:t xml:space="preserve">   </w:t>
      </w:r>
      <w:r>
        <w:rPr>
          <w:rFonts w:ascii="宋体" w:hAnsi="宋体"/>
          <w:snapToGrid w:val="0"/>
          <w:color w:val="auto"/>
          <w:kern w:val="0"/>
          <w:szCs w:val="21"/>
          <w:highlight w:val="none"/>
          <w:u w:val="none"/>
        </w:rPr>
        <w:t xml:space="preserve">    </w:t>
      </w:r>
    </w:p>
    <w:p w14:paraId="6D3FCF79">
      <w:pPr>
        <w:tabs>
          <w:tab w:val="left" w:pos="5140"/>
          <w:tab w:val="left" w:pos="8420"/>
        </w:tabs>
        <w:autoSpaceDE w:val="0"/>
        <w:autoSpaceDN w:val="0"/>
        <w:adjustRightInd w:val="0"/>
        <w:snapToGrid w:val="0"/>
        <w:spacing w:line="450" w:lineRule="exact"/>
        <w:jc w:val="left"/>
        <w:rPr>
          <w:rFonts w:ascii="宋体" w:hAnsi="宋体"/>
          <w:snapToGrid w:val="0"/>
          <w:color w:val="auto"/>
          <w:kern w:val="0"/>
          <w:szCs w:val="21"/>
          <w:highlight w:val="none"/>
          <w:u w:val="none"/>
        </w:rPr>
      </w:pPr>
      <w:r>
        <w:rPr>
          <w:rFonts w:ascii="宋体" w:hAnsi="宋体"/>
          <w:snapToGrid w:val="0"/>
          <w:color w:val="auto"/>
          <w:kern w:val="0"/>
          <w:szCs w:val="21"/>
          <w:highlight w:val="none"/>
          <w:u w:val="none"/>
        </w:rPr>
        <w:t>电</w:t>
      </w:r>
      <w:r>
        <w:rPr>
          <w:rFonts w:hint="eastAsia" w:ascii="宋体" w:hAnsi="宋体"/>
          <w:snapToGrid w:val="0"/>
          <w:color w:val="auto"/>
          <w:kern w:val="0"/>
          <w:szCs w:val="21"/>
          <w:highlight w:val="none"/>
          <w:u w:val="none"/>
          <w:lang w:val="en-US" w:eastAsia="zh-CN"/>
        </w:rPr>
        <w:t xml:space="preserve">  </w:t>
      </w:r>
      <w:r>
        <w:rPr>
          <w:rFonts w:ascii="宋体" w:hAnsi="宋体"/>
          <w:snapToGrid w:val="0"/>
          <w:color w:val="auto"/>
          <w:kern w:val="0"/>
          <w:szCs w:val="21"/>
          <w:highlight w:val="none"/>
          <w:u w:val="none"/>
        </w:rPr>
        <w:t>话：</w:t>
      </w:r>
      <w:r>
        <w:rPr>
          <w:rFonts w:hint="eastAsia" w:ascii="宋体" w:hAnsi="宋体"/>
          <w:snapToGrid w:val="0"/>
          <w:color w:val="auto"/>
          <w:kern w:val="0"/>
          <w:szCs w:val="21"/>
          <w:highlight w:val="none"/>
          <w:u w:val="none"/>
          <w:lang w:val="en-US" w:eastAsia="zh-CN"/>
        </w:rPr>
        <w:t>023-62823880</w:t>
      </w:r>
      <w:r>
        <w:rPr>
          <w:rFonts w:ascii="宋体" w:hAnsi="宋体"/>
          <w:snapToGrid w:val="0"/>
          <w:color w:val="auto"/>
          <w:kern w:val="0"/>
          <w:szCs w:val="21"/>
          <w:highlight w:val="none"/>
          <w:u w:val="none"/>
        </w:rPr>
        <w:t xml:space="preserve">             </w:t>
      </w:r>
      <w:r>
        <w:rPr>
          <w:rFonts w:hint="eastAsia" w:ascii="宋体" w:hAnsi="宋体"/>
          <w:snapToGrid w:val="0"/>
          <w:color w:val="auto"/>
          <w:kern w:val="0"/>
          <w:szCs w:val="21"/>
          <w:highlight w:val="none"/>
          <w:u w:val="none"/>
          <w:lang w:val="en-US" w:eastAsia="zh-CN"/>
        </w:rPr>
        <w:t xml:space="preserve">                </w:t>
      </w:r>
      <w:r>
        <w:rPr>
          <w:rFonts w:ascii="宋体" w:hAnsi="宋体"/>
          <w:snapToGrid w:val="0"/>
          <w:color w:val="auto"/>
          <w:kern w:val="0"/>
          <w:szCs w:val="21"/>
          <w:highlight w:val="none"/>
          <w:u w:val="none"/>
        </w:rPr>
        <w:t>电</w:t>
      </w:r>
      <w:r>
        <w:rPr>
          <w:rFonts w:hint="eastAsia" w:ascii="宋体" w:hAnsi="宋体"/>
          <w:snapToGrid w:val="0"/>
          <w:color w:val="auto"/>
          <w:kern w:val="0"/>
          <w:szCs w:val="21"/>
          <w:highlight w:val="none"/>
          <w:u w:val="none"/>
          <w:lang w:val="en-US" w:eastAsia="zh-CN"/>
        </w:rPr>
        <w:t xml:space="preserve">  </w:t>
      </w:r>
      <w:r>
        <w:rPr>
          <w:rFonts w:ascii="宋体" w:hAnsi="宋体"/>
          <w:snapToGrid w:val="0"/>
          <w:color w:val="auto"/>
          <w:kern w:val="0"/>
          <w:szCs w:val="21"/>
          <w:highlight w:val="none"/>
          <w:u w:val="none"/>
        </w:rPr>
        <w:t>话：</w:t>
      </w:r>
      <w:r>
        <w:rPr>
          <w:rFonts w:hint="eastAsia" w:ascii="宋体" w:hAnsi="宋体"/>
          <w:snapToGrid w:val="0"/>
          <w:color w:val="auto"/>
          <w:kern w:val="0"/>
          <w:szCs w:val="21"/>
          <w:highlight w:val="none"/>
          <w:u w:val="none"/>
          <w:lang w:eastAsia="zh-CN"/>
        </w:rPr>
        <w:t xml:space="preserve">023-62466322   </w:t>
      </w:r>
      <w:r>
        <w:rPr>
          <w:rFonts w:ascii="宋体" w:hAnsi="宋体"/>
          <w:snapToGrid w:val="0"/>
          <w:color w:val="auto"/>
          <w:kern w:val="0"/>
          <w:szCs w:val="21"/>
          <w:highlight w:val="none"/>
          <w:u w:val="none"/>
        </w:rPr>
        <w:t xml:space="preserve">      </w:t>
      </w:r>
      <w:r>
        <w:rPr>
          <w:rFonts w:hint="eastAsia" w:ascii="宋体" w:hAnsi="宋体"/>
          <w:snapToGrid w:val="0"/>
          <w:color w:val="auto"/>
          <w:kern w:val="0"/>
          <w:szCs w:val="21"/>
          <w:highlight w:val="none"/>
          <w:u w:val="none"/>
          <w:lang w:val="en-US" w:eastAsia="zh-CN"/>
        </w:rPr>
        <w:t xml:space="preserve">   </w:t>
      </w:r>
      <w:r>
        <w:rPr>
          <w:rFonts w:ascii="宋体" w:hAnsi="宋体"/>
          <w:snapToGrid w:val="0"/>
          <w:color w:val="auto"/>
          <w:kern w:val="0"/>
          <w:szCs w:val="21"/>
          <w:highlight w:val="none"/>
          <w:u w:val="none"/>
        </w:rPr>
        <w:t xml:space="preserve">    </w:t>
      </w:r>
    </w:p>
    <w:p w14:paraId="22D5F129">
      <w:pPr>
        <w:autoSpaceDE w:val="0"/>
        <w:autoSpaceDN w:val="0"/>
        <w:adjustRightInd w:val="0"/>
        <w:snapToGrid w:val="0"/>
        <w:spacing w:line="440" w:lineRule="exact"/>
        <w:ind w:firstLine="3906" w:firstLineChars="1860"/>
        <w:jc w:val="right"/>
        <w:rPr>
          <w:rFonts w:ascii="宋体" w:hAnsi="宋体"/>
          <w:snapToGrid w:val="0"/>
          <w:color w:val="auto"/>
          <w:kern w:val="0"/>
          <w:szCs w:val="21"/>
          <w:highlight w:val="none"/>
          <w:u w:val="single"/>
        </w:rPr>
      </w:pPr>
    </w:p>
    <w:p w14:paraId="5E426F36">
      <w:pPr>
        <w:autoSpaceDE w:val="0"/>
        <w:autoSpaceDN w:val="0"/>
        <w:adjustRightInd w:val="0"/>
        <w:snapToGrid w:val="0"/>
        <w:spacing w:line="440" w:lineRule="exact"/>
        <w:ind w:firstLine="3906" w:firstLineChars="1860"/>
        <w:jc w:val="right"/>
        <w:rPr>
          <w:rFonts w:ascii="宋体" w:hAnsi="宋体"/>
          <w:snapToGrid w:val="0"/>
          <w:color w:val="auto"/>
          <w:kern w:val="0"/>
          <w:szCs w:val="21"/>
          <w:highlight w:val="none"/>
          <w:u w:val="single"/>
        </w:rPr>
      </w:pPr>
    </w:p>
    <w:p w14:paraId="02D8EBBE">
      <w:pPr>
        <w:autoSpaceDE w:val="0"/>
        <w:autoSpaceDN w:val="0"/>
        <w:adjustRightInd w:val="0"/>
        <w:snapToGrid w:val="0"/>
        <w:spacing w:line="440" w:lineRule="exact"/>
        <w:ind w:firstLine="3906" w:firstLineChars="1860"/>
        <w:jc w:val="right"/>
        <w:rPr>
          <w:rFonts w:ascii="宋体" w:hAnsi="宋体"/>
          <w:snapToGrid w:val="0"/>
          <w:color w:val="auto"/>
          <w:kern w:val="0"/>
          <w:sz w:val="20"/>
          <w:szCs w:val="20"/>
          <w:highlight w:val="none"/>
        </w:rPr>
      </w:pPr>
      <w:r>
        <w:rPr>
          <w:rFonts w:hint="eastAsia" w:ascii="宋体" w:hAnsi="宋体"/>
          <w:snapToGrid w:val="0"/>
          <w:color w:val="auto"/>
          <w:kern w:val="0"/>
          <w:szCs w:val="21"/>
          <w:highlight w:val="none"/>
          <w:u w:val="single"/>
          <w:lang w:val="en-US" w:eastAsia="zh-CN"/>
        </w:rPr>
        <w:t xml:space="preserve">2025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2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27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bookmarkEnd w:id="541"/>
    <w:p w14:paraId="4756FCAA">
      <w:pPr>
        <w:pStyle w:val="2"/>
        <w:spacing w:before="0" w:after="0" w:line="200" w:lineRule="exact"/>
        <w:jc w:val="center"/>
        <w:rPr>
          <w:rFonts w:ascii="宋体" w:hAnsi="宋体"/>
          <w:snapToGrid w:val="0"/>
          <w:color w:val="auto"/>
          <w:kern w:val="0"/>
          <w:szCs w:val="21"/>
          <w:highlight w:val="none"/>
        </w:rPr>
      </w:pPr>
      <w:r>
        <w:rPr>
          <w:rFonts w:ascii="宋体" w:hAnsi="宋体"/>
          <w:snapToGrid w:val="0"/>
          <w:color w:val="auto"/>
          <w:kern w:val="0"/>
          <w:szCs w:val="21"/>
          <w:highlight w:val="none"/>
        </w:rPr>
        <w:br w:type="page"/>
      </w:r>
    </w:p>
    <w:p w14:paraId="0EC3176A">
      <w:pPr>
        <w:pStyle w:val="2"/>
        <w:spacing w:line="360" w:lineRule="auto"/>
        <w:jc w:val="center"/>
        <w:rPr>
          <w:rFonts w:ascii="宋体" w:hAnsi="宋体"/>
          <w:bCs w:val="0"/>
          <w:snapToGrid w:val="0"/>
          <w:color w:val="auto"/>
          <w:kern w:val="0"/>
          <w:highlight w:val="none"/>
        </w:rPr>
      </w:pPr>
      <w:bookmarkStart w:id="108" w:name="_Toc28579"/>
      <w:r>
        <w:rPr>
          <w:rFonts w:ascii="宋体" w:hAnsi="宋体"/>
          <w:snapToGrid w:val="0"/>
          <w:color w:val="auto"/>
          <w:kern w:val="0"/>
          <w:highlight w:val="none"/>
        </w:rPr>
        <w:t xml:space="preserve">第二章  </w:t>
      </w:r>
      <w:r>
        <w:rPr>
          <w:rFonts w:hint="eastAsia" w:ascii="宋体" w:hAnsi="宋体"/>
          <w:snapToGrid w:val="0"/>
          <w:color w:val="auto"/>
          <w:kern w:val="0"/>
          <w:highlight w:val="none"/>
          <w:lang w:eastAsia="zh-CN"/>
        </w:rPr>
        <w:t>竞选人</w:t>
      </w:r>
      <w:r>
        <w:rPr>
          <w:rFonts w:ascii="宋体" w:hAnsi="宋体"/>
          <w:snapToGrid w:val="0"/>
          <w:color w:val="auto"/>
          <w:kern w:val="0"/>
          <w:highlight w:val="none"/>
        </w:rPr>
        <w:t>须知</w:t>
      </w:r>
      <w:bookmarkEnd w:id="103"/>
      <w:bookmarkEnd w:id="104"/>
      <w:bookmarkEnd w:id="105"/>
      <w:bookmarkEnd w:id="106"/>
      <w:bookmarkEnd w:id="107"/>
      <w:bookmarkEnd w:id="108"/>
      <w:bookmarkStart w:id="109" w:name="_Toc287620684"/>
      <w:bookmarkStart w:id="110" w:name="_Toc430530433"/>
      <w:bookmarkStart w:id="111" w:name="_Toc277082551"/>
      <w:bookmarkStart w:id="112" w:name="_Toc287607745"/>
      <w:bookmarkStart w:id="113" w:name="_Toc224103316"/>
    </w:p>
    <w:p w14:paraId="2BF4224B">
      <w:pPr>
        <w:pStyle w:val="3"/>
        <w:spacing w:before="100" w:after="100" w:line="360" w:lineRule="auto"/>
        <w:rPr>
          <w:rFonts w:ascii="宋体" w:hAnsi="宋体"/>
          <w:color w:val="auto"/>
          <w:highlight w:val="none"/>
        </w:rPr>
      </w:pPr>
      <w:bookmarkStart w:id="114" w:name="_Toc21400"/>
      <w:bookmarkStart w:id="115" w:name="_Toc8005"/>
      <w:bookmarkStart w:id="116" w:name="_Toc31303"/>
      <w:bookmarkStart w:id="117" w:name="_Toc509218708"/>
      <w:r>
        <w:rPr>
          <w:rFonts w:hint="eastAsia" w:ascii="宋体" w:hAnsi="宋体"/>
          <w:color w:val="auto"/>
          <w:highlight w:val="none"/>
          <w:lang w:eastAsia="zh-CN"/>
        </w:rPr>
        <w:t>竞选人</w:t>
      </w:r>
      <w:r>
        <w:rPr>
          <w:rFonts w:hint="eastAsia" w:ascii="宋体" w:hAnsi="宋体"/>
          <w:color w:val="auto"/>
          <w:highlight w:val="none"/>
        </w:rPr>
        <w:t>须知前附表</w:t>
      </w:r>
      <w:bookmarkEnd w:id="109"/>
      <w:bookmarkEnd w:id="110"/>
      <w:bookmarkEnd w:id="111"/>
      <w:bookmarkEnd w:id="112"/>
      <w:bookmarkEnd w:id="113"/>
      <w:bookmarkEnd w:id="114"/>
      <w:bookmarkEnd w:id="115"/>
      <w:bookmarkEnd w:id="116"/>
      <w:bookmarkEnd w:id="117"/>
    </w:p>
    <w:p w14:paraId="016F311D">
      <w:pPr>
        <w:spacing w:line="360" w:lineRule="auto"/>
        <w:ind w:firstLine="420" w:firstLineChars="200"/>
        <w:rPr>
          <w:rFonts w:ascii="宋体" w:hAnsi="宋体"/>
          <w:color w:val="auto"/>
          <w:szCs w:val="21"/>
          <w:highlight w:val="none"/>
        </w:rPr>
      </w:pPr>
      <w:r>
        <w:rPr>
          <w:rFonts w:ascii="宋体" w:hAnsi="宋体"/>
          <w:color w:val="auto"/>
          <w:szCs w:val="21"/>
          <w:highlight w:val="none"/>
        </w:rPr>
        <w:t>正文内容不允许修改。若</w:t>
      </w:r>
      <w:r>
        <w:rPr>
          <w:rFonts w:hint="eastAsia" w:ascii="宋体" w:hAnsi="宋体"/>
          <w:color w:val="auto"/>
          <w:szCs w:val="21"/>
          <w:highlight w:val="none"/>
          <w:lang w:eastAsia="zh-CN"/>
        </w:rPr>
        <w:t>竞选人</w:t>
      </w:r>
      <w:r>
        <w:rPr>
          <w:rFonts w:ascii="宋体" w:hAnsi="宋体"/>
          <w:color w:val="auto"/>
          <w:szCs w:val="21"/>
          <w:highlight w:val="none"/>
        </w:rPr>
        <w:t>须知前附表与正文不一致的地方，以</w:t>
      </w:r>
      <w:r>
        <w:rPr>
          <w:rFonts w:hint="eastAsia" w:ascii="宋体" w:hAnsi="宋体"/>
          <w:color w:val="auto"/>
          <w:szCs w:val="21"/>
          <w:highlight w:val="none"/>
          <w:lang w:eastAsia="zh-CN"/>
        </w:rPr>
        <w:t>竞选人</w:t>
      </w:r>
      <w:r>
        <w:rPr>
          <w:rFonts w:ascii="宋体" w:hAnsi="宋体"/>
          <w:color w:val="auto"/>
          <w:szCs w:val="21"/>
          <w:highlight w:val="none"/>
        </w:rPr>
        <w:t>须知前附表为准。</w:t>
      </w:r>
    </w:p>
    <w:tbl>
      <w:tblPr>
        <w:tblStyle w:val="46"/>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14:paraId="6847F7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64926850">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条 款 号</w:t>
            </w:r>
          </w:p>
        </w:tc>
        <w:tc>
          <w:tcPr>
            <w:tcW w:w="1644" w:type="dxa"/>
            <w:vAlign w:val="center"/>
          </w:tcPr>
          <w:p w14:paraId="078B6436">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条款名称</w:t>
            </w:r>
          </w:p>
        </w:tc>
        <w:tc>
          <w:tcPr>
            <w:tcW w:w="6490" w:type="dxa"/>
            <w:vAlign w:val="center"/>
          </w:tcPr>
          <w:p w14:paraId="7B3DD576">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编  列  内  容</w:t>
            </w:r>
          </w:p>
        </w:tc>
      </w:tr>
      <w:tr w14:paraId="20D509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7F4770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1.1.2</w:t>
            </w:r>
          </w:p>
        </w:tc>
        <w:tc>
          <w:tcPr>
            <w:tcW w:w="1644" w:type="dxa"/>
            <w:vAlign w:val="center"/>
          </w:tcPr>
          <w:p w14:paraId="3F6773CA">
            <w:pPr>
              <w:snapToGrid w:val="0"/>
              <w:spacing w:line="400" w:lineRule="exact"/>
              <w:jc w:val="center"/>
              <w:rPr>
                <w:rFonts w:hint="eastAsia" w:ascii="宋体" w:hAnsi="宋体" w:eastAsia="宋体"/>
                <w:color w:val="auto"/>
                <w:kern w:val="0"/>
                <w:szCs w:val="21"/>
                <w:highlight w:val="none"/>
                <w:lang w:eastAsia="zh-CN"/>
              </w:rPr>
            </w:pPr>
            <w:r>
              <w:rPr>
                <w:rFonts w:hint="eastAsia" w:ascii="宋体" w:hAnsi="宋体"/>
                <w:color w:val="auto"/>
                <w:kern w:val="0"/>
                <w:szCs w:val="21"/>
                <w:highlight w:val="none"/>
                <w:lang w:eastAsia="zh-CN"/>
              </w:rPr>
              <w:t>比选人</w:t>
            </w:r>
          </w:p>
        </w:tc>
        <w:tc>
          <w:tcPr>
            <w:tcW w:w="6490" w:type="dxa"/>
            <w:vAlign w:val="center"/>
          </w:tcPr>
          <w:p w14:paraId="78A5C6E8">
            <w:pPr>
              <w:spacing w:line="4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名称</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重庆广阳湾生态城投资发展集团有限公司</w:t>
            </w:r>
          </w:p>
          <w:p w14:paraId="2EB5F071">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地址：重庆市南岸区江桥路一号附1号</w:t>
            </w:r>
          </w:p>
          <w:p w14:paraId="3764F997">
            <w:pPr>
              <w:spacing w:line="4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w:t>
            </w:r>
            <w:r>
              <w:rPr>
                <w:rFonts w:hint="eastAsia" w:ascii="宋体" w:hAnsi="宋体" w:cs="宋体"/>
                <w:color w:val="auto"/>
                <w:szCs w:val="21"/>
                <w:highlight w:val="none"/>
                <w:lang w:eastAsia="zh-CN"/>
              </w:rPr>
              <w:t>唐菲</w:t>
            </w:r>
          </w:p>
          <w:p w14:paraId="061431E7">
            <w:pPr>
              <w:spacing w:line="400" w:lineRule="exact"/>
              <w:rPr>
                <w:rFonts w:ascii="宋体" w:hAnsi="宋体"/>
                <w:color w:val="auto"/>
                <w:kern w:val="0"/>
                <w:szCs w:val="21"/>
                <w:highlight w:val="none"/>
              </w:rPr>
            </w:pPr>
            <w:r>
              <w:rPr>
                <w:rFonts w:hint="eastAsia" w:ascii="宋体" w:hAnsi="宋体" w:eastAsia="宋体" w:cs="宋体"/>
                <w:color w:val="auto"/>
                <w:szCs w:val="21"/>
                <w:highlight w:val="none"/>
              </w:rPr>
              <w:t>电话 ：</w:t>
            </w:r>
            <w:r>
              <w:rPr>
                <w:rFonts w:hint="eastAsia" w:ascii="宋体" w:hAnsi="宋体" w:cs="宋体"/>
                <w:color w:val="auto"/>
                <w:szCs w:val="21"/>
                <w:highlight w:val="none"/>
                <w:lang w:eastAsia="zh-CN"/>
              </w:rPr>
              <w:t>023-62823880</w:t>
            </w:r>
            <w:r>
              <w:rPr>
                <w:rFonts w:hint="eastAsia" w:ascii="宋体" w:hAnsi="宋体" w:eastAsia="宋体" w:cs="宋体"/>
                <w:color w:val="auto"/>
                <w:szCs w:val="21"/>
                <w:highlight w:val="none"/>
              </w:rPr>
              <w:t xml:space="preserve">  </w:t>
            </w:r>
          </w:p>
        </w:tc>
      </w:tr>
      <w:tr w14:paraId="670CC5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34453C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1.1.3</w:t>
            </w:r>
          </w:p>
        </w:tc>
        <w:tc>
          <w:tcPr>
            <w:tcW w:w="1644" w:type="dxa"/>
            <w:vAlign w:val="center"/>
          </w:tcPr>
          <w:p w14:paraId="23276329">
            <w:pPr>
              <w:snapToGrid w:val="0"/>
              <w:spacing w:line="400" w:lineRule="exact"/>
              <w:jc w:val="center"/>
              <w:rPr>
                <w:rFonts w:hint="eastAsia" w:ascii="宋体" w:hAnsi="宋体" w:eastAsia="宋体"/>
                <w:color w:val="auto"/>
                <w:kern w:val="0"/>
                <w:szCs w:val="21"/>
                <w:highlight w:val="none"/>
                <w:lang w:eastAsia="zh-CN"/>
              </w:rPr>
            </w:pPr>
            <w:r>
              <w:rPr>
                <w:rFonts w:hint="eastAsia" w:ascii="宋体" w:hAnsi="宋体"/>
                <w:color w:val="auto"/>
                <w:kern w:val="0"/>
                <w:szCs w:val="21"/>
                <w:highlight w:val="none"/>
                <w:lang w:eastAsia="zh-CN"/>
              </w:rPr>
              <w:t>比选代理机构</w:t>
            </w:r>
          </w:p>
        </w:tc>
        <w:tc>
          <w:tcPr>
            <w:tcW w:w="6490" w:type="dxa"/>
            <w:vAlign w:val="center"/>
          </w:tcPr>
          <w:p w14:paraId="16CB767D">
            <w:pPr>
              <w:spacing w:line="4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名称</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 xml:space="preserve">重庆得皓工程项目管理咨询有限公司  </w:t>
            </w:r>
          </w:p>
          <w:p w14:paraId="063C2074">
            <w:pPr>
              <w:spacing w:line="400" w:lineRule="exac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地址：重庆市南岸区通江大道214号4-9</w:t>
            </w:r>
          </w:p>
          <w:p w14:paraId="1F0BCB63">
            <w:pPr>
              <w:spacing w:line="400" w:lineRule="exac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 xml:space="preserve">联系人：田丹  </w:t>
            </w:r>
          </w:p>
          <w:p w14:paraId="781B339D">
            <w:pPr>
              <w:spacing w:line="400" w:lineRule="exact"/>
              <w:rPr>
                <w:rFonts w:hint="eastAsia" w:ascii="宋体" w:hAnsi="宋体" w:eastAsia="宋体"/>
                <w:color w:val="auto"/>
                <w:kern w:val="0"/>
                <w:szCs w:val="21"/>
                <w:highlight w:val="none"/>
                <w:lang w:eastAsia="zh-CN"/>
              </w:rPr>
            </w:pPr>
            <w:r>
              <w:rPr>
                <w:rFonts w:hint="eastAsia" w:ascii="宋体" w:hAnsi="宋体" w:cs="宋体"/>
                <w:color w:val="auto"/>
                <w:szCs w:val="21"/>
                <w:highlight w:val="none"/>
                <w:lang w:eastAsia="zh-CN"/>
              </w:rPr>
              <w:t xml:space="preserve">电话：023-62466322     </w:t>
            </w:r>
          </w:p>
        </w:tc>
      </w:tr>
      <w:tr w14:paraId="4F2219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6DE2B2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1.1.4</w:t>
            </w:r>
          </w:p>
        </w:tc>
        <w:tc>
          <w:tcPr>
            <w:tcW w:w="1644" w:type="dxa"/>
            <w:vAlign w:val="center"/>
          </w:tcPr>
          <w:p w14:paraId="6478A019">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项目名称</w:t>
            </w:r>
          </w:p>
        </w:tc>
        <w:tc>
          <w:tcPr>
            <w:tcW w:w="6490" w:type="dxa"/>
            <w:vAlign w:val="center"/>
          </w:tcPr>
          <w:p w14:paraId="2F343A7F">
            <w:pPr>
              <w:snapToGrid w:val="0"/>
              <w:spacing w:line="400" w:lineRule="exact"/>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 xml:space="preserve">广阳镇部分区域土地管护  </w:t>
            </w:r>
          </w:p>
        </w:tc>
      </w:tr>
      <w:tr w14:paraId="1FF02B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9804FF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1.1.5</w:t>
            </w:r>
          </w:p>
        </w:tc>
        <w:tc>
          <w:tcPr>
            <w:tcW w:w="1644" w:type="dxa"/>
            <w:vAlign w:val="center"/>
          </w:tcPr>
          <w:p w14:paraId="4C92461B">
            <w:pPr>
              <w:snapToGrid w:val="0"/>
              <w:spacing w:line="400" w:lineRule="exact"/>
              <w:jc w:val="center"/>
              <w:rPr>
                <w:rFonts w:hint="eastAsia" w:ascii="宋体" w:hAnsi="宋体" w:eastAsia="宋体"/>
                <w:color w:val="auto"/>
                <w:kern w:val="0"/>
                <w:szCs w:val="21"/>
                <w:highlight w:val="none"/>
                <w:lang w:eastAsia="zh-CN"/>
              </w:rPr>
            </w:pPr>
            <w:r>
              <w:rPr>
                <w:rFonts w:hint="eastAsia" w:ascii="宋体" w:hAnsi="宋体"/>
                <w:color w:val="auto"/>
                <w:kern w:val="0"/>
                <w:szCs w:val="21"/>
                <w:highlight w:val="none"/>
                <w:lang w:eastAsia="zh-CN"/>
              </w:rPr>
              <w:t>服务地点</w:t>
            </w:r>
          </w:p>
        </w:tc>
        <w:tc>
          <w:tcPr>
            <w:tcW w:w="6490" w:type="dxa"/>
            <w:vAlign w:val="center"/>
          </w:tcPr>
          <w:p w14:paraId="26319801">
            <w:pPr>
              <w:snapToGrid w:val="0"/>
              <w:spacing w:line="400" w:lineRule="exact"/>
              <w:jc w:val="left"/>
              <w:rPr>
                <w:rFonts w:ascii="宋体" w:hAnsi="宋体"/>
                <w:color w:val="auto"/>
                <w:szCs w:val="21"/>
                <w:highlight w:val="none"/>
              </w:rPr>
            </w:pPr>
            <w:r>
              <w:rPr>
                <w:rFonts w:hint="eastAsia" w:ascii="宋体" w:hAnsi="宋体"/>
                <w:snapToGrid w:val="0"/>
                <w:color w:val="auto"/>
                <w:kern w:val="0"/>
                <w:szCs w:val="21"/>
                <w:highlight w:val="none"/>
              </w:rPr>
              <w:t>重庆市南岸区</w:t>
            </w:r>
            <w:r>
              <w:rPr>
                <w:rFonts w:hint="eastAsia" w:ascii="宋体" w:hAnsi="宋体"/>
                <w:snapToGrid w:val="0"/>
                <w:color w:val="auto"/>
                <w:kern w:val="0"/>
                <w:szCs w:val="21"/>
                <w:highlight w:val="none"/>
                <w:lang w:val="en-US" w:eastAsia="zh-CN"/>
              </w:rPr>
              <w:t>茶园经开区</w:t>
            </w:r>
            <w:r>
              <w:rPr>
                <w:rFonts w:hint="eastAsia" w:ascii="宋体" w:hAnsi="宋体"/>
                <w:snapToGrid w:val="0"/>
                <w:color w:val="auto"/>
                <w:kern w:val="0"/>
                <w:szCs w:val="21"/>
                <w:highlight w:val="none"/>
                <w:u w:val="none"/>
                <w:lang w:eastAsia="zh-CN"/>
              </w:rPr>
              <w:t>。</w:t>
            </w:r>
          </w:p>
        </w:tc>
      </w:tr>
      <w:tr w14:paraId="74634E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BF8765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1.2.1</w:t>
            </w:r>
          </w:p>
        </w:tc>
        <w:tc>
          <w:tcPr>
            <w:tcW w:w="1644" w:type="dxa"/>
            <w:vAlign w:val="center"/>
          </w:tcPr>
          <w:p w14:paraId="121F87E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资金来源</w:t>
            </w:r>
          </w:p>
        </w:tc>
        <w:tc>
          <w:tcPr>
            <w:tcW w:w="6490" w:type="dxa"/>
            <w:vAlign w:val="center"/>
          </w:tcPr>
          <w:p w14:paraId="23B803E3">
            <w:pPr>
              <w:snapToGrid w:val="0"/>
              <w:spacing w:line="400" w:lineRule="exact"/>
              <w:ind w:firstLine="420" w:firstLineChars="200"/>
              <w:rPr>
                <w:rFonts w:ascii="宋体" w:hAnsi="宋体"/>
                <w:color w:val="auto"/>
                <w:szCs w:val="21"/>
                <w:highlight w:val="none"/>
              </w:rPr>
            </w:pPr>
            <w:r>
              <w:rPr>
                <w:rFonts w:hint="eastAsia" w:ascii="宋体" w:hAnsi="宋体"/>
                <w:snapToGrid w:val="0"/>
                <w:color w:val="auto"/>
                <w:kern w:val="0"/>
                <w:szCs w:val="21"/>
                <w:highlight w:val="none"/>
                <w:u w:val="single"/>
                <w:lang w:val="en-US" w:eastAsia="zh-CN"/>
              </w:rPr>
              <w:t>业主自筹</w:t>
            </w:r>
          </w:p>
        </w:tc>
      </w:tr>
      <w:tr w14:paraId="48D34E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00C0C8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1.2.2</w:t>
            </w:r>
          </w:p>
        </w:tc>
        <w:tc>
          <w:tcPr>
            <w:tcW w:w="1644" w:type="dxa"/>
            <w:vAlign w:val="center"/>
          </w:tcPr>
          <w:p w14:paraId="4F68F4A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出资比例</w:t>
            </w:r>
          </w:p>
        </w:tc>
        <w:tc>
          <w:tcPr>
            <w:tcW w:w="6490" w:type="dxa"/>
            <w:vAlign w:val="center"/>
          </w:tcPr>
          <w:p w14:paraId="6DB6D8BE">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u w:val="single"/>
              </w:rPr>
              <w:t>100%</w:t>
            </w:r>
          </w:p>
        </w:tc>
      </w:tr>
      <w:tr w14:paraId="7A3573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982709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1.2.3</w:t>
            </w:r>
          </w:p>
        </w:tc>
        <w:tc>
          <w:tcPr>
            <w:tcW w:w="1644" w:type="dxa"/>
            <w:vAlign w:val="center"/>
          </w:tcPr>
          <w:p w14:paraId="0E81016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资金落实情况</w:t>
            </w:r>
          </w:p>
        </w:tc>
        <w:tc>
          <w:tcPr>
            <w:tcW w:w="6490" w:type="dxa"/>
            <w:vAlign w:val="center"/>
          </w:tcPr>
          <w:p w14:paraId="55DF7B7C">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u w:val="single"/>
              </w:rPr>
              <w:t>已落实</w:t>
            </w:r>
          </w:p>
        </w:tc>
      </w:tr>
      <w:tr w14:paraId="3F415F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FD96677">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1.3.1</w:t>
            </w:r>
          </w:p>
        </w:tc>
        <w:tc>
          <w:tcPr>
            <w:tcW w:w="1644" w:type="dxa"/>
            <w:vAlign w:val="center"/>
          </w:tcPr>
          <w:p w14:paraId="06E9B880">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val="en-US" w:eastAsia="zh-CN"/>
              </w:rPr>
              <w:t>比选</w:t>
            </w:r>
            <w:r>
              <w:rPr>
                <w:rFonts w:ascii="宋体" w:hAnsi="宋体"/>
                <w:color w:val="auto"/>
                <w:kern w:val="0"/>
                <w:szCs w:val="21"/>
                <w:highlight w:val="none"/>
              </w:rPr>
              <w:t>范围</w:t>
            </w:r>
          </w:p>
        </w:tc>
        <w:tc>
          <w:tcPr>
            <w:tcW w:w="6490" w:type="dxa"/>
            <w:vAlign w:val="center"/>
          </w:tcPr>
          <w:p w14:paraId="6F4E0A3E">
            <w:pPr>
              <w:snapToGrid w:val="0"/>
              <w:spacing w:line="400" w:lineRule="exact"/>
              <w:ind w:firstLine="420" w:firstLineChars="200"/>
              <w:rPr>
                <w:rFonts w:ascii="宋体" w:hAnsi="宋体"/>
                <w:i/>
                <w:color w:val="auto"/>
                <w:szCs w:val="21"/>
                <w:highlight w:val="none"/>
              </w:rPr>
            </w:pPr>
            <w:r>
              <w:rPr>
                <w:rFonts w:hint="eastAsia" w:ascii="宋体" w:hAnsi="宋体" w:cs="Times New Roman"/>
                <w:color w:val="auto"/>
                <w:szCs w:val="21"/>
                <w:highlight w:val="none"/>
              </w:rPr>
              <w:t>负责履行土地管护职责，负责土地管护具体工作：包括但不限于各类现场问题协调、处置，如非法侵占、乱倾乱倒、安全管理、信访投诉、图斑整改等。</w:t>
            </w:r>
          </w:p>
        </w:tc>
      </w:tr>
      <w:tr w14:paraId="6E23D7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1A7500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1.3.2</w:t>
            </w:r>
          </w:p>
        </w:tc>
        <w:tc>
          <w:tcPr>
            <w:tcW w:w="1644" w:type="dxa"/>
            <w:vAlign w:val="center"/>
          </w:tcPr>
          <w:p w14:paraId="18FDC14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计划工期</w:t>
            </w:r>
          </w:p>
        </w:tc>
        <w:tc>
          <w:tcPr>
            <w:tcW w:w="6490" w:type="dxa"/>
            <w:vAlign w:val="center"/>
          </w:tcPr>
          <w:p w14:paraId="1D076CDE">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工期：</w:t>
            </w:r>
            <w:r>
              <w:rPr>
                <w:rFonts w:hint="eastAsia" w:ascii="宋体" w:hAnsi="宋体" w:cs="Times New Roman"/>
                <w:snapToGrid w:val="0"/>
                <w:color w:val="auto"/>
                <w:kern w:val="0"/>
                <w:szCs w:val="21"/>
                <w:highlight w:val="none"/>
                <w:u w:val="none"/>
                <w:lang w:val="en-US" w:eastAsia="zh-CN"/>
              </w:rPr>
              <w:t>1年</w:t>
            </w:r>
            <w:r>
              <w:rPr>
                <w:rFonts w:hint="eastAsia" w:ascii="宋体" w:hAnsi="宋体" w:cs="Times New Roman"/>
                <w:snapToGrid w:val="0"/>
                <w:color w:val="auto"/>
                <w:kern w:val="0"/>
                <w:szCs w:val="21"/>
                <w:highlight w:val="none"/>
                <w:u w:val="none"/>
                <w:lang w:eastAsia="zh-CN"/>
              </w:rPr>
              <w:t>。</w:t>
            </w:r>
          </w:p>
        </w:tc>
      </w:tr>
      <w:tr w14:paraId="49C507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AA2499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1.3.3</w:t>
            </w:r>
          </w:p>
        </w:tc>
        <w:tc>
          <w:tcPr>
            <w:tcW w:w="1644" w:type="dxa"/>
            <w:vAlign w:val="center"/>
          </w:tcPr>
          <w:p w14:paraId="15AE77C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质量要求</w:t>
            </w:r>
          </w:p>
        </w:tc>
        <w:tc>
          <w:tcPr>
            <w:tcW w:w="6490" w:type="dxa"/>
            <w:vAlign w:val="center"/>
          </w:tcPr>
          <w:p w14:paraId="33DF0986">
            <w:pPr>
              <w:snapToGrid w:val="0"/>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以</w:t>
            </w:r>
            <w:r>
              <w:rPr>
                <w:rFonts w:hint="eastAsia" w:ascii="宋体" w:hAnsi="宋体"/>
                <w:color w:val="auto"/>
                <w:szCs w:val="21"/>
                <w:highlight w:val="none"/>
              </w:rPr>
              <w:t>符合</w:t>
            </w:r>
            <w:r>
              <w:rPr>
                <w:rFonts w:hint="eastAsia" w:ascii="宋体" w:hAnsi="宋体"/>
                <w:color w:val="auto"/>
                <w:szCs w:val="21"/>
                <w:highlight w:val="none"/>
                <w:lang w:eastAsia="zh-CN"/>
              </w:rPr>
              <w:t>招标人要求为准。</w:t>
            </w:r>
          </w:p>
        </w:tc>
      </w:tr>
      <w:tr w14:paraId="3750E9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1335" w:type="dxa"/>
            <w:vAlign w:val="center"/>
          </w:tcPr>
          <w:p w14:paraId="358D57F9">
            <w:pPr>
              <w:snapToGrid w:val="0"/>
              <w:spacing w:line="400" w:lineRule="exact"/>
              <w:jc w:val="center"/>
              <w:rPr>
                <w:rFonts w:ascii="宋体" w:hAnsi="宋体"/>
                <w:color w:val="auto"/>
                <w:kern w:val="0"/>
                <w:szCs w:val="21"/>
                <w:highlight w:val="none"/>
              </w:rPr>
            </w:pPr>
          </w:p>
          <w:p w14:paraId="6956749C">
            <w:pPr>
              <w:snapToGrid w:val="0"/>
              <w:spacing w:line="400" w:lineRule="exact"/>
              <w:jc w:val="center"/>
              <w:rPr>
                <w:rFonts w:ascii="宋体" w:hAnsi="宋体"/>
                <w:color w:val="auto"/>
                <w:kern w:val="0"/>
                <w:szCs w:val="21"/>
                <w:highlight w:val="none"/>
              </w:rPr>
            </w:pPr>
          </w:p>
          <w:p w14:paraId="16EA3FFC">
            <w:pPr>
              <w:snapToGrid w:val="0"/>
              <w:spacing w:line="400" w:lineRule="exact"/>
              <w:jc w:val="center"/>
              <w:rPr>
                <w:rFonts w:ascii="宋体" w:hAnsi="宋体"/>
                <w:color w:val="auto"/>
                <w:kern w:val="0"/>
                <w:szCs w:val="21"/>
                <w:highlight w:val="none"/>
              </w:rPr>
            </w:pPr>
          </w:p>
          <w:p w14:paraId="1F807FF7">
            <w:pPr>
              <w:snapToGrid w:val="0"/>
              <w:spacing w:line="400" w:lineRule="exact"/>
              <w:jc w:val="center"/>
              <w:rPr>
                <w:rFonts w:ascii="宋体" w:hAnsi="宋体"/>
                <w:color w:val="auto"/>
                <w:kern w:val="0"/>
                <w:szCs w:val="21"/>
                <w:highlight w:val="none"/>
              </w:rPr>
            </w:pPr>
          </w:p>
          <w:p w14:paraId="2AA49D4F">
            <w:pPr>
              <w:snapToGrid w:val="0"/>
              <w:spacing w:line="400" w:lineRule="exact"/>
              <w:jc w:val="center"/>
              <w:rPr>
                <w:rFonts w:ascii="宋体" w:hAnsi="宋体"/>
                <w:color w:val="auto"/>
                <w:kern w:val="0"/>
                <w:szCs w:val="21"/>
                <w:highlight w:val="none"/>
              </w:rPr>
            </w:pPr>
          </w:p>
          <w:p w14:paraId="379786A3">
            <w:pPr>
              <w:snapToGrid w:val="0"/>
              <w:spacing w:line="400" w:lineRule="exact"/>
              <w:jc w:val="center"/>
              <w:rPr>
                <w:rFonts w:ascii="宋体" w:hAnsi="宋体"/>
                <w:color w:val="auto"/>
                <w:kern w:val="0"/>
                <w:szCs w:val="21"/>
                <w:highlight w:val="none"/>
              </w:rPr>
            </w:pPr>
          </w:p>
          <w:p w14:paraId="76DC88E8">
            <w:pPr>
              <w:snapToGrid w:val="0"/>
              <w:spacing w:line="400" w:lineRule="exact"/>
              <w:jc w:val="center"/>
              <w:rPr>
                <w:rFonts w:ascii="宋体" w:hAnsi="宋体"/>
                <w:color w:val="auto"/>
                <w:kern w:val="0"/>
                <w:szCs w:val="21"/>
                <w:highlight w:val="none"/>
              </w:rPr>
            </w:pPr>
          </w:p>
          <w:p w14:paraId="3F9079F4">
            <w:pPr>
              <w:snapToGrid w:val="0"/>
              <w:spacing w:line="400" w:lineRule="exact"/>
              <w:jc w:val="center"/>
              <w:rPr>
                <w:rFonts w:ascii="宋体" w:hAnsi="宋体"/>
                <w:color w:val="auto"/>
                <w:kern w:val="0"/>
                <w:szCs w:val="21"/>
                <w:highlight w:val="none"/>
              </w:rPr>
            </w:pPr>
          </w:p>
          <w:p w14:paraId="72F2E670">
            <w:pPr>
              <w:snapToGrid w:val="0"/>
              <w:spacing w:line="400" w:lineRule="exact"/>
              <w:jc w:val="center"/>
              <w:rPr>
                <w:rFonts w:ascii="宋体" w:hAnsi="宋体"/>
                <w:color w:val="auto"/>
                <w:kern w:val="0"/>
                <w:szCs w:val="21"/>
                <w:highlight w:val="none"/>
              </w:rPr>
            </w:pPr>
          </w:p>
          <w:p w14:paraId="5F405B9B">
            <w:pPr>
              <w:snapToGrid w:val="0"/>
              <w:spacing w:line="400" w:lineRule="exact"/>
              <w:jc w:val="center"/>
              <w:rPr>
                <w:rFonts w:ascii="宋体" w:hAnsi="宋体"/>
                <w:color w:val="auto"/>
                <w:kern w:val="0"/>
                <w:szCs w:val="21"/>
                <w:highlight w:val="none"/>
              </w:rPr>
            </w:pPr>
          </w:p>
          <w:p w14:paraId="0AC396FA">
            <w:pPr>
              <w:snapToGrid w:val="0"/>
              <w:spacing w:line="400" w:lineRule="exact"/>
              <w:jc w:val="center"/>
              <w:rPr>
                <w:rFonts w:ascii="宋体" w:hAnsi="宋体"/>
                <w:color w:val="auto"/>
                <w:kern w:val="0"/>
                <w:szCs w:val="21"/>
                <w:highlight w:val="none"/>
              </w:rPr>
            </w:pPr>
          </w:p>
          <w:p w14:paraId="3EF0D338">
            <w:pPr>
              <w:snapToGrid w:val="0"/>
              <w:spacing w:line="400" w:lineRule="exact"/>
              <w:jc w:val="center"/>
              <w:rPr>
                <w:rFonts w:ascii="宋体" w:hAnsi="宋体"/>
                <w:color w:val="auto"/>
                <w:kern w:val="0"/>
                <w:szCs w:val="21"/>
                <w:highlight w:val="none"/>
              </w:rPr>
            </w:pPr>
          </w:p>
          <w:p w14:paraId="235997F3">
            <w:pPr>
              <w:snapToGrid w:val="0"/>
              <w:spacing w:line="400" w:lineRule="exact"/>
              <w:jc w:val="center"/>
              <w:rPr>
                <w:rFonts w:ascii="宋体" w:hAnsi="宋体"/>
                <w:color w:val="auto"/>
                <w:kern w:val="0"/>
                <w:szCs w:val="21"/>
                <w:highlight w:val="none"/>
              </w:rPr>
            </w:pPr>
          </w:p>
          <w:p w14:paraId="220A86E1">
            <w:pPr>
              <w:snapToGrid w:val="0"/>
              <w:spacing w:line="400" w:lineRule="exact"/>
              <w:jc w:val="center"/>
              <w:rPr>
                <w:rFonts w:ascii="宋体" w:hAnsi="宋体"/>
                <w:color w:val="auto"/>
                <w:kern w:val="0"/>
                <w:szCs w:val="21"/>
                <w:highlight w:val="none"/>
              </w:rPr>
            </w:pPr>
          </w:p>
          <w:p w14:paraId="05B45F1E">
            <w:pPr>
              <w:snapToGrid w:val="0"/>
              <w:spacing w:line="400" w:lineRule="exact"/>
              <w:jc w:val="center"/>
              <w:rPr>
                <w:rFonts w:ascii="宋体" w:hAnsi="宋体"/>
                <w:color w:val="auto"/>
                <w:kern w:val="0"/>
                <w:szCs w:val="21"/>
                <w:highlight w:val="none"/>
              </w:rPr>
            </w:pPr>
          </w:p>
          <w:p w14:paraId="242569D2">
            <w:pPr>
              <w:snapToGrid w:val="0"/>
              <w:spacing w:line="400" w:lineRule="exact"/>
              <w:jc w:val="center"/>
              <w:rPr>
                <w:rFonts w:ascii="宋体" w:hAnsi="宋体"/>
                <w:color w:val="auto"/>
                <w:kern w:val="0"/>
                <w:szCs w:val="21"/>
                <w:highlight w:val="none"/>
              </w:rPr>
            </w:pPr>
          </w:p>
          <w:p w14:paraId="2259A94F">
            <w:pPr>
              <w:snapToGrid w:val="0"/>
              <w:spacing w:line="400" w:lineRule="exact"/>
              <w:jc w:val="center"/>
              <w:rPr>
                <w:rFonts w:ascii="宋体" w:hAnsi="宋体"/>
                <w:color w:val="auto"/>
                <w:kern w:val="0"/>
                <w:szCs w:val="21"/>
                <w:highlight w:val="none"/>
              </w:rPr>
            </w:pPr>
          </w:p>
          <w:p w14:paraId="6E53C61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1.4.1</w:t>
            </w:r>
          </w:p>
          <w:p w14:paraId="6FA669D8">
            <w:pPr>
              <w:snapToGrid w:val="0"/>
              <w:spacing w:line="400" w:lineRule="exact"/>
              <w:jc w:val="center"/>
              <w:rPr>
                <w:rFonts w:ascii="宋体" w:hAnsi="宋体"/>
                <w:color w:val="auto"/>
                <w:kern w:val="0"/>
                <w:szCs w:val="21"/>
                <w:highlight w:val="none"/>
              </w:rPr>
            </w:pPr>
          </w:p>
          <w:p w14:paraId="05367972">
            <w:pPr>
              <w:snapToGrid w:val="0"/>
              <w:spacing w:line="400" w:lineRule="exact"/>
              <w:jc w:val="center"/>
              <w:rPr>
                <w:rFonts w:ascii="宋体" w:hAnsi="宋体"/>
                <w:color w:val="auto"/>
                <w:kern w:val="0"/>
                <w:szCs w:val="21"/>
                <w:highlight w:val="none"/>
              </w:rPr>
            </w:pPr>
          </w:p>
          <w:p w14:paraId="679CAF70">
            <w:pPr>
              <w:snapToGrid w:val="0"/>
              <w:spacing w:line="400" w:lineRule="exact"/>
              <w:jc w:val="center"/>
              <w:rPr>
                <w:rFonts w:ascii="宋体" w:hAnsi="宋体"/>
                <w:color w:val="auto"/>
                <w:kern w:val="0"/>
                <w:szCs w:val="21"/>
                <w:highlight w:val="none"/>
              </w:rPr>
            </w:pPr>
          </w:p>
          <w:p w14:paraId="3C5CBFB4">
            <w:pPr>
              <w:snapToGrid w:val="0"/>
              <w:spacing w:line="400" w:lineRule="exact"/>
              <w:jc w:val="center"/>
              <w:rPr>
                <w:rFonts w:ascii="宋体" w:hAnsi="宋体"/>
                <w:color w:val="auto"/>
                <w:kern w:val="0"/>
                <w:szCs w:val="21"/>
                <w:highlight w:val="none"/>
              </w:rPr>
            </w:pPr>
          </w:p>
          <w:p w14:paraId="2871B86F">
            <w:pPr>
              <w:snapToGrid w:val="0"/>
              <w:spacing w:line="400" w:lineRule="exact"/>
              <w:jc w:val="center"/>
              <w:rPr>
                <w:rFonts w:ascii="宋体" w:hAnsi="宋体"/>
                <w:color w:val="auto"/>
                <w:kern w:val="0"/>
                <w:szCs w:val="21"/>
                <w:highlight w:val="none"/>
              </w:rPr>
            </w:pPr>
          </w:p>
          <w:p w14:paraId="4B090CB1">
            <w:pPr>
              <w:snapToGrid w:val="0"/>
              <w:spacing w:line="400" w:lineRule="exact"/>
              <w:jc w:val="center"/>
              <w:rPr>
                <w:rFonts w:ascii="宋体" w:hAnsi="宋体"/>
                <w:color w:val="auto"/>
                <w:kern w:val="0"/>
                <w:szCs w:val="21"/>
                <w:highlight w:val="none"/>
              </w:rPr>
            </w:pPr>
          </w:p>
          <w:p w14:paraId="22D9FA56">
            <w:pPr>
              <w:snapToGrid w:val="0"/>
              <w:spacing w:line="400" w:lineRule="exact"/>
              <w:jc w:val="both"/>
              <w:rPr>
                <w:rFonts w:ascii="宋体" w:hAnsi="宋体"/>
                <w:color w:val="auto"/>
                <w:kern w:val="0"/>
                <w:szCs w:val="21"/>
                <w:highlight w:val="none"/>
              </w:rPr>
            </w:pPr>
          </w:p>
        </w:tc>
        <w:tc>
          <w:tcPr>
            <w:tcW w:w="1644" w:type="dxa"/>
            <w:vAlign w:val="center"/>
          </w:tcPr>
          <w:p w14:paraId="727761A2">
            <w:pPr>
              <w:snapToGrid w:val="0"/>
              <w:spacing w:line="400" w:lineRule="exact"/>
              <w:jc w:val="center"/>
              <w:rPr>
                <w:rFonts w:ascii="宋体" w:hAnsi="宋体"/>
                <w:color w:val="auto"/>
                <w:kern w:val="0"/>
                <w:szCs w:val="21"/>
                <w:highlight w:val="none"/>
              </w:rPr>
            </w:pPr>
          </w:p>
          <w:p w14:paraId="1C2666AF">
            <w:pPr>
              <w:snapToGrid w:val="0"/>
              <w:spacing w:line="400" w:lineRule="exact"/>
              <w:jc w:val="center"/>
              <w:rPr>
                <w:rFonts w:ascii="宋体" w:hAnsi="宋体"/>
                <w:color w:val="auto"/>
                <w:kern w:val="0"/>
                <w:szCs w:val="21"/>
                <w:highlight w:val="none"/>
              </w:rPr>
            </w:pPr>
          </w:p>
          <w:p w14:paraId="6836C2B2">
            <w:pPr>
              <w:snapToGrid w:val="0"/>
              <w:spacing w:line="400" w:lineRule="exact"/>
              <w:jc w:val="center"/>
              <w:rPr>
                <w:rFonts w:ascii="宋体" w:hAnsi="宋体"/>
                <w:color w:val="auto"/>
                <w:kern w:val="0"/>
                <w:szCs w:val="21"/>
                <w:highlight w:val="none"/>
              </w:rPr>
            </w:pPr>
          </w:p>
          <w:p w14:paraId="2069282A">
            <w:pPr>
              <w:snapToGrid w:val="0"/>
              <w:spacing w:line="400" w:lineRule="exact"/>
              <w:jc w:val="center"/>
              <w:rPr>
                <w:rFonts w:ascii="宋体" w:hAnsi="宋体"/>
                <w:color w:val="auto"/>
                <w:kern w:val="0"/>
                <w:szCs w:val="21"/>
                <w:highlight w:val="none"/>
              </w:rPr>
            </w:pPr>
          </w:p>
          <w:p w14:paraId="6CC7F070">
            <w:pPr>
              <w:snapToGrid w:val="0"/>
              <w:spacing w:line="400" w:lineRule="exact"/>
              <w:jc w:val="center"/>
              <w:rPr>
                <w:rFonts w:ascii="宋体" w:hAnsi="宋体"/>
                <w:color w:val="auto"/>
                <w:kern w:val="0"/>
                <w:szCs w:val="21"/>
                <w:highlight w:val="none"/>
              </w:rPr>
            </w:pPr>
          </w:p>
          <w:p w14:paraId="5328E6DE">
            <w:pPr>
              <w:snapToGrid w:val="0"/>
              <w:spacing w:line="400" w:lineRule="exact"/>
              <w:jc w:val="center"/>
              <w:rPr>
                <w:rFonts w:ascii="宋体" w:hAnsi="宋体"/>
                <w:color w:val="auto"/>
                <w:kern w:val="0"/>
                <w:szCs w:val="21"/>
                <w:highlight w:val="none"/>
              </w:rPr>
            </w:pPr>
          </w:p>
          <w:p w14:paraId="76784025">
            <w:pPr>
              <w:snapToGrid w:val="0"/>
              <w:spacing w:line="400" w:lineRule="exact"/>
              <w:jc w:val="center"/>
              <w:rPr>
                <w:rFonts w:ascii="宋体" w:hAnsi="宋体"/>
                <w:color w:val="auto"/>
                <w:kern w:val="0"/>
                <w:szCs w:val="21"/>
                <w:highlight w:val="none"/>
              </w:rPr>
            </w:pPr>
          </w:p>
          <w:p w14:paraId="2644AC99">
            <w:pPr>
              <w:snapToGrid w:val="0"/>
              <w:spacing w:line="400" w:lineRule="exact"/>
              <w:jc w:val="center"/>
              <w:rPr>
                <w:rFonts w:ascii="宋体" w:hAnsi="宋体"/>
                <w:color w:val="auto"/>
                <w:kern w:val="0"/>
                <w:szCs w:val="21"/>
                <w:highlight w:val="none"/>
              </w:rPr>
            </w:pPr>
          </w:p>
          <w:p w14:paraId="31B0D34E">
            <w:pPr>
              <w:snapToGrid w:val="0"/>
              <w:spacing w:line="400" w:lineRule="exact"/>
              <w:jc w:val="center"/>
              <w:rPr>
                <w:rFonts w:ascii="宋体" w:hAnsi="宋体"/>
                <w:color w:val="auto"/>
                <w:kern w:val="0"/>
                <w:szCs w:val="21"/>
                <w:highlight w:val="none"/>
              </w:rPr>
            </w:pPr>
          </w:p>
          <w:p w14:paraId="0E89B459">
            <w:pPr>
              <w:snapToGrid w:val="0"/>
              <w:spacing w:line="400" w:lineRule="exact"/>
              <w:jc w:val="center"/>
              <w:rPr>
                <w:rFonts w:ascii="宋体" w:hAnsi="宋体"/>
                <w:color w:val="auto"/>
                <w:kern w:val="0"/>
                <w:szCs w:val="21"/>
                <w:highlight w:val="none"/>
              </w:rPr>
            </w:pPr>
          </w:p>
          <w:p w14:paraId="14F3F82B">
            <w:pPr>
              <w:snapToGrid w:val="0"/>
              <w:spacing w:line="400" w:lineRule="exact"/>
              <w:jc w:val="center"/>
              <w:rPr>
                <w:rFonts w:ascii="宋体" w:hAnsi="宋体"/>
                <w:color w:val="auto"/>
                <w:kern w:val="0"/>
                <w:szCs w:val="21"/>
                <w:highlight w:val="none"/>
              </w:rPr>
            </w:pPr>
          </w:p>
          <w:p w14:paraId="53121538">
            <w:pPr>
              <w:snapToGrid w:val="0"/>
              <w:spacing w:line="400" w:lineRule="exact"/>
              <w:jc w:val="center"/>
              <w:rPr>
                <w:rFonts w:ascii="宋体" w:hAnsi="宋体"/>
                <w:color w:val="auto"/>
                <w:kern w:val="0"/>
                <w:szCs w:val="21"/>
                <w:highlight w:val="none"/>
              </w:rPr>
            </w:pPr>
          </w:p>
          <w:p w14:paraId="29294CC1">
            <w:pPr>
              <w:snapToGrid w:val="0"/>
              <w:spacing w:line="400" w:lineRule="exact"/>
              <w:jc w:val="center"/>
              <w:rPr>
                <w:rFonts w:ascii="宋体" w:hAnsi="宋体"/>
                <w:color w:val="auto"/>
                <w:kern w:val="0"/>
                <w:szCs w:val="21"/>
                <w:highlight w:val="none"/>
              </w:rPr>
            </w:pPr>
          </w:p>
          <w:p w14:paraId="274A9AD5">
            <w:pPr>
              <w:snapToGrid w:val="0"/>
              <w:spacing w:line="400" w:lineRule="exact"/>
              <w:jc w:val="center"/>
              <w:rPr>
                <w:rFonts w:ascii="宋体" w:hAnsi="宋体"/>
                <w:color w:val="auto"/>
                <w:kern w:val="0"/>
                <w:szCs w:val="21"/>
                <w:highlight w:val="none"/>
              </w:rPr>
            </w:pPr>
          </w:p>
          <w:p w14:paraId="22135C92">
            <w:pPr>
              <w:snapToGrid w:val="0"/>
              <w:spacing w:line="400" w:lineRule="exact"/>
              <w:jc w:val="center"/>
              <w:rPr>
                <w:rFonts w:ascii="宋体" w:hAnsi="宋体"/>
                <w:color w:val="auto"/>
                <w:kern w:val="0"/>
                <w:szCs w:val="21"/>
                <w:highlight w:val="none"/>
              </w:rPr>
            </w:pPr>
          </w:p>
          <w:p w14:paraId="43941702">
            <w:pPr>
              <w:snapToGrid w:val="0"/>
              <w:spacing w:line="400" w:lineRule="exact"/>
              <w:jc w:val="center"/>
              <w:rPr>
                <w:rFonts w:ascii="宋体" w:hAnsi="宋体"/>
                <w:color w:val="auto"/>
                <w:kern w:val="0"/>
                <w:szCs w:val="21"/>
                <w:highlight w:val="none"/>
              </w:rPr>
            </w:pPr>
          </w:p>
          <w:p w14:paraId="75FD5DCC">
            <w:pPr>
              <w:snapToGrid w:val="0"/>
              <w:spacing w:line="400" w:lineRule="exact"/>
              <w:jc w:val="center"/>
              <w:rPr>
                <w:rFonts w:ascii="宋体" w:hAnsi="宋体"/>
                <w:color w:val="auto"/>
                <w:kern w:val="0"/>
                <w:szCs w:val="21"/>
                <w:highlight w:val="none"/>
              </w:rPr>
            </w:pPr>
          </w:p>
          <w:p w14:paraId="4DABD6A3">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资质条件、能力和信誉</w:t>
            </w:r>
          </w:p>
          <w:p w14:paraId="466EF24B">
            <w:pPr>
              <w:snapToGrid w:val="0"/>
              <w:spacing w:line="400" w:lineRule="exact"/>
              <w:jc w:val="center"/>
              <w:rPr>
                <w:rFonts w:ascii="宋体" w:hAnsi="宋体"/>
                <w:color w:val="auto"/>
                <w:kern w:val="0"/>
                <w:szCs w:val="21"/>
                <w:highlight w:val="none"/>
              </w:rPr>
            </w:pPr>
          </w:p>
          <w:p w14:paraId="6C034AF6">
            <w:pPr>
              <w:snapToGrid w:val="0"/>
              <w:spacing w:line="400" w:lineRule="exact"/>
              <w:jc w:val="center"/>
              <w:rPr>
                <w:rFonts w:ascii="宋体" w:hAnsi="宋体"/>
                <w:color w:val="auto"/>
                <w:kern w:val="0"/>
                <w:szCs w:val="21"/>
                <w:highlight w:val="none"/>
              </w:rPr>
            </w:pPr>
          </w:p>
          <w:p w14:paraId="68312A3C">
            <w:pPr>
              <w:snapToGrid w:val="0"/>
              <w:spacing w:line="400" w:lineRule="exact"/>
              <w:jc w:val="center"/>
              <w:rPr>
                <w:rFonts w:ascii="宋体" w:hAnsi="宋体"/>
                <w:color w:val="auto"/>
                <w:kern w:val="0"/>
                <w:szCs w:val="21"/>
                <w:highlight w:val="none"/>
              </w:rPr>
            </w:pPr>
          </w:p>
          <w:p w14:paraId="59DDE680">
            <w:pPr>
              <w:snapToGrid w:val="0"/>
              <w:spacing w:line="400" w:lineRule="exact"/>
              <w:jc w:val="center"/>
              <w:rPr>
                <w:rFonts w:ascii="宋体" w:hAnsi="宋体"/>
                <w:color w:val="auto"/>
                <w:kern w:val="0"/>
                <w:szCs w:val="21"/>
                <w:highlight w:val="none"/>
              </w:rPr>
            </w:pPr>
          </w:p>
          <w:p w14:paraId="69109AFA">
            <w:pPr>
              <w:snapToGrid w:val="0"/>
              <w:spacing w:line="400" w:lineRule="exact"/>
              <w:jc w:val="center"/>
              <w:rPr>
                <w:rFonts w:ascii="宋体" w:hAnsi="宋体"/>
                <w:color w:val="auto"/>
                <w:kern w:val="0"/>
                <w:szCs w:val="21"/>
                <w:highlight w:val="none"/>
              </w:rPr>
            </w:pPr>
          </w:p>
          <w:p w14:paraId="33852CC1">
            <w:pPr>
              <w:snapToGrid w:val="0"/>
              <w:spacing w:line="400" w:lineRule="exact"/>
              <w:jc w:val="center"/>
              <w:rPr>
                <w:rFonts w:ascii="宋体" w:hAnsi="宋体"/>
                <w:color w:val="auto"/>
                <w:kern w:val="0"/>
                <w:szCs w:val="21"/>
                <w:highlight w:val="none"/>
              </w:rPr>
            </w:pPr>
          </w:p>
        </w:tc>
        <w:tc>
          <w:tcPr>
            <w:tcW w:w="6490" w:type="dxa"/>
            <w:vAlign w:val="center"/>
          </w:tcPr>
          <w:p w14:paraId="13997E3F">
            <w:pPr>
              <w:autoSpaceDE w:val="0"/>
              <w:autoSpaceDN w:val="0"/>
              <w:adjustRightInd w:val="0"/>
              <w:snapToGrid w:val="0"/>
              <w:spacing w:line="400" w:lineRule="exact"/>
              <w:rPr>
                <w:rFonts w:ascii="宋体" w:hAnsi="宋体"/>
                <w:color w:val="auto"/>
                <w:szCs w:val="21"/>
                <w:highlight w:val="none"/>
              </w:rPr>
            </w:pPr>
            <w:bookmarkStart w:id="118" w:name="OLE_LINK1"/>
            <w:r>
              <w:rPr>
                <w:rFonts w:ascii="宋体" w:hAnsi="宋体"/>
                <w:color w:val="auto"/>
                <w:szCs w:val="21"/>
                <w:highlight w:val="none"/>
              </w:rPr>
              <w:t>本</w:t>
            </w:r>
            <w:r>
              <w:rPr>
                <w:rFonts w:hint="eastAsia" w:ascii="宋体" w:hAnsi="宋体"/>
                <w:color w:val="auto"/>
                <w:szCs w:val="21"/>
                <w:highlight w:val="none"/>
                <w:lang w:val="en-US" w:eastAsia="zh-CN"/>
              </w:rPr>
              <w:t>项目</w:t>
            </w:r>
            <w:r>
              <w:rPr>
                <w:rFonts w:ascii="宋体" w:hAnsi="宋体"/>
                <w:color w:val="auto"/>
                <w:szCs w:val="21"/>
                <w:highlight w:val="none"/>
              </w:rPr>
              <w:t>招标实行资格后审，</w:t>
            </w:r>
            <w:r>
              <w:rPr>
                <w:rFonts w:hint="eastAsia" w:ascii="宋体" w:hAnsi="宋体"/>
                <w:color w:val="auto"/>
                <w:szCs w:val="21"/>
                <w:highlight w:val="none"/>
                <w:lang w:eastAsia="zh-CN"/>
              </w:rPr>
              <w:t>竞选人</w:t>
            </w:r>
            <w:r>
              <w:rPr>
                <w:rFonts w:ascii="宋体" w:hAnsi="宋体"/>
                <w:color w:val="auto"/>
                <w:szCs w:val="21"/>
                <w:highlight w:val="none"/>
              </w:rPr>
              <w:t>应</w:t>
            </w:r>
            <w:bookmarkStart w:id="119" w:name="一是"/>
            <w:bookmarkEnd w:id="119"/>
            <w:r>
              <w:rPr>
                <w:rFonts w:ascii="宋体" w:hAnsi="宋体"/>
                <w:color w:val="auto"/>
                <w:szCs w:val="21"/>
                <w:highlight w:val="none"/>
              </w:rPr>
              <w:t>具备以下资格条件：</w:t>
            </w:r>
          </w:p>
          <w:bookmarkEnd w:id="118"/>
          <w:p w14:paraId="0955633D">
            <w:pPr>
              <w:autoSpaceDE w:val="0"/>
              <w:autoSpaceDN w:val="0"/>
              <w:adjustRightInd w:val="0"/>
              <w:snapToGrid w:val="0"/>
              <w:spacing w:line="400" w:lineRule="exact"/>
              <w:ind w:firstLine="422" w:firstLineChars="200"/>
              <w:rPr>
                <w:rFonts w:ascii="宋体" w:hAnsi="宋体"/>
                <w:b/>
                <w:color w:val="auto"/>
                <w:szCs w:val="21"/>
                <w:highlight w:val="none"/>
              </w:rPr>
            </w:pPr>
            <w:r>
              <w:rPr>
                <w:rFonts w:ascii="宋体" w:hAnsi="宋体"/>
                <w:b/>
                <w:color w:val="auto"/>
                <w:szCs w:val="21"/>
                <w:highlight w:val="none"/>
              </w:rPr>
              <w:t>1.资质条件、营业执照及安全生产条件</w:t>
            </w:r>
          </w:p>
          <w:p w14:paraId="175C1C1C">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（1）具备有效的营业执照。</w:t>
            </w:r>
          </w:p>
          <w:p w14:paraId="093C68A3">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竞选人</w:t>
            </w:r>
            <w:r>
              <w:rPr>
                <w:rFonts w:ascii="宋体" w:hAnsi="宋体"/>
                <w:color w:val="auto"/>
                <w:szCs w:val="21"/>
                <w:highlight w:val="none"/>
              </w:rPr>
              <w:t>须</w:t>
            </w:r>
            <w:r>
              <w:rPr>
                <w:rFonts w:hint="eastAsia" w:ascii="宋体" w:hAnsi="宋体"/>
                <w:color w:val="auto"/>
                <w:szCs w:val="21"/>
                <w:highlight w:val="none"/>
              </w:rPr>
              <w:t>在</w:t>
            </w:r>
            <w:r>
              <w:rPr>
                <w:rFonts w:hint="eastAsia" w:ascii="宋体" w:hAnsi="宋体"/>
                <w:color w:val="auto"/>
                <w:szCs w:val="21"/>
                <w:highlight w:val="none"/>
                <w:lang w:eastAsia="zh-CN"/>
              </w:rPr>
              <w:t>竞选文件</w:t>
            </w:r>
            <w:r>
              <w:rPr>
                <w:rFonts w:hint="eastAsia" w:ascii="宋体" w:hAnsi="宋体"/>
                <w:color w:val="auto"/>
                <w:szCs w:val="21"/>
                <w:highlight w:val="none"/>
              </w:rPr>
              <w:t>资格审查部分</w:t>
            </w:r>
            <w:r>
              <w:rPr>
                <w:rFonts w:ascii="宋体" w:hAnsi="宋体"/>
                <w:color w:val="auto"/>
                <w:szCs w:val="21"/>
                <w:highlight w:val="none"/>
              </w:rPr>
              <w:t>提供有效的营业执照复印件。</w:t>
            </w:r>
            <w:r>
              <w:rPr>
                <w:rFonts w:hint="eastAsia" w:ascii="宋体" w:hAnsi="宋体"/>
                <w:color w:val="auto"/>
                <w:szCs w:val="21"/>
                <w:highlight w:val="none"/>
              </w:rPr>
              <w:t>注：不得将</w:t>
            </w:r>
            <w:r>
              <w:rPr>
                <w:rFonts w:hint="eastAsia" w:ascii="宋体" w:hAnsi="宋体"/>
                <w:color w:val="auto"/>
                <w:szCs w:val="21"/>
                <w:highlight w:val="none"/>
                <w:lang w:eastAsia="zh-CN"/>
              </w:rPr>
              <w:t>竞选人</w:t>
            </w:r>
            <w:r>
              <w:rPr>
                <w:rFonts w:hint="eastAsia" w:ascii="宋体" w:hAnsi="宋体"/>
                <w:color w:val="auto"/>
                <w:szCs w:val="21"/>
                <w:highlight w:val="none"/>
              </w:rPr>
              <w:t>营业执照记载的经营范围作为评审因素。</w:t>
            </w:r>
          </w:p>
          <w:p w14:paraId="6BEB3030">
            <w:p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lang w:val="en-US" w:eastAsia="zh-CN"/>
              </w:rPr>
              <w:t>2</w:t>
            </w:r>
            <w:r>
              <w:rPr>
                <w:rFonts w:ascii="宋体" w:hAnsi="宋体"/>
                <w:b/>
                <w:color w:val="auto"/>
                <w:szCs w:val="21"/>
                <w:highlight w:val="none"/>
              </w:rPr>
              <w:t>.投标截止日投标资格情况</w:t>
            </w:r>
          </w:p>
          <w:p w14:paraId="1DD8BD30">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竞选人</w:t>
            </w:r>
            <w:r>
              <w:rPr>
                <w:rFonts w:hint="eastAsia" w:ascii="宋体" w:hAnsi="宋体"/>
                <w:color w:val="auto"/>
                <w:szCs w:val="21"/>
                <w:highlight w:val="none"/>
              </w:rPr>
              <w:t>自行承诺（格式</w:t>
            </w:r>
            <w:r>
              <w:rPr>
                <w:rFonts w:hint="eastAsia" w:ascii="宋体" w:hAnsi="宋体"/>
                <w:color w:val="auto"/>
                <w:szCs w:val="21"/>
                <w:highlight w:val="none"/>
                <w:lang w:val="en-US" w:eastAsia="zh-CN"/>
              </w:rPr>
              <w:t>自拟</w:t>
            </w:r>
            <w:r>
              <w:rPr>
                <w:rFonts w:hint="eastAsia" w:ascii="宋体" w:hAnsi="宋体"/>
                <w:color w:val="auto"/>
                <w:szCs w:val="21"/>
                <w:highlight w:val="none"/>
              </w:rPr>
              <w:t>）不得存在下列情形之一：</w:t>
            </w:r>
          </w:p>
          <w:p w14:paraId="6DDF279A">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14:paraId="1F232A93">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rPr>
              <w:t>被“信用中国”网站(www.creditchina.gov.cn) 列为失信被 执行人</w:t>
            </w:r>
            <w:r>
              <w:rPr>
                <w:rFonts w:hint="eastAsia" w:ascii="宋体" w:hAnsi="宋体"/>
                <w:color w:val="auto"/>
                <w:szCs w:val="21"/>
                <w:highlight w:val="none"/>
              </w:rPr>
              <w:t>；</w:t>
            </w:r>
          </w:p>
          <w:p w14:paraId="4DE150A9">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（3）被国家、重庆市（含市或任意区县）有关行政部门处以暂停投标资格行政处罚，且在处罚期限内；</w:t>
            </w:r>
          </w:p>
          <w:p w14:paraId="3EDD1AB4">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）被重庆市</w:t>
            </w:r>
            <w:r>
              <w:rPr>
                <w:rFonts w:hint="eastAsia" w:ascii="宋体" w:hAnsi="宋体" w:eastAsia="宋体" w:cs="宋体"/>
                <w:color w:val="auto"/>
                <w:szCs w:val="21"/>
                <w:highlight w:val="none"/>
                <w:lang w:val="en-US" w:eastAsia="zh-CN"/>
              </w:rPr>
              <w:t>市级有关行业</w:t>
            </w:r>
            <w:r>
              <w:rPr>
                <w:rFonts w:hint="eastAsia" w:ascii="宋体" w:hAnsi="宋体"/>
                <w:color w:val="auto"/>
                <w:szCs w:val="21"/>
                <w:highlight w:val="none"/>
              </w:rPr>
              <w:t>主管部门暂停在渝承揽新业务且在暂停期内。</w:t>
            </w:r>
          </w:p>
          <w:p w14:paraId="33B833B2">
            <w:pPr>
              <w:spacing w:line="400" w:lineRule="exact"/>
              <w:ind w:firstLine="420" w:firstLineChars="200"/>
              <w:rPr>
                <w:rFonts w:hint="eastAsia"/>
                <w:color w:val="auto"/>
                <w:highlight w:val="none"/>
              </w:rPr>
            </w:pPr>
            <w:r>
              <w:rPr>
                <w:rFonts w:hint="eastAsia"/>
                <w:color w:val="auto"/>
                <w:highlight w:val="none"/>
                <w:lang w:eastAsia="zh-CN"/>
              </w:rPr>
              <w:t>竞选人</w:t>
            </w:r>
            <w:r>
              <w:rPr>
                <w:rFonts w:hint="eastAsia"/>
                <w:color w:val="auto"/>
                <w:highlight w:val="none"/>
              </w:rPr>
              <w:t>须在</w:t>
            </w:r>
            <w:r>
              <w:rPr>
                <w:rFonts w:hint="eastAsia"/>
                <w:color w:val="auto"/>
                <w:highlight w:val="none"/>
                <w:lang w:eastAsia="zh-CN"/>
              </w:rPr>
              <w:t>竞选文件</w:t>
            </w:r>
            <w:r>
              <w:rPr>
                <w:rFonts w:hint="eastAsia"/>
                <w:color w:val="auto"/>
                <w:highlight w:val="none"/>
              </w:rPr>
              <w:t>资格审查部分提供承诺。</w:t>
            </w:r>
          </w:p>
          <w:p w14:paraId="1FCE0D9A">
            <w:pPr>
              <w:autoSpaceDE w:val="0"/>
              <w:autoSpaceDN w:val="0"/>
              <w:adjustRightInd w:val="0"/>
              <w:snapToGrid w:val="0"/>
              <w:spacing w:line="400" w:lineRule="exact"/>
              <w:ind w:firstLine="422" w:firstLineChars="200"/>
              <w:rPr>
                <w:rFonts w:ascii="宋体" w:hAnsi="宋体"/>
                <w:color w:val="auto"/>
                <w:spacing w:val="-24"/>
                <w:kern w:val="0"/>
                <w:szCs w:val="21"/>
                <w:highlight w:val="none"/>
              </w:rPr>
            </w:pPr>
            <w:r>
              <w:rPr>
                <w:rFonts w:hint="eastAsia" w:ascii="宋体" w:hAnsi="宋体"/>
                <w:b/>
                <w:color w:val="auto"/>
                <w:szCs w:val="21"/>
                <w:highlight w:val="none"/>
                <w:lang w:val="en-US" w:eastAsia="zh-CN"/>
              </w:rPr>
              <w:t>3</w:t>
            </w:r>
            <w:r>
              <w:rPr>
                <w:rFonts w:ascii="宋体" w:hAnsi="宋体"/>
                <w:b/>
                <w:color w:val="auto"/>
                <w:szCs w:val="21"/>
                <w:highlight w:val="none"/>
              </w:rPr>
              <w:t>.其他要求</w:t>
            </w:r>
          </w:p>
          <w:p w14:paraId="7D9E2D44">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委托代理人</w:t>
            </w:r>
            <w:r>
              <w:rPr>
                <w:rFonts w:hint="eastAsia" w:ascii="宋体" w:hAnsi="宋体"/>
                <w:color w:val="auto"/>
                <w:kern w:val="0"/>
                <w:szCs w:val="21"/>
                <w:highlight w:val="none"/>
              </w:rPr>
              <w:t>：</w:t>
            </w:r>
          </w:p>
          <w:p w14:paraId="67553866">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委托代理人必须为</w:t>
            </w:r>
            <w:r>
              <w:rPr>
                <w:rFonts w:hint="eastAsia" w:ascii="宋体" w:hAnsi="宋体"/>
                <w:color w:val="auto"/>
                <w:kern w:val="0"/>
                <w:szCs w:val="21"/>
                <w:highlight w:val="none"/>
                <w:lang w:eastAsia="zh-CN"/>
              </w:rPr>
              <w:t>竞选人</w:t>
            </w:r>
            <w:r>
              <w:rPr>
                <w:rFonts w:ascii="宋体" w:hAnsi="宋体"/>
                <w:color w:val="auto"/>
                <w:kern w:val="0"/>
                <w:szCs w:val="21"/>
                <w:highlight w:val="none"/>
              </w:rPr>
              <w:t>本单位</w:t>
            </w:r>
            <w:r>
              <w:rPr>
                <w:rFonts w:hint="eastAsia" w:ascii="宋体" w:hAnsi="宋体"/>
                <w:color w:val="auto"/>
                <w:kern w:val="0"/>
                <w:szCs w:val="21"/>
                <w:highlight w:val="none"/>
              </w:rPr>
              <w:t>人员。</w:t>
            </w:r>
          </w:p>
          <w:p w14:paraId="686D99CD">
            <w:pPr>
              <w:autoSpaceDE w:val="0"/>
              <w:autoSpaceDN w:val="0"/>
              <w:adjustRightInd w:val="0"/>
              <w:snapToGrid w:val="0"/>
              <w:spacing w:line="400" w:lineRule="exact"/>
              <w:ind w:firstLine="417" w:firstLineChars="198"/>
              <w:rPr>
                <w:rFonts w:ascii="宋体" w:hAnsi="宋体" w:cs="宋体"/>
                <w:b/>
                <w:color w:val="auto"/>
                <w:szCs w:val="21"/>
                <w:highlight w:val="none"/>
              </w:rPr>
            </w:pPr>
            <w:r>
              <w:rPr>
                <w:rFonts w:hint="eastAsia" w:ascii="宋体" w:hAnsi="宋体" w:cs="宋体"/>
                <w:b/>
                <w:color w:val="auto"/>
                <w:szCs w:val="21"/>
                <w:highlight w:val="none"/>
              </w:rPr>
              <w:t>特别说明：</w:t>
            </w:r>
          </w:p>
          <w:p w14:paraId="0F75CAAA">
            <w:pPr>
              <w:numPr>
                <w:ilvl w:val="0"/>
                <w:numId w:val="1"/>
              </w:numPr>
              <w:autoSpaceDE w:val="0"/>
              <w:autoSpaceDN w:val="0"/>
              <w:adjustRightInd w:val="0"/>
              <w:snapToGrid w:val="0"/>
              <w:spacing w:line="400" w:lineRule="exact"/>
              <w:ind w:firstLine="415" w:firstLineChars="198"/>
              <w:rPr>
                <w:rFonts w:hint="eastAsia" w:ascii="宋体" w:hAnsi="宋体" w:cs="宋体"/>
                <w:color w:val="auto"/>
                <w:szCs w:val="21"/>
                <w:highlight w:val="none"/>
              </w:rPr>
            </w:pPr>
            <w:r>
              <w:rPr>
                <w:rFonts w:hint="eastAsia" w:ascii="宋体" w:hAnsi="宋体" w:cs="宋体"/>
                <w:color w:val="auto"/>
                <w:szCs w:val="21"/>
                <w:highlight w:val="none"/>
              </w:rPr>
              <w:t>上述要求须提交的相关证明材料复印件均应加盖</w:t>
            </w:r>
            <w:r>
              <w:rPr>
                <w:rFonts w:hint="eastAsia" w:ascii="宋体" w:hAnsi="宋体" w:cs="宋体"/>
                <w:color w:val="auto"/>
                <w:szCs w:val="21"/>
                <w:highlight w:val="none"/>
                <w:lang w:val="en-US" w:eastAsia="zh-CN"/>
              </w:rPr>
              <w:t>竞选</w:t>
            </w:r>
            <w:r>
              <w:rPr>
                <w:rFonts w:hint="eastAsia" w:ascii="宋体" w:hAnsi="宋体" w:cs="宋体"/>
                <w:color w:val="auto"/>
                <w:szCs w:val="21"/>
                <w:highlight w:val="none"/>
              </w:rPr>
              <w:t>单位法人章并装入</w:t>
            </w:r>
            <w:r>
              <w:rPr>
                <w:rFonts w:hint="eastAsia" w:ascii="宋体" w:hAnsi="宋体" w:cs="宋体"/>
                <w:color w:val="auto"/>
                <w:szCs w:val="21"/>
                <w:highlight w:val="none"/>
                <w:lang w:val="en-US" w:eastAsia="zh-CN"/>
              </w:rPr>
              <w:t>竞选</w:t>
            </w:r>
            <w:r>
              <w:rPr>
                <w:rFonts w:hint="eastAsia" w:ascii="宋体" w:hAnsi="宋体" w:cs="宋体"/>
                <w:color w:val="auto"/>
                <w:szCs w:val="21"/>
                <w:highlight w:val="none"/>
              </w:rPr>
              <w:t>文件资格审查部分中</w:t>
            </w:r>
            <w:r>
              <w:rPr>
                <w:rFonts w:hint="eastAsia" w:ascii="宋体" w:hAnsi="宋体" w:cs="宋体"/>
                <w:color w:val="auto"/>
                <w:kern w:val="0"/>
                <w:szCs w:val="21"/>
                <w:highlight w:val="none"/>
              </w:rPr>
              <w:t>。</w:t>
            </w:r>
          </w:p>
          <w:p w14:paraId="3353A78C">
            <w:pPr>
              <w:numPr>
                <w:ilvl w:val="0"/>
                <w:numId w:val="1"/>
              </w:numPr>
              <w:autoSpaceDE w:val="0"/>
              <w:autoSpaceDN w:val="0"/>
              <w:adjustRightInd w:val="0"/>
              <w:snapToGrid w:val="0"/>
              <w:spacing w:line="400" w:lineRule="exact"/>
              <w:ind w:firstLine="415" w:firstLineChars="198"/>
              <w:rPr>
                <w:rFonts w:ascii="宋体" w:hAnsi="宋体"/>
                <w:bCs/>
                <w:snapToGrid w:val="0"/>
                <w:color w:val="auto"/>
                <w:kern w:val="0"/>
                <w:szCs w:val="21"/>
                <w:highlight w:val="none"/>
              </w:rPr>
            </w:pP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须自行承诺其提供的上述相关证明材料真实有效，不存在弄虚作假情形（格式见</w:t>
            </w:r>
            <w:r>
              <w:rPr>
                <w:rFonts w:hint="eastAsia" w:ascii="宋体" w:hAnsi="宋体" w:cs="宋体"/>
                <w:color w:val="auto"/>
                <w:szCs w:val="21"/>
                <w:highlight w:val="none"/>
                <w:lang w:eastAsia="zh-CN"/>
              </w:rPr>
              <w:t>第六章竞选文件</w:t>
            </w:r>
            <w:r>
              <w:rPr>
                <w:rFonts w:hint="eastAsia" w:ascii="宋体" w:hAnsi="宋体" w:cs="宋体"/>
                <w:color w:val="auto"/>
                <w:szCs w:val="21"/>
                <w:highlight w:val="none"/>
              </w:rPr>
              <w:t>格式）。</w:t>
            </w:r>
            <w:r>
              <w:rPr>
                <w:rFonts w:hint="eastAsia" w:ascii="宋体" w:hAnsi="宋体" w:cs="宋体"/>
                <w:color w:val="auto"/>
                <w:szCs w:val="21"/>
                <w:highlight w:val="none"/>
                <w:u w:val="single"/>
                <w:lang w:eastAsia="zh-CN"/>
              </w:rPr>
              <w:t>比选人</w:t>
            </w:r>
            <w:r>
              <w:rPr>
                <w:rFonts w:hint="eastAsia" w:ascii="宋体" w:hAnsi="宋体" w:cs="宋体"/>
                <w:color w:val="auto"/>
                <w:szCs w:val="21"/>
                <w:highlight w:val="none"/>
                <w:u w:val="single"/>
              </w:rPr>
              <w:t>在合同签订前均有权对</w:t>
            </w:r>
            <w:r>
              <w:rPr>
                <w:rFonts w:hint="eastAsia" w:ascii="宋体" w:hAnsi="宋体" w:cs="宋体"/>
                <w:color w:val="auto"/>
                <w:szCs w:val="21"/>
                <w:highlight w:val="none"/>
                <w:u w:val="single"/>
                <w:lang w:eastAsia="zh-CN"/>
              </w:rPr>
              <w:t>竞选人</w:t>
            </w:r>
            <w:r>
              <w:rPr>
                <w:rFonts w:hint="eastAsia" w:ascii="宋体" w:hAnsi="宋体" w:cs="宋体"/>
                <w:color w:val="auto"/>
                <w:szCs w:val="21"/>
                <w:highlight w:val="none"/>
                <w:u w:val="single"/>
              </w:rPr>
              <w:t>提供的资料进行核实，若发现弄虚作假，</w:t>
            </w:r>
            <w:r>
              <w:rPr>
                <w:rFonts w:hint="eastAsia" w:ascii="宋体" w:hAnsi="宋体" w:cs="宋体"/>
                <w:color w:val="auto"/>
                <w:szCs w:val="21"/>
                <w:highlight w:val="none"/>
                <w:u w:val="single"/>
                <w:lang w:val="en-US" w:eastAsia="zh-CN"/>
              </w:rPr>
              <w:t>按相关规定</w:t>
            </w:r>
            <w:r>
              <w:rPr>
                <w:rFonts w:hint="eastAsia" w:ascii="宋体" w:hAnsi="宋体" w:cs="宋体"/>
                <w:color w:val="auto"/>
                <w:szCs w:val="21"/>
                <w:highlight w:val="none"/>
                <w:u w:val="single"/>
              </w:rPr>
              <w:t>取消其中标资格，并按相关法律法规报招标投标监督部门，其投标保证金不予退还，</w:t>
            </w:r>
            <w:r>
              <w:rPr>
                <w:rFonts w:hint="eastAsia" w:ascii="宋体" w:hAnsi="宋体" w:cs="宋体"/>
                <w:color w:val="auto"/>
                <w:szCs w:val="21"/>
                <w:highlight w:val="none"/>
                <w:u w:val="single"/>
                <w:lang w:eastAsia="zh-CN"/>
              </w:rPr>
              <w:t>竞选人</w:t>
            </w:r>
            <w:r>
              <w:rPr>
                <w:rFonts w:hint="eastAsia" w:ascii="宋体" w:hAnsi="宋体" w:cs="宋体"/>
                <w:color w:val="auto"/>
                <w:szCs w:val="21"/>
                <w:highlight w:val="none"/>
                <w:u w:val="single"/>
              </w:rPr>
              <w:t>承担因此造成的相关责任并赔偿相应损失</w:t>
            </w:r>
            <w:r>
              <w:rPr>
                <w:rFonts w:hint="eastAsia" w:ascii="宋体" w:hAnsi="宋体" w:cs="宋体"/>
                <w:color w:val="auto"/>
                <w:szCs w:val="21"/>
                <w:highlight w:val="none"/>
              </w:rPr>
              <w:t>。</w:t>
            </w:r>
          </w:p>
        </w:tc>
      </w:tr>
      <w:tr w14:paraId="0ED08B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8364089">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1.4.2</w:t>
            </w:r>
          </w:p>
        </w:tc>
        <w:tc>
          <w:tcPr>
            <w:tcW w:w="1644" w:type="dxa"/>
            <w:vAlign w:val="center"/>
          </w:tcPr>
          <w:p w14:paraId="483FFB1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是否接受联合体投标</w:t>
            </w:r>
          </w:p>
        </w:tc>
        <w:tc>
          <w:tcPr>
            <w:tcW w:w="6490" w:type="dxa"/>
            <w:vAlign w:val="center"/>
          </w:tcPr>
          <w:p w14:paraId="7BFF4616">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w:t>
            </w:r>
            <w:r>
              <w:rPr>
                <w:rFonts w:ascii="宋体" w:hAnsi="宋体"/>
                <w:color w:val="auto"/>
                <w:kern w:val="0"/>
                <w:szCs w:val="21"/>
                <w:highlight w:val="none"/>
              </w:rPr>
              <w:t>不接受</w:t>
            </w:r>
          </w:p>
          <w:p w14:paraId="4C0B1C51">
            <w:pPr>
              <w:snapToGrid w:val="0"/>
              <w:spacing w:after="15" w:afterLines="5"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接受，应满足下列要求：</w:t>
            </w:r>
          </w:p>
        </w:tc>
      </w:tr>
      <w:tr w14:paraId="52C04A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A39A6F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1.9.1</w:t>
            </w:r>
          </w:p>
        </w:tc>
        <w:tc>
          <w:tcPr>
            <w:tcW w:w="1644" w:type="dxa"/>
            <w:vAlign w:val="center"/>
          </w:tcPr>
          <w:p w14:paraId="52BED0C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踏勘现场</w:t>
            </w:r>
          </w:p>
        </w:tc>
        <w:tc>
          <w:tcPr>
            <w:tcW w:w="6490" w:type="dxa"/>
            <w:vAlign w:val="center"/>
          </w:tcPr>
          <w:p w14:paraId="3E5E1A0F">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w:t>
            </w:r>
            <w:r>
              <w:rPr>
                <w:rFonts w:ascii="宋体" w:hAnsi="宋体"/>
                <w:color w:val="auto"/>
                <w:kern w:val="0"/>
                <w:szCs w:val="21"/>
                <w:highlight w:val="none"/>
              </w:rPr>
              <w:t>不组织</w:t>
            </w:r>
          </w:p>
          <w:p w14:paraId="2E6B0798">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组织，</w:t>
            </w:r>
            <w:r>
              <w:rPr>
                <w:rFonts w:hint="eastAsia" w:ascii="宋体" w:hAnsi="宋体"/>
                <w:color w:val="auto"/>
                <w:kern w:val="0"/>
                <w:szCs w:val="21"/>
                <w:highlight w:val="none"/>
              </w:rPr>
              <w:t>集中</w:t>
            </w:r>
            <w:r>
              <w:rPr>
                <w:rFonts w:ascii="宋体" w:hAnsi="宋体"/>
                <w:color w:val="auto"/>
                <w:kern w:val="0"/>
                <w:szCs w:val="21"/>
                <w:highlight w:val="none"/>
              </w:rPr>
              <w:t>踏勘时间：</w:t>
            </w:r>
          </w:p>
          <w:p w14:paraId="6948E29E">
            <w:pPr>
              <w:snapToGrid w:val="0"/>
              <w:spacing w:line="400" w:lineRule="exact"/>
              <w:ind w:firstLine="1260" w:firstLineChars="600"/>
              <w:rPr>
                <w:rFonts w:ascii="宋体" w:hAnsi="宋体"/>
                <w:color w:val="auto"/>
                <w:kern w:val="0"/>
                <w:szCs w:val="21"/>
                <w:highlight w:val="none"/>
              </w:rPr>
            </w:pPr>
            <w:r>
              <w:rPr>
                <w:rFonts w:ascii="宋体" w:hAnsi="宋体"/>
                <w:color w:val="auto"/>
                <w:kern w:val="0"/>
                <w:szCs w:val="21"/>
                <w:highlight w:val="none"/>
              </w:rPr>
              <w:t>集中踏勘地点：</w:t>
            </w:r>
          </w:p>
        </w:tc>
      </w:tr>
      <w:tr w14:paraId="7CD1EC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E7B73D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1.10.1</w:t>
            </w:r>
          </w:p>
        </w:tc>
        <w:tc>
          <w:tcPr>
            <w:tcW w:w="1644" w:type="dxa"/>
            <w:vAlign w:val="center"/>
          </w:tcPr>
          <w:p w14:paraId="75178CD0">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投标预备会</w:t>
            </w:r>
          </w:p>
        </w:tc>
        <w:tc>
          <w:tcPr>
            <w:tcW w:w="6490" w:type="dxa"/>
            <w:vAlign w:val="center"/>
          </w:tcPr>
          <w:p w14:paraId="68BD9B1C">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w:t>
            </w:r>
            <w:r>
              <w:rPr>
                <w:rFonts w:ascii="宋体" w:hAnsi="宋体"/>
                <w:color w:val="auto"/>
                <w:kern w:val="0"/>
                <w:szCs w:val="21"/>
                <w:highlight w:val="none"/>
              </w:rPr>
              <w:t>不召开</w:t>
            </w:r>
          </w:p>
          <w:p w14:paraId="1A0E8828">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召开，召开时间：</w:t>
            </w:r>
          </w:p>
          <w:p w14:paraId="359693F9">
            <w:pPr>
              <w:snapToGrid w:val="0"/>
              <w:spacing w:after="15" w:afterLines="5" w:line="400" w:lineRule="exact"/>
              <w:ind w:firstLine="1260" w:firstLineChars="600"/>
              <w:rPr>
                <w:rFonts w:ascii="宋体" w:hAnsi="宋体"/>
                <w:color w:val="auto"/>
                <w:kern w:val="0"/>
                <w:szCs w:val="21"/>
                <w:highlight w:val="none"/>
              </w:rPr>
            </w:pPr>
            <w:r>
              <w:rPr>
                <w:rFonts w:ascii="宋体" w:hAnsi="宋体"/>
                <w:color w:val="auto"/>
                <w:kern w:val="0"/>
                <w:szCs w:val="21"/>
                <w:highlight w:val="none"/>
              </w:rPr>
              <w:t>召开地点：</w:t>
            </w:r>
          </w:p>
        </w:tc>
      </w:tr>
      <w:tr w14:paraId="706836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269188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1.11</w:t>
            </w:r>
          </w:p>
        </w:tc>
        <w:tc>
          <w:tcPr>
            <w:tcW w:w="1644" w:type="dxa"/>
            <w:vAlign w:val="center"/>
          </w:tcPr>
          <w:p w14:paraId="5EA3392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分包</w:t>
            </w:r>
          </w:p>
        </w:tc>
        <w:tc>
          <w:tcPr>
            <w:tcW w:w="6490" w:type="dxa"/>
            <w:vAlign w:val="center"/>
          </w:tcPr>
          <w:p w14:paraId="2727035D">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w:t>
            </w:r>
            <w:r>
              <w:rPr>
                <w:rFonts w:ascii="宋体" w:hAnsi="宋体"/>
                <w:color w:val="auto"/>
                <w:kern w:val="0"/>
                <w:szCs w:val="21"/>
                <w:highlight w:val="none"/>
              </w:rPr>
              <w:t>不允许</w:t>
            </w:r>
          </w:p>
          <w:p w14:paraId="6C4DD001">
            <w:pPr>
              <w:snapToGrid w:val="0"/>
              <w:spacing w:line="400" w:lineRule="exact"/>
              <w:ind w:firstLine="420" w:firstLineChars="200"/>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rPr>
              <w:t>□</w:t>
            </w:r>
            <w:r>
              <w:rPr>
                <w:rFonts w:ascii="宋体" w:hAnsi="宋体"/>
                <w:color w:val="auto"/>
                <w:kern w:val="0"/>
                <w:szCs w:val="21"/>
                <w:highlight w:val="none"/>
              </w:rPr>
              <w:t>允许，分包内容要求：</w:t>
            </w:r>
            <w:r>
              <w:rPr>
                <w:rFonts w:hint="eastAsia" w:ascii="宋体" w:hAnsi="宋体"/>
                <w:color w:val="auto"/>
                <w:kern w:val="0"/>
                <w:szCs w:val="21"/>
                <w:highlight w:val="none"/>
                <w:lang w:val="en-US" w:eastAsia="zh-CN"/>
              </w:rPr>
              <w:t>/</w:t>
            </w:r>
          </w:p>
          <w:p w14:paraId="4B158404">
            <w:pPr>
              <w:snapToGrid w:val="0"/>
              <w:spacing w:line="400" w:lineRule="exact"/>
              <w:ind w:firstLine="1260" w:firstLineChars="600"/>
              <w:rPr>
                <w:rFonts w:hint="eastAsia" w:ascii="宋体" w:hAnsi="宋体" w:eastAsia="宋体"/>
                <w:color w:val="auto"/>
                <w:kern w:val="0"/>
                <w:szCs w:val="21"/>
                <w:highlight w:val="none"/>
                <w:lang w:val="en-US" w:eastAsia="zh-CN"/>
              </w:rPr>
            </w:pPr>
            <w:r>
              <w:rPr>
                <w:rFonts w:ascii="宋体" w:hAnsi="宋体"/>
                <w:color w:val="auto"/>
                <w:kern w:val="0"/>
                <w:szCs w:val="21"/>
                <w:highlight w:val="none"/>
              </w:rPr>
              <w:t>分包金额要求：</w:t>
            </w:r>
            <w:r>
              <w:rPr>
                <w:rFonts w:hint="eastAsia" w:ascii="宋体" w:hAnsi="宋体"/>
                <w:color w:val="auto"/>
                <w:kern w:val="0"/>
                <w:szCs w:val="21"/>
                <w:highlight w:val="none"/>
                <w:lang w:val="en-US" w:eastAsia="zh-CN"/>
              </w:rPr>
              <w:t>/</w:t>
            </w:r>
          </w:p>
          <w:p w14:paraId="52892F25">
            <w:pPr>
              <w:snapToGrid w:val="0"/>
              <w:spacing w:after="15" w:afterLines="5" w:line="400" w:lineRule="exact"/>
              <w:rPr>
                <w:rFonts w:hint="eastAsia" w:ascii="宋体" w:hAnsi="宋体" w:eastAsia="宋体"/>
                <w:color w:val="auto"/>
                <w:kern w:val="0"/>
                <w:szCs w:val="21"/>
                <w:highlight w:val="none"/>
                <w:lang w:val="en-US" w:eastAsia="zh-CN"/>
              </w:rPr>
            </w:pPr>
            <w:r>
              <w:rPr>
                <w:rFonts w:ascii="宋体" w:hAnsi="宋体"/>
                <w:color w:val="auto"/>
                <w:kern w:val="0"/>
                <w:szCs w:val="21"/>
                <w:highlight w:val="none"/>
              </w:rPr>
              <w:t>接受分包的第三人资质要求：</w:t>
            </w:r>
            <w:r>
              <w:rPr>
                <w:rFonts w:hint="eastAsia" w:ascii="宋体" w:hAnsi="宋体"/>
                <w:color w:val="auto"/>
                <w:kern w:val="0"/>
                <w:szCs w:val="21"/>
                <w:highlight w:val="none"/>
                <w:lang w:val="en-US" w:eastAsia="zh-CN"/>
              </w:rPr>
              <w:t>/</w:t>
            </w:r>
          </w:p>
          <w:p w14:paraId="1430319C">
            <w:pPr>
              <w:snapToGrid w:val="0"/>
              <w:spacing w:after="15" w:afterLines="5" w:line="400" w:lineRule="exact"/>
              <w:rPr>
                <w:rFonts w:ascii="宋体" w:hAnsi="宋体"/>
                <w:color w:val="auto"/>
                <w:kern w:val="0"/>
                <w:szCs w:val="21"/>
                <w:highlight w:val="none"/>
              </w:rPr>
            </w:pPr>
            <w:r>
              <w:rPr>
                <w:rFonts w:hint="eastAsia" w:ascii="宋体" w:hAnsi="宋体"/>
                <w:color w:val="auto"/>
                <w:kern w:val="0"/>
                <w:szCs w:val="21"/>
                <w:highlight w:val="none"/>
              </w:rPr>
              <w:t>注：分包应按照相关法律法规及规范性文件执行，不得违法分包。</w:t>
            </w:r>
          </w:p>
        </w:tc>
      </w:tr>
      <w:tr w14:paraId="4BEF89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A5A87B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2.1</w:t>
            </w:r>
          </w:p>
        </w:tc>
        <w:tc>
          <w:tcPr>
            <w:tcW w:w="1644" w:type="dxa"/>
            <w:vAlign w:val="center"/>
          </w:tcPr>
          <w:p w14:paraId="438B420B">
            <w:pPr>
              <w:snapToGrid w:val="0"/>
              <w:spacing w:after="15" w:afterLines="5" w:line="400" w:lineRule="exact"/>
              <w:jc w:val="center"/>
              <w:rPr>
                <w:rFonts w:ascii="宋体" w:hAnsi="宋体"/>
                <w:color w:val="auto"/>
                <w:kern w:val="0"/>
                <w:szCs w:val="21"/>
                <w:highlight w:val="none"/>
              </w:rPr>
            </w:pPr>
            <w:r>
              <w:rPr>
                <w:rFonts w:ascii="宋体" w:hAnsi="宋体"/>
                <w:color w:val="auto"/>
                <w:kern w:val="0"/>
                <w:szCs w:val="21"/>
                <w:highlight w:val="none"/>
              </w:rPr>
              <w:t>构成招标文件的其他材料</w:t>
            </w:r>
          </w:p>
        </w:tc>
        <w:tc>
          <w:tcPr>
            <w:tcW w:w="6490" w:type="dxa"/>
            <w:vAlign w:val="center"/>
          </w:tcPr>
          <w:p w14:paraId="5D185E79">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比选人</w:t>
            </w:r>
            <w:r>
              <w:rPr>
                <w:rFonts w:ascii="宋体" w:hAnsi="宋体"/>
                <w:color w:val="auto"/>
                <w:szCs w:val="21"/>
                <w:highlight w:val="none"/>
              </w:rPr>
              <w:t>发出的</w:t>
            </w:r>
            <w:r>
              <w:rPr>
                <w:rFonts w:hint="eastAsia" w:ascii="宋体" w:hAnsi="宋体"/>
                <w:color w:val="auto"/>
                <w:szCs w:val="21"/>
                <w:highlight w:val="none"/>
              </w:rPr>
              <w:t>澄清</w:t>
            </w:r>
            <w:r>
              <w:rPr>
                <w:rFonts w:ascii="宋体" w:hAnsi="宋体"/>
                <w:color w:val="auto"/>
                <w:szCs w:val="21"/>
                <w:highlight w:val="none"/>
              </w:rPr>
              <w:t>及</w:t>
            </w:r>
            <w:r>
              <w:rPr>
                <w:rFonts w:hint="eastAsia" w:ascii="宋体" w:hAnsi="宋体"/>
                <w:color w:val="auto"/>
                <w:szCs w:val="21"/>
                <w:highlight w:val="none"/>
              </w:rPr>
              <w:t>修改</w:t>
            </w:r>
          </w:p>
        </w:tc>
      </w:tr>
      <w:tr w14:paraId="47105D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99A7728">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1</w:t>
            </w:r>
          </w:p>
        </w:tc>
        <w:tc>
          <w:tcPr>
            <w:tcW w:w="1644" w:type="dxa"/>
            <w:tcBorders>
              <w:bottom w:val="single" w:color="auto" w:sz="4" w:space="0"/>
            </w:tcBorders>
            <w:vAlign w:val="center"/>
          </w:tcPr>
          <w:p w14:paraId="64ACD666">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对招标文件提出</w:t>
            </w:r>
            <w:r>
              <w:rPr>
                <w:rFonts w:hint="eastAsia" w:ascii="宋体" w:hAnsi="宋体"/>
                <w:color w:val="auto"/>
                <w:kern w:val="0"/>
                <w:szCs w:val="21"/>
                <w:highlight w:val="none"/>
              </w:rPr>
              <w:t>疑问</w:t>
            </w:r>
            <w:r>
              <w:rPr>
                <w:rFonts w:ascii="宋体" w:hAnsi="宋体"/>
                <w:color w:val="auto"/>
                <w:kern w:val="0"/>
                <w:szCs w:val="21"/>
                <w:highlight w:val="none"/>
              </w:rPr>
              <w:t>的截止时间</w:t>
            </w:r>
          </w:p>
        </w:tc>
        <w:tc>
          <w:tcPr>
            <w:tcW w:w="6490" w:type="dxa"/>
            <w:vAlign w:val="center"/>
          </w:tcPr>
          <w:p w14:paraId="1F48C5BF">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应仔细</w:t>
            </w:r>
            <w:r>
              <w:rPr>
                <w:rFonts w:hint="eastAsia" w:ascii="宋体" w:hAnsi="宋体"/>
                <w:color w:val="auto"/>
                <w:kern w:val="0"/>
                <w:szCs w:val="21"/>
                <w:highlight w:val="none"/>
              </w:rPr>
              <w:t>阅读</w:t>
            </w:r>
            <w:r>
              <w:rPr>
                <w:rFonts w:ascii="宋体" w:hAnsi="宋体"/>
                <w:color w:val="auto"/>
                <w:kern w:val="0"/>
                <w:szCs w:val="21"/>
                <w:highlight w:val="none"/>
              </w:rPr>
              <w:t>招标文件</w:t>
            </w:r>
            <w:r>
              <w:rPr>
                <w:rFonts w:hint="eastAsia" w:ascii="宋体" w:hAnsi="宋体"/>
                <w:color w:val="auto"/>
                <w:kern w:val="0"/>
                <w:szCs w:val="21"/>
                <w:highlight w:val="none"/>
              </w:rPr>
              <w:t>及附件</w:t>
            </w:r>
            <w:r>
              <w:rPr>
                <w:rFonts w:ascii="宋体" w:hAnsi="宋体"/>
                <w:color w:val="auto"/>
                <w:kern w:val="0"/>
                <w:szCs w:val="21"/>
                <w:highlight w:val="none"/>
              </w:rPr>
              <w:t>的所有内容，如有文字表述不清，图纸尺寸标注不明以及存在错、漏、缺、概念模糊和有可能出现歧义或理解上的偏差的内容等应</w:t>
            </w:r>
            <w:r>
              <w:rPr>
                <w:rFonts w:hint="eastAsia" w:ascii="宋体" w:hAnsi="宋体" w:cs="宋体"/>
                <w:color w:val="auto"/>
                <w:kern w:val="0"/>
                <w:szCs w:val="21"/>
                <w:highlight w:val="none"/>
              </w:rPr>
              <w:t>在</w:t>
            </w:r>
            <w:r>
              <w:rPr>
                <w:rFonts w:hint="eastAsia" w:ascii="宋体" w:hAnsi="宋体" w:cs="宋体"/>
                <w:color w:val="auto"/>
                <w:kern w:val="0"/>
                <w:szCs w:val="21"/>
                <w:highlight w:val="none"/>
                <w:lang w:eastAsia="zh-CN"/>
              </w:rPr>
              <w:t>比选公告</w:t>
            </w:r>
            <w:r>
              <w:rPr>
                <w:rFonts w:hint="eastAsia" w:ascii="宋体" w:hAnsi="宋体" w:cs="宋体"/>
                <w:color w:val="auto"/>
                <w:kern w:val="0"/>
                <w:szCs w:val="21"/>
                <w:highlight w:val="none"/>
              </w:rPr>
              <w:t>规定的时间</w:t>
            </w:r>
            <w:r>
              <w:rPr>
                <w:rFonts w:ascii="宋体" w:hAnsi="宋体"/>
                <w:color w:val="auto"/>
                <w:kern w:val="0"/>
                <w:szCs w:val="21"/>
                <w:highlight w:val="none"/>
              </w:rPr>
              <w:t>前</w:t>
            </w:r>
            <w:r>
              <w:rPr>
                <w:rFonts w:hint="eastAsia" w:ascii="宋体" w:hAnsi="宋体"/>
                <w:snapToGrid w:val="0"/>
                <w:color w:val="auto"/>
                <w:kern w:val="0"/>
                <w:szCs w:val="21"/>
                <w:highlight w:val="none"/>
                <w:u w:val="none"/>
                <w:lang w:val="en-US" w:eastAsia="zh-CN"/>
              </w:rPr>
              <w:t>向代理机构或比选人</w:t>
            </w:r>
            <w:r>
              <w:rPr>
                <w:rFonts w:hint="eastAsia" w:ascii="宋体" w:hAnsi="宋体"/>
                <w:snapToGrid w:val="0"/>
                <w:color w:val="auto"/>
                <w:kern w:val="0"/>
                <w:szCs w:val="21"/>
                <w:highlight w:val="none"/>
                <w:u w:val="none"/>
              </w:rPr>
              <w:t>提出疑问</w:t>
            </w:r>
            <w:r>
              <w:rPr>
                <w:rFonts w:hint="eastAsia" w:ascii="宋体" w:hAnsi="宋体"/>
                <w:snapToGrid w:val="0"/>
                <w:color w:val="auto"/>
                <w:kern w:val="0"/>
                <w:szCs w:val="21"/>
                <w:highlight w:val="none"/>
                <w:u w:val="none"/>
                <w:lang w:eastAsia="zh-CN"/>
              </w:rPr>
              <w:t>（</w:t>
            </w:r>
            <w:r>
              <w:rPr>
                <w:rFonts w:hint="eastAsia" w:ascii="宋体" w:hAnsi="宋体"/>
                <w:snapToGrid w:val="0"/>
                <w:color w:val="auto"/>
                <w:kern w:val="0"/>
                <w:szCs w:val="21"/>
                <w:highlight w:val="none"/>
                <w:u w:val="none"/>
                <w:lang w:val="en-US" w:eastAsia="zh-CN"/>
              </w:rPr>
              <w:t>纸质形式</w:t>
            </w:r>
            <w:r>
              <w:rPr>
                <w:rFonts w:hint="eastAsia" w:ascii="宋体" w:hAnsi="宋体"/>
                <w:snapToGrid w:val="0"/>
                <w:color w:val="auto"/>
                <w:kern w:val="0"/>
                <w:szCs w:val="21"/>
                <w:highlight w:val="none"/>
                <w:u w:val="none"/>
                <w:lang w:eastAsia="zh-CN"/>
              </w:rPr>
              <w:t>）</w:t>
            </w:r>
            <w:r>
              <w:rPr>
                <w:rFonts w:ascii="宋体" w:hAnsi="宋体"/>
                <w:color w:val="auto"/>
                <w:kern w:val="0"/>
                <w:szCs w:val="21"/>
                <w:highlight w:val="none"/>
              </w:rPr>
              <w:t>。</w:t>
            </w:r>
          </w:p>
        </w:tc>
      </w:tr>
      <w:tr w14:paraId="2BEFFA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14:paraId="14E31B4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2.2.2</w:t>
            </w:r>
          </w:p>
        </w:tc>
        <w:tc>
          <w:tcPr>
            <w:tcW w:w="1644" w:type="dxa"/>
            <w:tcBorders>
              <w:top w:val="single" w:color="auto" w:sz="4" w:space="0"/>
            </w:tcBorders>
            <w:vAlign w:val="center"/>
          </w:tcPr>
          <w:p w14:paraId="7F6F8165">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比选人</w:t>
            </w:r>
            <w:r>
              <w:rPr>
                <w:rFonts w:ascii="宋体" w:hAnsi="宋体"/>
                <w:color w:val="auto"/>
                <w:kern w:val="0"/>
                <w:szCs w:val="21"/>
                <w:highlight w:val="none"/>
              </w:rPr>
              <w:t>对招标文件</w:t>
            </w:r>
            <w:r>
              <w:rPr>
                <w:rFonts w:hint="eastAsia" w:ascii="宋体" w:hAnsi="宋体"/>
                <w:color w:val="auto"/>
                <w:kern w:val="0"/>
                <w:szCs w:val="21"/>
                <w:highlight w:val="none"/>
              </w:rPr>
              <w:t>澄清</w:t>
            </w:r>
            <w:r>
              <w:rPr>
                <w:rFonts w:ascii="宋体" w:hAnsi="宋体"/>
                <w:color w:val="auto"/>
                <w:kern w:val="0"/>
                <w:szCs w:val="21"/>
                <w:highlight w:val="none"/>
              </w:rPr>
              <w:t>的截止时间</w:t>
            </w:r>
          </w:p>
        </w:tc>
        <w:tc>
          <w:tcPr>
            <w:tcW w:w="6490" w:type="dxa"/>
            <w:vAlign w:val="center"/>
          </w:tcPr>
          <w:p w14:paraId="4B8F8C81">
            <w:pPr>
              <w:snapToGrid w:val="0"/>
              <w:spacing w:line="400" w:lineRule="exact"/>
              <w:ind w:firstLine="420" w:firstLineChars="200"/>
              <w:rPr>
                <w:rFonts w:ascii="宋体" w:hAnsi="宋体"/>
                <w:snapToGrid w:val="0"/>
                <w:color w:val="auto"/>
                <w:kern w:val="0"/>
                <w:szCs w:val="21"/>
                <w:highlight w:val="none"/>
              </w:rPr>
            </w:pPr>
            <w:r>
              <w:rPr>
                <w:rFonts w:hint="eastAsia" w:ascii="宋体" w:hAnsi="宋体"/>
                <w:color w:val="auto"/>
                <w:szCs w:val="21"/>
                <w:highlight w:val="none"/>
                <w:lang w:eastAsia="zh-CN"/>
              </w:rPr>
              <w:t>比选人</w:t>
            </w:r>
            <w:r>
              <w:rPr>
                <w:rFonts w:hint="eastAsia" w:ascii="宋体" w:hAnsi="宋体"/>
                <w:color w:val="auto"/>
                <w:szCs w:val="21"/>
                <w:highlight w:val="none"/>
              </w:rPr>
              <w:t>应在</w:t>
            </w:r>
            <w:r>
              <w:rPr>
                <w:rFonts w:hint="eastAsia" w:ascii="宋体" w:hAnsi="宋体"/>
                <w:color w:val="auto"/>
                <w:szCs w:val="21"/>
                <w:highlight w:val="none"/>
                <w:lang w:eastAsia="zh-CN"/>
              </w:rPr>
              <w:t>比选公告</w:t>
            </w:r>
            <w:r>
              <w:rPr>
                <w:rFonts w:hint="eastAsia" w:ascii="宋体" w:hAnsi="宋体"/>
                <w:color w:val="auto"/>
                <w:szCs w:val="21"/>
                <w:highlight w:val="none"/>
              </w:rPr>
              <w:t>规定的时间前</w:t>
            </w:r>
            <w:r>
              <w:rPr>
                <w:rFonts w:ascii="宋体" w:hAnsi="宋体"/>
                <w:color w:val="auto"/>
                <w:szCs w:val="21"/>
                <w:highlight w:val="none"/>
              </w:rPr>
              <w:t>，</w:t>
            </w:r>
            <w:r>
              <w:rPr>
                <w:rFonts w:ascii="宋体" w:hAnsi="宋体"/>
                <w:color w:val="auto"/>
                <w:kern w:val="0"/>
                <w:szCs w:val="21"/>
                <w:highlight w:val="none"/>
              </w:rPr>
              <w:t>在</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行采家</w:t>
            </w:r>
            <w:r>
              <w:rPr>
                <w:rFonts w:hint="eastAsia" w:ascii="宋体" w:hAnsi="宋体"/>
                <w:snapToGrid w:val="0"/>
                <w:color w:val="auto"/>
                <w:kern w:val="0"/>
                <w:szCs w:val="21"/>
                <w:highlight w:val="none"/>
                <w:u w:val="single"/>
              </w:rPr>
              <w:t>(https://www.gec123.com/）</w:t>
            </w:r>
            <w:r>
              <w:rPr>
                <w:rFonts w:hint="eastAsia" w:ascii="宋体" w:hAnsi="宋体"/>
                <w:snapToGrid w:val="0"/>
                <w:color w:val="auto"/>
                <w:kern w:val="0"/>
                <w:szCs w:val="21"/>
                <w:highlight w:val="none"/>
                <w:u w:val="single"/>
                <w:lang w:eastAsia="zh-CN"/>
              </w:rPr>
              <w:t>、重庆广阳湾生态城投资发展集团有限公司官网（http://cq-gyw.com/）</w:t>
            </w:r>
            <w:r>
              <w:rPr>
                <w:rFonts w:ascii="宋体" w:hAnsi="宋体"/>
                <w:color w:val="auto"/>
                <w:kern w:val="0"/>
                <w:szCs w:val="21"/>
                <w:highlight w:val="none"/>
              </w:rPr>
              <w:t>发布</w:t>
            </w:r>
            <w:r>
              <w:rPr>
                <w:rFonts w:hint="eastAsia" w:ascii="宋体" w:hAnsi="宋体"/>
                <w:color w:val="auto"/>
                <w:kern w:val="0"/>
                <w:szCs w:val="21"/>
                <w:highlight w:val="none"/>
              </w:rPr>
              <w:t>澄清</w:t>
            </w:r>
            <w:r>
              <w:rPr>
                <w:rFonts w:ascii="宋体" w:hAnsi="宋体"/>
                <w:color w:val="auto"/>
                <w:kern w:val="0"/>
                <w:szCs w:val="21"/>
                <w:highlight w:val="none"/>
              </w:rPr>
              <w:t>。</w:t>
            </w:r>
          </w:p>
        </w:tc>
      </w:tr>
      <w:tr w14:paraId="137D87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14:paraId="5B829084">
            <w:pPr>
              <w:snapToGrid w:val="0"/>
              <w:spacing w:line="400" w:lineRule="exact"/>
              <w:jc w:val="center"/>
              <w:rPr>
                <w:rFonts w:ascii="宋体" w:hAnsi="宋体"/>
                <w:color w:val="auto"/>
                <w:kern w:val="0"/>
                <w:szCs w:val="21"/>
                <w:highlight w:val="none"/>
              </w:rPr>
            </w:pPr>
          </w:p>
        </w:tc>
        <w:tc>
          <w:tcPr>
            <w:tcW w:w="1644" w:type="dxa"/>
            <w:vAlign w:val="center"/>
          </w:tcPr>
          <w:p w14:paraId="64250D7B">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投标截止时间</w:t>
            </w:r>
          </w:p>
        </w:tc>
        <w:tc>
          <w:tcPr>
            <w:tcW w:w="6490" w:type="dxa"/>
            <w:vAlign w:val="center"/>
          </w:tcPr>
          <w:p w14:paraId="13EB074D">
            <w:pPr>
              <w:snapToGrid w:val="0"/>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详见</w:t>
            </w:r>
            <w:r>
              <w:rPr>
                <w:rFonts w:hint="eastAsia" w:ascii="宋体" w:hAnsi="宋体"/>
                <w:color w:val="auto"/>
                <w:szCs w:val="21"/>
                <w:highlight w:val="none"/>
                <w:lang w:eastAsia="zh-CN"/>
              </w:rPr>
              <w:t>比选公告</w:t>
            </w:r>
            <w:r>
              <w:rPr>
                <w:rFonts w:hint="eastAsia" w:ascii="宋体" w:hAnsi="宋体"/>
                <w:color w:val="auto"/>
                <w:szCs w:val="21"/>
                <w:highlight w:val="none"/>
              </w:rPr>
              <w:t>规定的投标截止时间。</w:t>
            </w:r>
          </w:p>
        </w:tc>
      </w:tr>
      <w:tr w14:paraId="44AAD7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F3147A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2.2.3</w:t>
            </w:r>
          </w:p>
        </w:tc>
        <w:tc>
          <w:tcPr>
            <w:tcW w:w="1644" w:type="dxa"/>
            <w:vAlign w:val="center"/>
          </w:tcPr>
          <w:p w14:paraId="3B6EFEBD">
            <w:pPr>
              <w:snapToGrid w:val="0"/>
              <w:spacing w:after="15" w:afterLines="5"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比选人</w:t>
            </w:r>
            <w:r>
              <w:rPr>
                <w:rFonts w:ascii="宋体" w:hAnsi="宋体"/>
                <w:color w:val="auto"/>
                <w:kern w:val="0"/>
                <w:szCs w:val="21"/>
                <w:highlight w:val="none"/>
              </w:rPr>
              <w:t>对招标文件进行</w:t>
            </w:r>
            <w:r>
              <w:rPr>
                <w:rFonts w:hint="eastAsia" w:ascii="宋体" w:hAnsi="宋体"/>
                <w:color w:val="auto"/>
                <w:kern w:val="0"/>
                <w:szCs w:val="21"/>
                <w:highlight w:val="none"/>
              </w:rPr>
              <w:t>修改</w:t>
            </w:r>
            <w:r>
              <w:rPr>
                <w:rFonts w:ascii="宋体" w:hAnsi="宋体"/>
                <w:color w:val="auto"/>
                <w:kern w:val="0"/>
                <w:szCs w:val="21"/>
                <w:highlight w:val="none"/>
              </w:rPr>
              <w:t>的时间</w:t>
            </w:r>
          </w:p>
        </w:tc>
        <w:tc>
          <w:tcPr>
            <w:tcW w:w="6490" w:type="dxa"/>
            <w:vAlign w:val="center"/>
          </w:tcPr>
          <w:p w14:paraId="09FC71CC">
            <w:pPr>
              <w:snapToGrid w:val="0"/>
              <w:spacing w:line="400" w:lineRule="exact"/>
              <w:ind w:firstLine="420" w:firstLineChars="200"/>
              <w:rPr>
                <w:rFonts w:ascii="宋体" w:hAnsi="宋体"/>
                <w:color w:val="auto"/>
                <w:szCs w:val="21"/>
                <w:highlight w:val="none"/>
              </w:rPr>
            </w:pP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内容可能影响</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编制的，须在投标截止时间</w:t>
            </w:r>
            <w:r>
              <w:rPr>
                <w:rFonts w:hint="eastAsia" w:ascii="宋体" w:hAnsi="宋体"/>
                <w:snapToGrid w:val="0"/>
                <w:color w:val="auto"/>
                <w:kern w:val="0"/>
                <w:szCs w:val="21"/>
                <w:highlight w:val="none"/>
                <w:lang w:val="en-US" w:eastAsia="zh-CN"/>
              </w:rPr>
              <w:t>2</w:t>
            </w:r>
            <w:r>
              <w:rPr>
                <w:rFonts w:ascii="宋体" w:hAnsi="宋体"/>
                <w:snapToGrid w:val="0"/>
                <w:color w:val="auto"/>
                <w:kern w:val="0"/>
                <w:szCs w:val="21"/>
                <w:highlight w:val="none"/>
              </w:rPr>
              <w:t>日前发布，发布时间至投标截止时间不足</w:t>
            </w:r>
            <w:r>
              <w:rPr>
                <w:rFonts w:hint="eastAsia" w:ascii="宋体" w:hAnsi="宋体"/>
                <w:snapToGrid w:val="0"/>
                <w:color w:val="auto"/>
                <w:kern w:val="0"/>
                <w:szCs w:val="21"/>
                <w:highlight w:val="none"/>
                <w:lang w:val="en-US" w:eastAsia="zh-CN"/>
              </w:rPr>
              <w:t>2</w:t>
            </w:r>
            <w:r>
              <w:rPr>
                <w:rFonts w:ascii="宋体" w:hAnsi="宋体"/>
                <w:snapToGrid w:val="0"/>
                <w:color w:val="auto"/>
                <w:kern w:val="0"/>
                <w:szCs w:val="21"/>
                <w:highlight w:val="none"/>
              </w:rPr>
              <w:t>日的，须相应延后投标截止时间。</w:t>
            </w:r>
          </w:p>
        </w:tc>
      </w:tr>
      <w:tr w14:paraId="5368B3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DF40F9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3.1.1</w:t>
            </w:r>
          </w:p>
        </w:tc>
        <w:tc>
          <w:tcPr>
            <w:tcW w:w="1644" w:type="dxa"/>
            <w:vAlign w:val="center"/>
          </w:tcPr>
          <w:p w14:paraId="19A95E91">
            <w:pPr>
              <w:snapToGrid w:val="0"/>
              <w:spacing w:after="31" w:afterLines="10" w:line="400" w:lineRule="exact"/>
              <w:jc w:val="center"/>
              <w:rPr>
                <w:rFonts w:ascii="宋体" w:hAnsi="宋体"/>
                <w:color w:val="auto"/>
                <w:kern w:val="0"/>
                <w:szCs w:val="21"/>
                <w:highlight w:val="none"/>
              </w:rPr>
            </w:pPr>
            <w:r>
              <w:rPr>
                <w:rFonts w:ascii="宋体" w:hAnsi="宋体"/>
                <w:color w:val="auto"/>
                <w:kern w:val="0"/>
                <w:szCs w:val="21"/>
                <w:highlight w:val="none"/>
              </w:rPr>
              <w:t>构成</w:t>
            </w:r>
            <w:r>
              <w:rPr>
                <w:rFonts w:hint="eastAsia" w:ascii="宋体" w:hAnsi="宋体"/>
                <w:color w:val="auto"/>
                <w:kern w:val="0"/>
                <w:szCs w:val="21"/>
                <w:highlight w:val="none"/>
                <w:lang w:eastAsia="zh-CN"/>
              </w:rPr>
              <w:t>竞选文件</w:t>
            </w:r>
            <w:r>
              <w:rPr>
                <w:rFonts w:ascii="宋体" w:hAnsi="宋体"/>
                <w:color w:val="auto"/>
                <w:kern w:val="0"/>
                <w:szCs w:val="21"/>
                <w:highlight w:val="none"/>
              </w:rPr>
              <w:t>的其他材料</w:t>
            </w:r>
          </w:p>
        </w:tc>
        <w:tc>
          <w:tcPr>
            <w:tcW w:w="6490" w:type="dxa"/>
            <w:vAlign w:val="center"/>
          </w:tcPr>
          <w:p w14:paraId="7A229C90">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竞选人</w:t>
            </w:r>
            <w:r>
              <w:rPr>
                <w:rFonts w:ascii="宋体" w:hAnsi="宋体"/>
                <w:color w:val="auto"/>
                <w:szCs w:val="21"/>
                <w:highlight w:val="none"/>
              </w:rPr>
              <w:t>的书面澄清、说明和补正（但不得改变</w:t>
            </w:r>
            <w:r>
              <w:rPr>
                <w:rFonts w:hint="eastAsia" w:ascii="宋体" w:hAnsi="宋体"/>
                <w:color w:val="auto"/>
                <w:szCs w:val="21"/>
                <w:highlight w:val="none"/>
                <w:lang w:eastAsia="zh-CN"/>
              </w:rPr>
              <w:t>竞选文件</w:t>
            </w:r>
            <w:r>
              <w:rPr>
                <w:rFonts w:ascii="宋体" w:hAnsi="宋体"/>
                <w:color w:val="auto"/>
                <w:szCs w:val="21"/>
                <w:highlight w:val="none"/>
              </w:rPr>
              <w:t>的实质性内容）</w:t>
            </w:r>
          </w:p>
        </w:tc>
      </w:tr>
      <w:tr w14:paraId="001EEE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4B74D2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3.2</w:t>
            </w:r>
          </w:p>
        </w:tc>
        <w:tc>
          <w:tcPr>
            <w:tcW w:w="1644" w:type="dxa"/>
            <w:vAlign w:val="center"/>
          </w:tcPr>
          <w:p w14:paraId="6BB3E87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投标报价</w:t>
            </w:r>
          </w:p>
        </w:tc>
        <w:tc>
          <w:tcPr>
            <w:tcW w:w="6490" w:type="dxa"/>
            <w:vAlign w:val="center"/>
          </w:tcPr>
          <w:p w14:paraId="1C10D7EC">
            <w:pPr>
              <w:tabs>
                <w:tab w:val="left" w:pos="711"/>
                <w:tab w:val="left" w:pos="2580"/>
              </w:tabs>
              <w:spacing w:line="360" w:lineRule="auto"/>
              <w:ind w:right="105" w:rightChars="50" w:firstLine="420" w:firstLineChars="200"/>
              <w:jc w:val="left"/>
              <w:textAlignment w:val="baseline"/>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1.本项目按投标单价报价以及投标总价报价。</w:t>
            </w:r>
          </w:p>
          <w:p w14:paraId="7711309F">
            <w:pPr>
              <w:tabs>
                <w:tab w:val="left" w:pos="711"/>
                <w:tab w:val="left" w:pos="2580"/>
              </w:tabs>
              <w:spacing w:line="360" w:lineRule="auto"/>
              <w:ind w:right="105" w:rightChars="50" w:firstLine="420" w:firstLineChars="200"/>
              <w:jc w:val="left"/>
              <w:textAlignment w:val="baseline"/>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2.合同计价形式采取固定单价包干计取。</w:t>
            </w:r>
          </w:p>
          <w:p w14:paraId="1AEB4950">
            <w:pPr>
              <w:tabs>
                <w:tab w:val="left" w:pos="711"/>
                <w:tab w:val="left" w:pos="2580"/>
              </w:tabs>
              <w:spacing w:line="360" w:lineRule="auto"/>
              <w:ind w:right="105" w:rightChars="50" w:firstLine="420" w:firstLineChars="200"/>
              <w:jc w:val="left"/>
              <w:textAlignment w:val="baseline"/>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3.报价面积：暂定管护面积约1960亩（最终以实际管护为准）。</w:t>
            </w:r>
          </w:p>
          <w:p w14:paraId="72AF51B5">
            <w:pPr>
              <w:tabs>
                <w:tab w:val="left" w:pos="711"/>
                <w:tab w:val="left" w:pos="2580"/>
              </w:tabs>
              <w:spacing w:line="360" w:lineRule="auto"/>
              <w:ind w:right="105" w:rightChars="50" w:firstLine="420" w:firstLineChars="200"/>
              <w:jc w:val="left"/>
              <w:textAlignment w:val="baseline"/>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4.服务费固定单价包干计取，服务费固定单价最高限价为500元/亩/年，暂定投标总报价为980000元。</w:t>
            </w:r>
          </w:p>
          <w:p w14:paraId="0BA3F785">
            <w:pPr>
              <w:tabs>
                <w:tab w:val="left" w:pos="711"/>
                <w:tab w:val="left" w:pos="2580"/>
              </w:tabs>
              <w:spacing w:line="360" w:lineRule="auto"/>
              <w:ind w:right="105" w:rightChars="50" w:firstLine="420" w:firstLineChars="200"/>
              <w:jc w:val="left"/>
              <w:textAlignment w:val="baseline"/>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服务费固定单价包干，其对应的费用包括完成本项目全部工作的附加工作费用、额外工作费用、风险费用等，包括但不限于完成本合同约定全部工作对应的工作人员工资、劳保、医疗、福利、津贴、保险、差旅费、设备（巡查车辆、照明设备、安防装备、围挡及广告牌修复费）及油耗等。</w:t>
            </w:r>
          </w:p>
          <w:p w14:paraId="67ED8555">
            <w:pPr>
              <w:tabs>
                <w:tab w:val="left" w:pos="711"/>
                <w:tab w:val="left" w:pos="2580"/>
              </w:tabs>
              <w:spacing w:line="360" w:lineRule="auto"/>
              <w:ind w:right="105" w:rightChars="50" w:firstLine="420" w:firstLineChars="200"/>
              <w:jc w:val="left"/>
              <w:textAlignment w:val="baseline"/>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6.服务费对应的报酬包括服务费包干价不会因人工费涨跌、物价波动、汇率浮动、国家或地</w:t>
            </w:r>
            <w:r>
              <w:rPr>
                <w:rFonts w:hint="eastAsia" w:ascii="宋体" w:hAnsi="宋体" w:eastAsia="宋体" w:cs="宋体"/>
                <w:color w:val="auto"/>
                <w:szCs w:val="21"/>
                <w:highlight w:val="none"/>
                <w:lang w:val="en-US" w:eastAsia="zh-CN"/>
              </w:rPr>
              <w:t>方政府法律法规变动、国家或地方政府相关部门发布的任何调价文件而调整。</w:t>
            </w:r>
          </w:p>
          <w:p w14:paraId="48DBAA78">
            <w:pPr>
              <w:tabs>
                <w:tab w:val="left" w:pos="711"/>
                <w:tab w:val="left" w:pos="2580"/>
              </w:tabs>
              <w:spacing w:line="360" w:lineRule="auto"/>
              <w:ind w:right="105" w:rightChars="50" w:firstLine="420" w:firstLineChars="200"/>
              <w:jc w:val="left"/>
              <w:textAlignment w:val="baseline"/>
              <w:rPr>
                <w:rFonts w:hint="default"/>
                <w:color w:val="auto"/>
                <w:highlight w:val="none"/>
                <w:lang w:val="en-US" w:eastAsia="zh-CN"/>
              </w:rPr>
            </w:pPr>
            <w:r>
              <w:rPr>
                <w:rFonts w:hint="eastAsia" w:ascii="宋体" w:hAnsi="宋体" w:eastAsia="宋体" w:cs="宋体"/>
                <w:color w:val="auto"/>
                <w:szCs w:val="21"/>
                <w:highlight w:val="none"/>
                <w:lang w:val="en-US" w:eastAsia="zh-CN"/>
              </w:rPr>
              <w:t>注：投标总报价=每亩管护费报价*暂定管护面积（暂定为1960亩）</w:t>
            </w:r>
          </w:p>
        </w:tc>
      </w:tr>
      <w:tr w14:paraId="5D5853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FF212E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3.3.1</w:t>
            </w:r>
          </w:p>
        </w:tc>
        <w:tc>
          <w:tcPr>
            <w:tcW w:w="1644" w:type="dxa"/>
            <w:vAlign w:val="center"/>
          </w:tcPr>
          <w:p w14:paraId="5DDC9DE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投标有效期</w:t>
            </w:r>
          </w:p>
        </w:tc>
        <w:tc>
          <w:tcPr>
            <w:tcW w:w="6490" w:type="dxa"/>
            <w:vAlign w:val="center"/>
          </w:tcPr>
          <w:p w14:paraId="334D1C07">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90</w:t>
            </w:r>
            <w:r>
              <w:rPr>
                <w:rFonts w:ascii="宋体" w:hAnsi="宋体"/>
                <w:color w:val="auto"/>
                <w:szCs w:val="21"/>
                <w:highlight w:val="none"/>
                <w:u w:val="single"/>
              </w:rPr>
              <w:t xml:space="preserve"> </w:t>
            </w:r>
            <w:r>
              <w:rPr>
                <w:rFonts w:ascii="宋体" w:hAnsi="宋体"/>
                <w:color w:val="auto"/>
                <w:szCs w:val="21"/>
                <w:highlight w:val="none"/>
              </w:rPr>
              <w:t>日历天（从提交</w:t>
            </w:r>
            <w:r>
              <w:rPr>
                <w:rFonts w:hint="eastAsia" w:ascii="宋体" w:hAnsi="宋体"/>
                <w:color w:val="auto"/>
                <w:szCs w:val="21"/>
                <w:highlight w:val="none"/>
                <w:lang w:eastAsia="zh-CN"/>
              </w:rPr>
              <w:t>竞选文件</w:t>
            </w:r>
            <w:r>
              <w:rPr>
                <w:rFonts w:ascii="宋体" w:hAnsi="宋体"/>
                <w:color w:val="auto"/>
                <w:szCs w:val="21"/>
                <w:highlight w:val="none"/>
              </w:rPr>
              <w:t>截止日起计算）</w:t>
            </w:r>
          </w:p>
        </w:tc>
      </w:tr>
      <w:tr w14:paraId="705437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6B4B5B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3.4</w:t>
            </w:r>
          </w:p>
        </w:tc>
        <w:tc>
          <w:tcPr>
            <w:tcW w:w="1644" w:type="dxa"/>
            <w:vAlign w:val="center"/>
          </w:tcPr>
          <w:p w14:paraId="30B2A7B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投标保证金</w:t>
            </w:r>
          </w:p>
        </w:tc>
        <w:tc>
          <w:tcPr>
            <w:tcW w:w="6490" w:type="dxa"/>
            <w:vAlign w:val="center"/>
          </w:tcPr>
          <w:p w14:paraId="77D1F901">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lang w:val="en-US" w:eastAsia="zh-CN"/>
              </w:rPr>
              <w:t>方式</w:t>
            </w:r>
            <w:r>
              <w:rPr>
                <w:rFonts w:hint="eastAsia"/>
                <w:color w:val="auto"/>
                <w:highlight w:val="none"/>
              </w:rPr>
              <w:t>一</w:t>
            </w:r>
            <w:r>
              <w:rPr>
                <w:rFonts w:hint="eastAsia"/>
                <w:color w:val="auto"/>
                <w:highlight w:val="none"/>
                <w:lang w:eastAsia="zh-CN"/>
              </w:rPr>
              <w:t>：</w:t>
            </w:r>
            <w:r>
              <w:rPr>
                <w:rFonts w:hint="eastAsia"/>
                <w:color w:val="auto"/>
                <w:highlight w:val="none"/>
              </w:rPr>
              <w:t>以转账形式交纳投标保证金</w:t>
            </w:r>
          </w:p>
          <w:p w14:paraId="200FFABF">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rPr>
              <w:t>1、投标保证金交款形式及要求：投标人从企业的基本账户（开户行）在</w:t>
            </w:r>
            <w:r>
              <w:rPr>
                <w:rFonts w:hint="eastAsia"/>
                <w:color w:val="auto"/>
                <w:highlight w:val="none"/>
                <w:lang w:val="en-US" w:eastAsia="zh-CN"/>
              </w:rPr>
              <w:t>投标截止时间</w:t>
            </w:r>
            <w:r>
              <w:rPr>
                <w:rFonts w:hint="eastAsia"/>
                <w:color w:val="auto"/>
                <w:highlight w:val="none"/>
              </w:rPr>
              <w:t>前通过转账方式直接划付至下面指定的投标保证金账户。不满足上述要求的投标保证金无效。</w:t>
            </w:r>
          </w:p>
          <w:p w14:paraId="450A1C67">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lang w:val="en-US" w:eastAsia="zh-CN"/>
              </w:rPr>
              <w:t>实际到账时间：以投标保证金账户显示的到账时间为准；</w:t>
            </w:r>
            <w:r>
              <w:rPr>
                <w:rFonts w:hint="eastAsia"/>
                <w:color w:val="auto"/>
                <w:highlight w:val="none"/>
              </w:rPr>
              <w:t>投标人自行考虑汇入时间风险，如同城汇入、异地汇入、跨行汇入的时间要求。</w:t>
            </w:r>
          </w:p>
          <w:p w14:paraId="11E73F4B">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rPr>
              <w:t>2、以转账形式提交投标保证金的金额：</w:t>
            </w:r>
            <w:r>
              <w:rPr>
                <w:rFonts w:hint="eastAsia"/>
                <w:color w:val="auto"/>
                <w:highlight w:val="none"/>
              </w:rPr>
              <w:t xml:space="preserve"> </w:t>
            </w:r>
            <w:r>
              <w:rPr>
                <w:rFonts w:hint="eastAsia"/>
                <w:color w:val="auto"/>
                <w:highlight w:val="none"/>
                <w:lang w:val="en-US" w:eastAsia="zh-CN"/>
              </w:rPr>
              <w:t>0.3</w:t>
            </w:r>
            <w:r>
              <w:rPr>
                <w:rFonts w:hint="eastAsia"/>
                <w:color w:val="auto"/>
                <w:highlight w:val="none"/>
              </w:rPr>
              <w:t>万元整</w:t>
            </w:r>
            <w:r>
              <w:rPr>
                <w:rFonts w:hint="eastAsia"/>
                <w:color w:val="auto"/>
                <w:highlight w:val="none"/>
              </w:rPr>
              <w:t>（人民币）。</w:t>
            </w:r>
          </w:p>
          <w:p w14:paraId="65D627C3">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rPr>
              <w:t>3、投标保证金账户及账号（任选其一）：</w:t>
            </w:r>
          </w:p>
          <w:p w14:paraId="500AA8B4">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b/>
                <w:bCs/>
                <w:color w:val="auto"/>
                <w:highlight w:val="none"/>
              </w:rPr>
            </w:pPr>
            <w:r>
              <w:rPr>
                <w:rFonts w:hint="eastAsia"/>
                <w:b/>
                <w:bCs/>
                <w:color w:val="auto"/>
                <w:highlight w:val="none"/>
              </w:rPr>
              <w:t>户  名：重庆得皓工程项目管理咨询有限公司</w:t>
            </w:r>
          </w:p>
          <w:p w14:paraId="4162DF05">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b/>
                <w:bCs/>
                <w:color w:val="auto"/>
                <w:highlight w:val="none"/>
              </w:rPr>
            </w:pPr>
            <w:r>
              <w:rPr>
                <w:rFonts w:hint="eastAsia"/>
                <w:b/>
                <w:bCs/>
                <w:color w:val="auto"/>
                <w:highlight w:val="none"/>
              </w:rPr>
              <w:t>开户行：交通银行股份有限公司重庆茶园支行</w:t>
            </w:r>
          </w:p>
          <w:p w14:paraId="0D4D9370">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b/>
                <w:bCs/>
                <w:color w:val="auto"/>
                <w:highlight w:val="none"/>
              </w:rPr>
            </w:pPr>
            <w:r>
              <w:rPr>
                <w:rFonts w:hint="eastAsia"/>
                <w:b/>
                <w:bCs/>
                <w:color w:val="auto"/>
                <w:highlight w:val="none"/>
              </w:rPr>
              <w:t>账  号：500114071018000019577</w:t>
            </w:r>
          </w:p>
          <w:p w14:paraId="0437DB95">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b/>
                <w:bCs/>
                <w:color w:val="auto"/>
                <w:highlight w:val="none"/>
              </w:rPr>
            </w:pPr>
            <w:r>
              <w:rPr>
                <w:rFonts w:hint="eastAsia"/>
                <w:b/>
                <w:bCs/>
                <w:color w:val="auto"/>
                <w:highlight w:val="none"/>
              </w:rPr>
              <w:t>投标人须在投标文件资格审查部分“其他资料”中提供企业基本账户开户证明文件。</w:t>
            </w:r>
          </w:p>
          <w:p w14:paraId="49A019AA">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rPr>
              <w:t>4、投标人必须在付款凭证备注栏中注明是</w:t>
            </w:r>
            <w:r>
              <w:rPr>
                <w:rFonts w:hint="eastAsia"/>
                <w:color w:val="auto"/>
                <w:highlight w:val="none"/>
                <w:lang w:val="en-US" w:eastAsia="zh-CN"/>
              </w:rPr>
              <w:t>“</w:t>
            </w:r>
            <w:bookmarkStart w:id="120" w:name="OLE_LINK17"/>
            <w:r>
              <w:rPr>
                <w:rFonts w:hint="eastAsia"/>
                <w:color w:val="auto"/>
                <w:highlight w:val="none"/>
                <w:lang w:val="en-US" w:eastAsia="zh-CN"/>
              </w:rPr>
              <w:t>项目名称+投标保证金</w:t>
            </w:r>
            <w:bookmarkEnd w:id="120"/>
            <w:r>
              <w:rPr>
                <w:rFonts w:hint="eastAsia"/>
                <w:color w:val="auto"/>
                <w:highlight w:val="none"/>
                <w:lang w:val="en-US" w:eastAsia="zh-CN"/>
              </w:rPr>
              <w:t>”。项目名称可简写。</w:t>
            </w:r>
          </w:p>
          <w:p w14:paraId="5BD44BD8">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rPr>
              <w:t>5、投标保证金有效期与投标有效期一致。</w:t>
            </w:r>
          </w:p>
          <w:p w14:paraId="111BDD5E">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rPr>
              <w:t>6、评标过程中由评标委员会根据投标人在投标文件中提供的企业基本账户开户证明文件核实其投标保证金是否由基本账户转入，未从基本账户转入的，由评标委员会作否决投标处理。</w:t>
            </w:r>
          </w:p>
          <w:p w14:paraId="657822AF">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rPr>
              <w:t>二、投标保证金的退还</w:t>
            </w:r>
          </w:p>
          <w:p w14:paraId="7B6A081A">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rPr>
              <w:t>招标人在中标通知书发出后</w:t>
            </w:r>
            <w:r>
              <w:rPr>
                <w:rFonts w:hint="eastAsia"/>
                <w:color w:val="auto"/>
                <w:highlight w:val="none"/>
                <w:lang w:val="en-US" w:eastAsia="zh-CN"/>
              </w:rPr>
              <w:t>15</w:t>
            </w:r>
            <w:r>
              <w:rPr>
                <w:rFonts w:hint="eastAsia"/>
                <w:color w:val="auto"/>
                <w:highlight w:val="none"/>
              </w:rPr>
              <w:t>个工作日内，退还向除中标人和中标候选人以外的投标人</w:t>
            </w:r>
            <w:r>
              <w:rPr>
                <w:rFonts w:hint="eastAsia"/>
                <w:color w:val="auto"/>
                <w:highlight w:val="none"/>
                <w:lang w:val="en-US" w:eastAsia="zh-CN"/>
              </w:rPr>
              <w:t>的</w:t>
            </w:r>
            <w:r>
              <w:rPr>
                <w:rFonts w:hint="eastAsia"/>
                <w:color w:val="auto"/>
                <w:highlight w:val="none"/>
              </w:rPr>
              <w:t>投标保证金</w:t>
            </w:r>
            <w:r>
              <w:rPr>
                <w:rFonts w:hint="eastAsia"/>
                <w:color w:val="auto"/>
                <w:highlight w:val="none"/>
                <w:lang w:eastAsia="zh-CN"/>
              </w:rPr>
              <w:t>（</w:t>
            </w:r>
            <w:r>
              <w:rPr>
                <w:rFonts w:hint="eastAsia"/>
                <w:color w:val="auto"/>
                <w:highlight w:val="none"/>
                <w:lang w:val="en-US" w:eastAsia="zh-CN"/>
              </w:rPr>
              <w:t>不计息</w:t>
            </w:r>
            <w:r>
              <w:rPr>
                <w:rFonts w:hint="eastAsia"/>
                <w:color w:val="auto"/>
                <w:highlight w:val="none"/>
                <w:lang w:eastAsia="zh-CN"/>
              </w:rPr>
              <w:t>）</w:t>
            </w:r>
            <w:r>
              <w:rPr>
                <w:rFonts w:hint="eastAsia"/>
                <w:color w:val="auto"/>
                <w:highlight w:val="none"/>
              </w:rPr>
              <w:t>。</w:t>
            </w:r>
          </w:p>
          <w:p w14:paraId="21897A91">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color w:val="auto"/>
                <w:kern w:val="0"/>
                <w:szCs w:val="21"/>
                <w:highlight w:val="none"/>
              </w:rPr>
            </w:pPr>
            <w:r>
              <w:rPr>
                <w:rFonts w:hint="eastAsia"/>
                <w:color w:val="auto"/>
                <w:highlight w:val="none"/>
              </w:rPr>
              <w:t>招标人和中标人签订合同</w:t>
            </w:r>
            <w:r>
              <w:rPr>
                <w:rFonts w:hint="eastAsia"/>
                <w:color w:val="auto"/>
                <w:highlight w:val="none"/>
                <w:lang w:val="en-US" w:eastAsia="zh-CN"/>
              </w:rPr>
              <w:t>后</w:t>
            </w:r>
            <w:r>
              <w:rPr>
                <w:rFonts w:hint="eastAsia"/>
                <w:color w:val="auto"/>
                <w:highlight w:val="none"/>
                <w:lang w:eastAsia="zh-CN"/>
              </w:rPr>
              <w:t>，</w:t>
            </w:r>
            <w:r>
              <w:rPr>
                <w:rFonts w:hint="eastAsia"/>
                <w:color w:val="auto"/>
                <w:highlight w:val="none"/>
              </w:rPr>
              <w:t>当在合同生效后</w:t>
            </w:r>
            <w:r>
              <w:rPr>
                <w:rFonts w:hint="eastAsia"/>
                <w:color w:val="auto"/>
                <w:highlight w:val="none"/>
                <w:lang w:val="en-US" w:eastAsia="zh-CN"/>
              </w:rPr>
              <w:t>15</w:t>
            </w:r>
            <w:r>
              <w:rPr>
                <w:rFonts w:hint="eastAsia"/>
                <w:color w:val="auto"/>
                <w:highlight w:val="none"/>
              </w:rPr>
              <w:t>个工作日内</w:t>
            </w:r>
            <w:r>
              <w:rPr>
                <w:rFonts w:hint="eastAsia"/>
                <w:color w:val="auto"/>
                <w:highlight w:val="none"/>
                <w:lang w:eastAsia="zh-CN"/>
              </w:rPr>
              <w:t>，</w:t>
            </w:r>
            <w:r>
              <w:rPr>
                <w:rFonts w:hint="eastAsia"/>
                <w:color w:val="auto"/>
                <w:highlight w:val="none"/>
              </w:rPr>
              <w:t>向中标人和中标候选人退还投标保证金</w:t>
            </w:r>
            <w:r>
              <w:rPr>
                <w:rFonts w:hint="eastAsia"/>
                <w:color w:val="auto"/>
                <w:highlight w:val="none"/>
                <w:lang w:eastAsia="zh-CN"/>
              </w:rPr>
              <w:t>（</w:t>
            </w:r>
            <w:r>
              <w:rPr>
                <w:rFonts w:hint="eastAsia"/>
                <w:color w:val="auto"/>
                <w:highlight w:val="none"/>
                <w:lang w:val="en-US" w:eastAsia="zh-CN"/>
              </w:rPr>
              <w:t>不计息</w:t>
            </w:r>
            <w:r>
              <w:rPr>
                <w:rFonts w:hint="eastAsia"/>
                <w:color w:val="auto"/>
                <w:highlight w:val="none"/>
                <w:lang w:eastAsia="zh-CN"/>
              </w:rPr>
              <w:t>）</w:t>
            </w:r>
            <w:r>
              <w:rPr>
                <w:rFonts w:hint="eastAsia"/>
                <w:color w:val="auto"/>
                <w:highlight w:val="none"/>
              </w:rPr>
              <w:t>。</w:t>
            </w:r>
          </w:p>
        </w:tc>
      </w:tr>
      <w:tr w14:paraId="43E95D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91D681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3.6</w:t>
            </w:r>
          </w:p>
        </w:tc>
        <w:tc>
          <w:tcPr>
            <w:tcW w:w="1644" w:type="dxa"/>
            <w:vAlign w:val="center"/>
          </w:tcPr>
          <w:p w14:paraId="07DE388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是否允许递交</w:t>
            </w:r>
          </w:p>
          <w:p w14:paraId="1C229E2B">
            <w:pPr>
              <w:snapToGrid w:val="0"/>
              <w:spacing w:after="93" w:afterLines="30" w:line="400" w:lineRule="exact"/>
              <w:jc w:val="center"/>
              <w:rPr>
                <w:rFonts w:ascii="宋体" w:hAnsi="宋体"/>
                <w:color w:val="auto"/>
                <w:kern w:val="0"/>
                <w:szCs w:val="21"/>
                <w:highlight w:val="none"/>
              </w:rPr>
            </w:pPr>
            <w:r>
              <w:rPr>
                <w:rFonts w:ascii="宋体" w:hAnsi="宋体"/>
                <w:color w:val="auto"/>
                <w:kern w:val="0"/>
                <w:szCs w:val="21"/>
                <w:highlight w:val="none"/>
              </w:rPr>
              <w:t>备选投标方案</w:t>
            </w:r>
          </w:p>
        </w:tc>
        <w:tc>
          <w:tcPr>
            <w:tcW w:w="6490" w:type="dxa"/>
            <w:vAlign w:val="center"/>
          </w:tcPr>
          <w:p w14:paraId="5AAA762A">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不允许</w:t>
            </w:r>
          </w:p>
        </w:tc>
      </w:tr>
      <w:tr w14:paraId="53A55C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6CCEE67">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3.7.1</w:t>
            </w:r>
          </w:p>
        </w:tc>
        <w:tc>
          <w:tcPr>
            <w:tcW w:w="1644" w:type="dxa"/>
            <w:vAlign w:val="center"/>
          </w:tcPr>
          <w:p w14:paraId="5628A054">
            <w:pPr>
              <w:snapToGrid w:val="0"/>
              <w:spacing w:after="93" w:afterLines="30"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格式要求</w:t>
            </w:r>
          </w:p>
        </w:tc>
        <w:tc>
          <w:tcPr>
            <w:tcW w:w="6490" w:type="dxa"/>
            <w:vAlign w:val="center"/>
          </w:tcPr>
          <w:p w14:paraId="18412FFA">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编制</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时不得对</w:t>
            </w:r>
            <w:r>
              <w:rPr>
                <w:rFonts w:hint="eastAsia" w:ascii="宋体" w:hAnsi="宋体"/>
                <w:color w:val="auto"/>
                <w:kern w:val="0"/>
                <w:szCs w:val="21"/>
                <w:highlight w:val="none"/>
                <w:lang w:eastAsia="zh-CN"/>
              </w:rPr>
              <w:t>第六章</w:t>
            </w:r>
            <w:r>
              <w:rPr>
                <w:rFonts w:hint="eastAsia" w:ascii="宋体" w:hAnsi="宋体"/>
                <w:color w:val="auto"/>
                <w:kern w:val="0"/>
                <w:szCs w:val="21"/>
                <w:highlight w:val="none"/>
              </w:rPr>
              <w:t>“</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格式”的相应要素作实质性修改，否则由评标委员会作否决投标处理。</w:t>
            </w:r>
          </w:p>
        </w:tc>
      </w:tr>
      <w:tr w14:paraId="017BBE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86C0DB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3.7.3</w:t>
            </w:r>
          </w:p>
        </w:tc>
        <w:tc>
          <w:tcPr>
            <w:tcW w:w="1644" w:type="dxa"/>
            <w:vAlign w:val="center"/>
          </w:tcPr>
          <w:p w14:paraId="5476D23C">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签名</w:t>
            </w:r>
            <w:r>
              <w:rPr>
                <w:rFonts w:ascii="宋体" w:hAnsi="宋体"/>
                <w:color w:val="auto"/>
                <w:kern w:val="0"/>
                <w:szCs w:val="21"/>
                <w:highlight w:val="none"/>
              </w:rPr>
              <w:t>盖章要求</w:t>
            </w:r>
          </w:p>
        </w:tc>
        <w:tc>
          <w:tcPr>
            <w:tcW w:w="6490" w:type="dxa"/>
            <w:vAlign w:val="center"/>
          </w:tcPr>
          <w:p w14:paraId="6D086F21">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竞选文件</w:t>
            </w:r>
            <w:r>
              <w:rPr>
                <w:rFonts w:hint="eastAsia" w:ascii="宋体" w:hAnsi="宋体"/>
                <w:color w:val="auto"/>
                <w:szCs w:val="21"/>
                <w:highlight w:val="none"/>
              </w:rPr>
              <w:t>应用不褪色的材料书写或打印，并由</w:t>
            </w:r>
            <w:r>
              <w:rPr>
                <w:rFonts w:hint="eastAsia" w:ascii="宋体" w:hAnsi="宋体"/>
                <w:color w:val="auto"/>
                <w:szCs w:val="21"/>
                <w:highlight w:val="none"/>
                <w:lang w:eastAsia="zh-CN"/>
              </w:rPr>
              <w:t>竞选人</w:t>
            </w:r>
            <w:r>
              <w:rPr>
                <w:rFonts w:hint="eastAsia" w:ascii="宋体" w:hAnsi="宋体"/>
                <w:color w:val="auto"/>
                <w:szCs w:val="21"/>
                <w:highlight w:val="none"/>
              </w:rPr>
              <w:t>的法定代表人或其委托代理人在招标文件规定的位置按招标文件要求签名或盖章、盖单位法人章。委托代理人签名的，</w:t>
            </w:r>
            <w:r>
              <w:rPr>
                <w:rFonts w:hint="eastAsia" w:ascii="宋体" w:hAnsi="宋体"/>
                <w:color w:val="auto"/>
                <w:szCs w:val="21"/>
                <w:highlight w:val="none"/>
                <w:lang w:eastAsia="zh-CN"/>
              </w:rPr>
              <w:t>竞选文件</w:t>
            </w:r>
            <w:r>
              <w:rPr>
                <w:rFonts w:hint="eastAsia" w:ascii="宋体" w:hAnsi="宋体"/>
                <w:color w:val="auto"/>
                <w:szCs w:val="21"/>
                <w:highlight w:val="none"/>
              </w:rPr>
              <w:t>应附法定代表人签署的授权委托书。</w:t>
            </w:r>
            <w:r>
              <w:rPr>
                <w:rFonts w:hint="eastAsia" w:ascii="宋体" w:hAnsi="宋体"/>
                <w:color w:val="auto"/>
                <w:szCs w:val="21"/>
                <w:highlight w:val="none"/>
                <w:lang w:eastAsia="zh-CN"/>
              </w:rPr>
              <w:t>竞选文件</w:t>
            </w:r>
            <w:r>
              <w:rPr>
                <w:rFonts w:hint="eastAsia" w:ascii="宋体" w:hAnsi="宋体"/>
                <w:color w:val="auto"/>
                <w:szCs w:val="21"/>
                <w:highlight w:val="none"/>
              </w:rPr>
              <w:t>应尽量避免涂改、行间插字或删除。如果出现上述情况，改动之处应加盖单位法人章或由</w:t>
            </w:r>
            <w:r>
              <w:rPr>
                <w:rFonts w:hint="eastAsia" w:ascii="宋体" w:hAnsi="宋体"/>
                <w:color w:val="auto"/>
                <w:szCs w:val="21"/>
                <w:highlight w:val="none"/>
                <w:lang w:eastAsia="zh-CN"/>
              </w:rPr>
              <w:t>竞选人</w:t>
            </w:r>
            <w:r>
              <w:rPr>
                <w:rFonts w:hint="eastAsia" w:ascii="宋体" w:hAnsi="宋体"/>
                <w:color w:val="auto"/>
                <w:szCs w:val="21"/>
                <w:highlight w:val="none"/>
              </w:rPr>
              <w:t>的法定代表人或其授权的代理人签名确认。</w:t>
            </w:r>
          </w:p>
          <w:p w14:paraId="6CB88ADA">
            <w:pPr>
              <w:snapToGrid w:val="0"/>
              <w:spacing w:line="400" w:lineRule="exact"/>
              <w:ind w:firstLine="420" w:firstLineChars="200"/>
              <w:rPr>
                <w:rFonts w:ascii="宋体" w:hAnsi="宋体"/>
                <w:i/>
                <w:color w:val="auto"/>
                <w:szCs w:val="21"/>
                <w:highlight w:val="none"/>
              </w:rPr>
            </w:pPr>
            <w:r>
              <w:rPr>
                <w:rFonts w:hint="eastAsia" w:ascii="宋体" w:hAnsi="宋体"/>
                <w:color w:val="auto"/>
                <w:szCs w:val="21"/>
                <w:highlight w:val="none"/>
              </w:rPr>
              <w:t>未按上述规定执行的，交由评标委员会作否决投标处理。</w:t>
            </w:r>
          </w:p>
        </w:tc>
      </w:tr>
      <w:tr w14:paraId="230740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770219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3.7.4</w:t>
            </w:r>
          </w:p>
        </w:tc>
        <w:tc>
          <w:tcPr>
            <w:tcW w:w="1644" w:type="dxa"/>
            <w:vAlign w:val="center"/>
          </w:tcPr>
          <w:p w14:paraId="20F74B21">
            <w:pPr>
              <w:snapToGrid w:val="0"/>
              <w:spacing w:line="400" w:lineRule="exact"/>
              <w:rPr>
                <w:rFonts w:ascii="宋体" w:hAnsi="宋体"/>
                <w:color w:val="auto"/>
                <w:spacing w:val="-6"/>
                <w:kern w:val="0"/>
                <w:szCs w:val="21"/>
                <w:highlight w:val="none"/>
              </w:rPr>
            </w:pPr>
            <w:r>
              <w:rPr>
                <w:rFonts w:hint="eastAsia" w:ascii="宋体" w:hAnsi="宋体"/>
                <w:color w:val="auto"/>
                <w:spacing w:val="-6"/>
                <w:kern w:val="0"/>
                <w:szCs w:val="21"/>
                <w:highlight w:val="none"/>
                <w:lang w:eastAsia="zh-CN"/>
              </w:rPr>
              <w:t>竞选文件</w:t>
            </w:r>
            <w:r>
              <w:rPr>
                <w:rFonts w:ascii="宋体" w:hAnsi="宋体"/>
                <w:color w:val="auto"/>
                <w:spacing w:val="-6"/>
                <w:kern w:val="0"/>
                <w:szCs w:val="21"/>
                <w:highlight w:val="none"/>
              </w:rPr>
              <w:t>的份数</w:t>
            </w:r>
          </w:p>
        </w:tc>
        <w:tc>
          <w:tcPr>
            <w:tcW w:w="6490" w:type="dxa"/>
            <w:vAlign w:val="center"/>
          </w:tcPr>
          <w:p w14:paraId="56634F35">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eastAsia="宋体" w:cs="Times New Roman"/>
                <w:color w:val="auto"/>
                <w:kern w:val="0"/>
                <w:szCs w:val="21"/>
                <w:highlight w:val="none"/>
                <w:lang w:eastAsia="zh-CN"/>
              </w:rPr>
              <w:t>竞选文件一式二份(其中：正本一份，副本一份、电子档U盘一份 (将投标文件正本盖章扫描后放到U盘里面)) ，副本可以为正本的复 印件， 投标文件内容应清楚地标记“正本”或“副本”的字样，当副本和正本不一致时，以正本为准。</w:t>
            </w:r>
          </w:p>
        </w:tc>
      </w:tr>
      <w:tr w14:paraId="5555D8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3E7672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3.7.5</w:t>
            </w:r>
          </w:p>
        </w:tc>
        <w:tc>
          <w:tcPr>
            <w:tcW w:w="1644" w:type="dxa"/>
            <w:vAlign w:val="center"/>
          </w:tcPr>
          <w:p w14:paraId="71B11AF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装订要求</w:t>
            </w:r>
          </w:p>
        </w:tc>
        <w:tc>
          <w:tcPr>
            <w:tcW w:w="6490" w:type="dxa"/>
            <w:vAlign w:val="center"/>
          </w:tcPr>
          <w:p w14:paraId="56D103A1">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应按照</w:t>
            </w:r>
            <w:r>
              <w:rPr>
                <w:rFonts w:hint="eastAsia" w:ascii="宋体" w:hAnsi="宋体"/>
                <w:color w:val="auto"/>
                <w:szCs w:val="21"/>
                <w:highlight w:val="none"/>
                <w:lang w:eastAsia="zh-CN"/>
              </w:rPr>
              <w:t>第六章</w:t>
            </w:r>
            <w:r>
              <w:rPr>
                <w:rFonts w:hint="eastAsia" w:ascii="宋体" w:hAnsi="宋体"/>
                <w:color w:val="auto"/>
                <w:szCs w:val="21"/>
                <w:highlight w:val="none"/>
              </w:rPr>
              <w:t>规定格式装订成册，并应编制目录，标注页码。</w:t>
            </w:r>
          </w:p>
          <w:p w14:paraId="16A81F3B">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本项目技术部分采用明标评审，投标文件须装订成册，并应编制目录，若装订过厚，也可分订成多册。</w:t>
            </w:r>
          </w:p>
        </w:tc>
      </w:tr>
      <w:tr w14:paraId="16DF8F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88F5CC9">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4.1.1</w:t>
            </w:r>
          </w:p>
        </w:tc>
        <w:tc>
          <w:tcPr>
            <w:tcW w:w="1644" w:type="dxa"/>
            <w:vAlign w:val="center"/>
          </w:tcPr>
          <w:p w14:paraId="4B61C943">
            <w:pPr>
              <w:snapToGrid w:val="0"/>
              <w:spacing w:line="400" w:lineRule="exact"/>
              <w:jc w:val="center"/>
              <w:rPr>
                <w:rFonts w:ascii="宋体" w:hAnsi="宋体"/>
                <w:color w:val="auto"/>
                <w:spacing w:val="-6"/>
                <w:kern w:val="0"/>
                <w:szCs w:val="21"/>
                <w:highlight w:val="none"/>
              </w:rPr>
            </w:pPr>
            <w:r>
              <w:rPr>
                <w:rFonts w:hint="eastAsia" w:ascii="宋体" w:hAnsi="宋体"/>
                <w:color w:val="auto"/>
                <w:spacing w:val="-6"/>
                <w:kern w:val="0"/>
                <w:szCs w:val="21"/>
                <w:highlight w:val="none"/>
                <w:lang w:eastAsia="zh-CN"/>
              </w:rPr>
              <w:t>竞选文件</w:t>
            </w:r>
            <w:r>
              <w:rPr>
                <w:rFonts w:ascii="宋体" w:hAnsi="宋体"/>
                <w:color w:val="auto"/>
                <w:spacing w:val="-6"/>
                <w:kern w:val="0"/>
                <w:szCs w:val="21"/>
                <w:highlight w:val="none"/>
              </w:rPr>
              <w:t>的密封</w:t>
            </w:r>
          </w:p>
        </w:tc>
        <w:tc>
          <w:tcPr>
            <w:tcW w:w="6490" w:type="dxa"/>
            <w:vAlign w:val="center"/>
          </w:tcPr>
          <w:p w14:paraId="61F1403E">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1、竞选文件密封袋内装竞选文件正本和副本，以及 U 盘。封口处应 用封条密封， 封条上写明注明“开标时启封”字样并加盖投标人单位公章。同时应按本表第 4.1.2 项的规定写明相应内容。</w:t>
            </w:r>
          </w:p>
          <w:p w14:paraId="3FE9EA73">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2、如果竞选人未按上述规定封装，</w:t>
            </w:r>
            <w:r>
              <w:rPr>
                <w:rFonts w:hint="eastAsia" w:ascii="宋体" w:hAnsi="宋体"/>
                <w:color w:val="auto"/>
                <w:szCs w:val="21"/>
                <w:highlight w:val="none"/>
                <w:lang w:val="en-US" w:eastAsia="zh-CN"/>
              </w:rPr>
              <w:t>比选</w:t>
            </w:r>
            <w:r>
              <w:rPr>
                <w:rFonts w:hint="eastAsia" w:ascii="宋体" w:hAnsi="宋体"/>
                <w:color w:val="auto"/>
                <w:szCs w:val="21"/>
                <w:highlight w:val="none"/>
              </w:rPr>
              <w:t>人或招标代理机构应当拒绝接收。</w:t>
            </w:r>
          </w:p>
        </w:tc>
      </w:tr>
      <w:tr w14:paraId="0B99FE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B7DB130">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4.1.2</w:t>
            </w:r>
          </w:p>
        </w:tc>
        <w:tc>
          <w:tcPr>
            <w:tcW w:w="1644" w:type="dxa"/>
            <w:vAlign w:val="center"/>
          </w:tcPr>
          <w:p w14:paraId="3423C2B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封套上写明</w:t>
            </w:r>
          </w:p>
        </w:tc>
        <w:tc>
          <w:tcPr>
            <w:tcW w:w="6490" w:type="dxa"/>
            <w:vAlign w:val="center"/>
          </w:tcPr>
          <w:p w14:paraId="26DCD48D">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应在“</w:t>
            </w:r>
            <w:r>
              <w:rPr>
                <w:rFonts w:hint="eastAsia" w:ascii="宋体" w:hAnsi="宋体"/>
                <w:color w:val="auto"/>
                <w:kern w:val="0"/>
                <w:szCs w:val="21"/>
                <w:highlight w:val="none"/>
                <w:lang w:eastAsia="zh-CN"/>
              </w:rPr>
              <w:t>竞选文件</w:t>
            </w:r>
            <w:r>
              <w:rPr>
                <w:rFonts w:ascii="宋体" w:hAnsi="宋体"/>
                <w:color w:val="auto"/>
                <w:kern w:val="0"/>
                <w:szCs w:val="21"/>
                <w:highlight w:val="none"/>
              </w:rPr>
              <w:t>”大袋封套上写明如下内容：</w:t>
            </w:r>
          </w:p>
          <w:p w14:paraId="7C3ECCCD">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比选人</w:t>
            </w:r>
            <w:r>
              <w:rPr>
                <w:rFonts w:ascii="宋体" w:hAnsi="宋体"/>
                <w:color w:val="auto"/>
                <w:kern w:val="0"/>
                <w:szCs w:val="21"/>
                <w:highlight w:val="none"/>
              </w:rPr>
              <w:t>名称：</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 xml:space="preserve"> </w:t>
            </w:r>
            <w:r>
              <w:rPr>
                <w:rFonts w:hint="eastAsia" w:ascii="宋体" w:hAnsi="宋体"/>
                <w:color w:val="auto"/>
                <w:kern w:val="0"/>
                <w:szCs w:val="21"/>
                <w:highlight w:val="none"/>
                <w:u w:val="single"/>
              </w:rPr>
              <w:t xml:space="preserve">  </w:t>
            </w:r>
          </w:p>
          <w:p w14:paraId="0A2E86ED">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名称：</w:t>
            </w:r>
            <w:r>
              <w:rPr>
                <w:rFonts w:hint="eastAsia" w:ascii="宋体" w:hAnsi="宋体"/>
                <w:color w:val="auto"/>
                <w:kern w:val="0"/>
                <w:szCs w:val="21"/>
                <w:highlight w:val="none"/>
                <w:u w:val="single"/>
              </w:rPr>
              <w:t xml:space="preserve">            </w:t>
            </w:r>
          </w:p>
          <w:p w14:paraId="0576CCBD">
            <w:pPr>
              <w:snapToGrid w:val="0"/>
              <w:spacing w:line="400" w:lineRule="exact"/>
              <w:ind w:firstLine="420" w:firstLineChars="200"/>
              <w:rPr>
                <w:rFonts w:hint="eastAsia" w:ascii="宋体" w:hAnsi="宋体" w:eastAsia="宋体"/>
                <w:color w:val="auto"/>
                <w:kern w:val="0"/>
                <w:szCs w:val="21"/>
                <w:highlight w:val="none"/>
                <w:lang w:eastAsia="zh-CN"/>
              </w:rPr>
            </w:pPr>
            <w:r>
              <w:rPr>
                <w:rFonts w:ascii="宋体" w:hAnsi="宋体"/>
                <w:color w:val="auto"/>
                <w:kern w:val="0"/>
                <w:szCs w:val="21"/>
                <w:highlight w:val="none"/>
                <w:u w:val="single"/>
              </w:rPr>
              <w:t xml:space="preserve">                （项目名称）</w:t>
            </w:r>
            <w:r>
              <w:rPr>
                <w:rFonts w:hint="eastAsia" w:ascii="宋体" w:hAnsi="宋体"/>
                <w:color w:val="auto"/>
                <w:kern w:val="0"/>
                <w:szCs w:val="21"/>
                <w:highlight w:val="none"/>
                <w:lang w:eastAsia="zh-CN"/>
              </w:rPr>
              <w:t>竞选文件</w:t>
            </w:r>
          </w:p>
          <w:p w14:paraId="3D662946">
            <w:pPr>
              <w:snapToGrid w:val="0"/>
              <w:spacing w:line="400" w:lineRule="exact"/>
              <w:ind w:firstLine="420" w:firstLineChars="200"/>
              <w:rPr>
                <w:rFonts w:ascii="宋体" w:hAnsi="宋体"/>
                <w:color w:val="auto"/>
                <w:szCs w:val="21"/>
                <w:highlight w:val="none"/>
              </w:rPr>
            </w:pPr>
            <w:r>
              <w:rPr>
                <w:rFonts w:ascii="宋体" w:hAnsi="宋体"/>
                <w:color w:val="auto"/>
                <w:kern w:val="0"/>
                <w:szCs w:val="21"/>
                <w:highlight w:val="none"/>
              </w:rPr>
              <w:t>在</w:t>
            </w: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时</w:t>
            </w:r>
            <w:r>
              <w:rPr>
                <w:rFonts w:hint="eastAsia" w:ascii="宋体" w:hAnsi="宋体"/>
                <w:color w:val="auto"/>
                <w:kern w:val="0"/>
                <w:szCs w:val="21"/>
                <w:highlight w:val="none"/>
                <w:u w:val="single"/>
              </w:rPr>
              <w:t xml:space="preserve">    </w:t>
            </w:r>
            <w:r>
              <w:rPr>
                <w:rFonts w:ascii="宋体" w:hAnsi="宋体"/>
                <w:color w:val="auto"/>
                <w:kern w:val="0"/>
                <w:szCs w:val="21"/>
                <w:highlight w:val="none"/>
              </w:rPr>
              <w:t>分前不得开启</w:t>
            </w:r>
          </w:p>
        </w:tc>
      </w:tr>
      <w:tr w14:paraId="542C7E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EBBA5F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4.2.2</w:t>
            </w:r>
          </w:p>
        </w:tc>
        <w:tc>
          <w:tcPr>
            <w:tcW w:w="1644" w:type="dxa"/>
            <w:vAlign w:val="center"/>
          </w:tcPr>
          <w:p w14:paraId="5E7E626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递交</w:t>
            </w:r>
            <w:r>
              <w:rPr>
                <w:rFonts w:hint="eastAsia" w:ascii="宋体" w:hAnsi="宋体"/>
                <w:color w:val="auto"/>
                <w:kern w:val="0"/>
                <w:szCs w:val="21"/>
                <w:highlight w:val="none"/>
                <w:lang w:eastAsia="zh-CN"/>
              </w:rPr>
              <w:t>竞选文件</w:t>
            </w:r>
            <w:r>
              <w:rPr>
                <w:rFonts w:ascii="宋体" w:hAnsi="宋体"/>
                <w:color w:val="auto"/>
                <w:kern w:val="0"/>
                <w:szCs w:val="21"/>
                <w:highlight w:val="none"/>
              </w:rPr>
              <w:t>地点</w:t>
            </w:r>
          </w:p>
        </w:tc>
        <w:tc>
          <w:tcPr>
            <w:tcW w:w="6490" w:type="dxa"/>
            <w:vAlign w:val="center"/>
          </w:tcPr>
          <w:p w14:paraId="7A92E6DC">
            <w:pPr>
              <w:snapToGrid w:val="0"/>
              <w:spacing w:line="400" w:lineRule="exact"/>
              <w:ind w:firstLine="420" w:firstLineChars="200"/>
              <w:rPr>
                <w:rFonts w:ascii="宋体" w:hAnsi="宋体"/>
                <w:bCs/>
                <w:i/>
                <w:color w:val="auto"/>
                <w:szCs w:val="21"/>
                <w:highlight w:val="none"/>
              </w:rPr>
            </w:pPr>
            <w:r>
              <w:rPr>
                <w:rFonts w:hint="eastAsia" w:ascii="宋体" w:hAnsi="宋体"/>
                <w:snapToGrid w:val="0"/>
                <w:color w:val="auto"/>
                <w:kern w:val="0"/>
                <w:szCs w:val="21"/>
                <w:highlight w:val="none"/>
                <w:u w:val="single"/>
                <w:lang w:eastAsia="zh-CN"/>
              </w:rPr>
              <w:t>重庆得皓工程项目管理咨询有限公司 会议室（重庆市南岸区通江大道214号2栋4单元4-9 ）</w:t>
            </w:r>
          </w:p>
        </w:tc>
      </w:tr>
      <w:tr w14:paraId="50FC9E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F0E991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4.2.3</w:t>
            </w:r>
          </w:p>
        </w:tc>
        <w:tc>
          <w:tcPr>
            <w:tcW w:w="1644" w:type="dxa"/>
            <w:vAlign w:val="center"/>
          </w:tcPr>
          <w:p w14:paraId="7EB84FE7">
            <w:pPr>
              <w:snapToGrid w:val="0"/>
              <w:spacing w:line="400" w:lineRule="exact"/>
              <w:jc w:val="center"/>
              <w:rPr>
                <w:rFonts w:hint="eastAsia" w:ascii="宋体" w:hAnsi="宋体" w:eastAsia="宋体"/>
                <w:color w:val="auto"/>
                <w:kern w:val="0"/>
                <w:szCs w:val="21"/>
                <w:highlight w:val="none"/>
                <w:lang w:eastAsia="zh-CN"/>
              </w:rPr>
            </w:pPr>
            <w:r>
              <w:rPr>
                <w:rFonts w:ascii="宋体" w:hAnsi="宋体"/>
                <w:color w:val="auto"/>
                <w:kern w:val="0"/>
                <w:szCs w:val="21"/>
                <w:highlight w:val="none"/>
              </w:rPr>
              <w:t>是否退还</w:t>
            </w:r>
            <w:r>
              <w:rPr>
                <w:rFonts w:hint="eastAsia" w:ascii="宋体" w:hAnsi="宋体"/>
                <w:color w:val="auto"/>
                <w:kern w:val="0"/>
                <w:szCs w:val="21"/>
                <w:highlight w:val="none"/>
                <w:lang w:eastAsia="zh-CN"/>
              </w:rPr>
              <w:t>竞选文件</w:t>
            </w:r>
          </w:p>
        </w:tc>
        <w:tc>
          <w:tcPr>
            <w:tcW w:w="6490" w:type="dxa"/>
            <w:vAlign w:val="center"/>
          </w:tcPr>
          <w:p w14:paraId="3EDCE905">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w:t>
            </w:r>
            <w:r>
              <w:rPr>
                <w:rFonts w:ascii="宋体" w:hAnsi="宋体"/>
                <w:color w:val="auto"/>
                <w:kern w:val="0"/>
                <w:szCs w:val="21"/>
                <w:highlight w:val="none"/>
              </w:rPr>
              <w:t>否</w:t>
            </w:r>
          </w:p>
        </w:tc>
      </w:tr>
      <w:tr w14:paraId="53D150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6E8990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5.1</w:t>
            </w:r>
            <w:r>
              <w:rPr>
                <w:rFonts w:hint="eastAsia" w:ascii="宋体" w:hAnsi="宋体"/>
                <w:color w:val="auto"/>
                <w:kern w:val="0"/>
                <w:szCs w:val="21"/>
                <w:highlight w:val="none"/>
              </w:rPr>
              <w:t>.1</w:t>
            </w:r>
          </w:p>
        </w:tc>
        <w:tc>
          <w:tcPr>
            <w:tcW w:w="1644" w:type="dxa"/>
            <w:vAlign w:val="center"/>
          </w:tcPr>
          <w:p w14:paraId="7E6D110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开标时间和</w:t>
            </w:r>
          </w:p>
          <w:p w14:paraId="49E0977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地点</w:t>
            </w:r>
          </w:p>
        </w:tc>
        <w:tc>
          <w:tcPr>
            <w:tcW w:w="6490" w:type="dxa"/>
            <w:vAlign w:val="center"/>
          </w:tcPr>
          <w:p w14:paraId="4A41DD8E">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开标时间：同投标截止时间</w:t>
            </w:r>
          </w:p>
          <w:p w14:paraId="7B15B0D5">
            <w:pPr>
              <w:snapToGrid w:val="0"/>
              <w:spacing w:line="400" w:lineRule="exact"/>
              <w:ind w:firstLine="420" w:firstLineChars="200"/>
              <w:rPr>
                <w:rFonts w:ascii="宋体" w:hAnsi="宋体"/>
                <w:bCs/>
                <w:i/>
                <w:color w:val="auto"/>
                <w:szCs w:val="21"/>
                <w:highlight w:val="none"/>
              </w:rPr>
            </w:pPr>
            <w:r>
              <w:rPr>
                <w:rFonts w:ascii="宋体" w:hAnsi="宋体"/>
                <w:color w:val="auto"/>
                <w:kern w:val="0"/>
                <w:szCs w:val="21"/>
                <w:highlight w:val="none"/>
              </w:rPr>
              <w:t>开标地点</w:t>
            </w:r>
            <w:r>
              <w:rPr>
                <w:rFonts w:hint="eastAsia" w:ascii="宋体" w:hAnsi="宋体"/>
                <w:color w:val="auto"/>
                <w:kern w:val="0"/>
                <w:szCs w:val="21"/>
                <w:highlight w:val="none"/>
                <w:lang w:val="en-US" w:eastAsia="zh-CN"/>
              </w:rPr>
              <w:t>详见比选公告</w:t>
            </w:r>
            <w:r>
              <w:rPr>
                <w:rFonts w:ascii="宋体" w:hAnsi="宋体"/>
                <w:bCs/>
                <w:color w:val="auto"/>
                <w:szCs w:val="21"/>
                <w:highlight w:val="none"/>
              </w:rPr>
              <w:t>。</w:t>
            </w:r>
          </w:p>
        </w:tc>
      </w:tr>
      <w:tr w14:paraId="4ABFFF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944F8BD">
            <w:pPr>
              <w:snapToGrid w:val="0"/>
              <w:spacing w:line="400" w:lineRule="exact"/>
              <w:jc w:val="center"/>
              <w:rPr>
                <w:rFonts w:ascii="宋体" w:hAnsi="宋体"/>
                <w:color w:val="auto"/>
                <w:szCs w:val="21"/>
                <w:highlight w:val="none"/>
              </w:rPr>
            </w:pPr>
            <w:r>
              <w:rPr>
                <w:rFonts w:ascii="宋体" w:hAnsi="宋体"/>
                <w:color w:val="auto"/>
                <w:szCs w:val="21"/>
                <w:highlight w:val="none"/>
              </w:rPr>
              <w:t>5.2</w:t>
            </w:r>
          </w:p>
        </w:tc>
        <w:tc>
          <w:tcPr>
            <w:tcW w:w="1644" w:type="dxa"/>
            <w:vAlign w:val="center"/>
          </w:tcPr>
          <w:p w14:paraId="68295161">
            <w:pPr>
              <w:snapToGrid w:val="0"/>
              <w:spacing w:line="400" w:lineRule="exact"/>
              <w:jc w:val="center"/>
              <w:rPr>
                <w:rFonts w:ascii="宋体" w:hAnsi="宋体"/>
                <w:color w:val="auto"/>
                <w:szCs w:val="21"/>
                <w:highlight w:val="none"/>
              </w:rPr>
            </w:pPr>
            <w:r>
              <w:rPr>
                <w:rFonts w:ascii="宋体" w:hAnsi="宋体"/>
                <w:color w:val="auto"/>
                <w:szCs w:val="21"/>
                <w:highlight w:val="none"/>
              </w:rPr>
              <w:t>开标程序</w:t>
            </w:r>
          </w:p>
        </w:tc>
        <w:tc>
          <w:tcPr>
            <w:tcW w:w="6490" w:type="dxa"/>
            <w:vAlign w:val="center"/>
          </w:tcPr>
          <w:p w14:paraId="3D3DC2E7">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主持人按下列程序进行开标：</w:t>
            </w:r>
          </w:p>
          <w:p w14:paraId="50F8AB6A">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 核验参加开标会议的</w:t>
            </w:r>
            <w:r>
              <w:rPr>
                <w:rFonts w:hint="eastAsia" w:ascii="宋体" w:hAnsi="宋体"/>
                <w:color w:val="auto"/>
                <w:szCs w:val="21"/>
                <w:highlight w:val="none"/>
                <w:lang w:eastAsia="zh-CN"/>
              </w:rPr>
              <w:t>竞选人</w:t>
            </w:r>
            <w:r>
              <w:rPr>
                <w:rFonts w:ascii="宋体" w:hAnsi="宋体"/>
                <w:color w:val="auto"/>
                <w:szCs w:val="21"/>
                <w:highlight w:val="none"/>
              </w:rPr>
              <w:t>的法定代表人或</w:t>
            </w:r>
            <w:r>
              <w:rPr>
                <w:rFonts w:hint="eastAsia" w:ascii="宋体" w:hAnsi="宋体"/>
                <w:color w:val="auto"/>
                <w:szCs w:val="21"/>
                <w:highlight w:val="none"/>
              </w:rPr>
              <w:t>委托代理人</w:t>
            </w:r>
            <w:r>
              <w:rPr>
                <w:rFonts w:ascii="宋体" w:hAnsi="宋体"/>
                <w:color w:val="auto"/>
                <w:szCs w:val="21"/>
                <w:highlight w:val="none"/>
              </w:rPr>
              <w:t>本人身份证（原件），核验委托代理人的授权委托书，以确认其身份合法有效；</w:t>
            </w:r>
            <w:r>
              <w:rPr>
                <w:rFonts w:hint="eastAsia" w:ascii="宋体" w:hAnsi="宋体"/>
                <w:color w:val="auto"/>
                <w:szCs w:val="21"/>
                <w:highlight w:val="none"/>
              </w:rPr>
              <w:t>若经核实委托代理人提供资料与实际不符的，不得参加开标会。核验合格的法定代表人或委托代理人可自行选择是否参加开标会，不参加开标会的视为默认开标结果。</w:t>
            </w:r>
          </w:p>
          <w:p w14:paraId="38818875">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 xml:space="preserve"> </w:t>
            </w:r>
            <w:r>
              <w:rPr>
                <w:rFonts w:ascii="宋体" w:hAnsi="宋体"/>
                <w:color w:val="auto"/>
                <w:szCs w:val="21"/>
                <w:highlight w:val="none"/>
              </w:rPr>
              <w:t>宣布开标纪律</w:t>
            </w:r>
            <w:r>
              <w:rPr>
                <w:rFonts w:hint="eastAsia" w:ascii="宋体" w:hAnsi="宋体"/>
                <w:color w:val="auto"/>
                <w:szCs w:val="21"/>
                <w:highlight w:val="none"/>
              </w:rPr>
              <w:t>。</w:t>
            </w:r>
          </w:p>
          <w:p w14:paraId="5647E70D">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3. 宣布开标人、唱标人、记录人、监标人等有关人员姓名</w:t>
            </w:r>
            <w:r>
              <w:rPr>
                <w:rFonts w:hint="eastAsia" w:ascii="宋体" w:hAnsi="宋体"/>
                <w:color w:val="auto"/>
                <w:szCs w:val="21"/>
                <w:highlight w:val="none"/>
              </w:rPr>
              <w:t>。</w:t>
            </w:r>
          </w:p>
          <w:p w14:paraId="51DA5C9B">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4. 公布在投标截止时间前递交</w:t>
            </w:r>
            <w:r>
              <w:rPr>
                <w:rFonts w:hint="eastAsia" w:ascii="宋体" w:hAnsi="宋体"/>
                <w:color w:val="auto"/>
                <w:szCs w:val="21"/>
                <w:highlight w:val="none"/>
                <w:lang w:eastAsia="zh-CN"/>
              </w:rPr>
              <w:t>竞选文件</w:t>
            </w:r>
            <w:r>
              <w:rPr>
                <w:rFonts w:ascii="宋体" w:hAnsi="宋体"/>
                <w:color w:val="auto"/>
                <w:szCs w:val="21"/>
                <w:highlight w:val="none"/>
              </w:rPr>
              <w:t>的</w:t>
            </w:r>
            <w:r>
              <w:rPr>
                <w:rFonts w:hint="eastAsia" w:ascii="宋体" w:hAnsi="宋体"/>
                <w:color w:val="auto"/>
                <w:szCs w:val="21"/>
                <w:highlight w:val="none"/>
                <w:lang w:eastAsia="zh-CN"/>
              </w:rPr>
              <w:t>竞选人</w:t>
            </w:r>
            <w:r>
              <w:rPr>
                <w:rFonts w:ascii="宋体" w:hAnsi="宋体"/>
                <w:color w:val="auto"/>
                <w:szCs w:val="21"/>
                <w:highlight w:val="none"/>
              </w:rPr>
              <w:t>名称</w:t>
            </w:r>
            <w:r>
              <w:rPr>
                <w:rFonts w:hint="eastAsia" w:ascii="宋体" w:hAnsi="宋体"/>
                <w:color w:val="auto"/>
                <w:szCs w:val="21"/>
                <w:highlight w:val="none"/>
              </w:rPr>
              <w:t>。</w:t>
            </w:r>
          </w:p>
          <w:p w14:paraId="7D504559">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 xml:space="preserve">5. </w:t>
            </w:r>
            <w:r>
              <w:rPr>
                <w:rFonts w:hint="eastAsia" w:ascii="宋体" w:hAnsi="宋体"/>
                <w:color w:val="auto"/>
                <w:szCs w:val="21"/>
                <w:highlight w:val="none"/>
                <w:lang w:eastAsia="zh-CN"/>
              </w:rPr>
              <w:t>竞选文件</w:t>
            </w:r>
            <w:r>
              <w:rPr>
                <w:rFonts w:hint="eastAsia" w:ascii="宋体" w:hAnsi="宋体"/>
                <w:color w:val="auto"/>
                <w:szCs w:val="21"/>
                <w:highlight w:val="none"/>
              </w:rPr>
              <w:t>的密封检查：</w:t>
            </w:r>
            <w:r>
              <w:rPr>
                <w:rFonts w:hint="eastAsia" w:ascii="宋体" w:hAnsi="宋体"/>
                <w:color w:val="auto"/>
                <w:szCs w:val="21"/>
                <w:highlight w:val="none"/>
                <w:lang w:eastAsia="zh-CN"/>
              </w:rPr>
              <w:t>竞选人</w:t>
            </w:r>
            <w:r>
              <w:rPr>
                <w:rFonts w:hint="eastAsia" w:ascii="宋体" w:hAnsi="宋体"/>
                <w:color w:val="auto"/>
                <w:szCs w:val="21"/>
                <w:highlight w:val="none"/>
              </w:rPr>
              <w:t>可对自己的</w:t>
            </w:r>
            <w:r>
              <w:rPr>
                <w:rFonts w:hint="eastAsia" w:ascii="宋体" w:hAnsi="宋体"/>
                <w:color w:val="auto"/>
                <w:szCs w:val="21"/>
                <w:highlight w:val="none"/>
                <w:lang w:eastAsia="zh-CN"/>
              </w:rPr>
              <w:t>竞选文件</w:t>
            </w:r>
            <w:r>
              <w:rPr>
                <w:rFonts w:hint="eastAsia" w:ascii="宋体" w:hAnsi="宋体"/>
                <w:color w:val="auto"/>
                <w:szCs w:val="21"/>
                <w:highlight w:val="none"/>
              </w:rPr>
              <w:t>封装情况进行检查，以确认其</w:t>
            </w:r>
            <w:r>
              <w:rPr>
                <w:rFonts w:hint="eastAsia" w:ascii="宋体" w:hAnsi="宋体"/>
                <w:color w:val="auto"/>
                <w:szCs w:val="21"/>
                <w:highlight w:val="none"/>
                <w:lang w:eastAsia="zh-CN"/>
              </w:rPr>
              <w:t>竞选文件</w:t>
            </w:r>
            <w:r>
              <w:rPr>
                <w:rFonts w:hint="eastAsia" w:ascii="宋体" w:hAnsi="宋体"/>
                <w:color w:val="auto"/>
                <w:szCs w:val="21"/>
                <w:highlight w:val="none"/>
              </w:rPr>
              <w:t>密封完好。</w:t>
            </w:r>
          </w:p>
          <w:p w14:paraId="46CFD356">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 汇总投标保证金交纳情况</w:t>
            </w:r>
          </w:p>
          <w:p w14:paraId="6D6C6160">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7. 公布最高限价</w:t>
            </w:r>
            <w:r>
              <w:rPr>
                <w:rFonts w:hint="eastAsia" w:ascii="宋体" w:hAnsi="宋体"/>
                <w:color w:val="auto"/>
                <w:szCs w:val="21"/>
                <w:highlight w:val="none"/>
              </w:rPr>
              <w:t>，采用经评审最低投标价法的还需计算最高限价的85%数值，以便评标委员会评审。</w:t>
            </w:r>
          </w:p>
          <w:p w14:paraId="572EE514">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逐单位随机开启</w:t>
            </w:r>
            <w:r>
              <w:rPr>
                <w:rFonts w:hint="eastAsia" w:ascii="宋体" w:hAnsi="宋体"/>
                <w:color w:val="auto"/>
                <w:szCs w:val="21"/>
                <w:highlight w:val="none"/>
                <w:lang w:eastAsia="zh-CN"/>
              </w:rPr>
              <w:t>竞选文件</w:t>
            </w:r>
            <w:r>
              <w:rPr>
                <w:rFonts w:ascii="宋体" w:hAnsi="宋体"/>
                <w:color w:val="auto"/>
                <w:szCs w:val="21"/>
                <w:highlight w:val="none"/>
              </w:rPr>
              <w:t>。公布</w:t>
            </w:r>
            <w:r>
              <w:rPr>
                <w:rFonts w:hint="eastAsia" w:ascii="宋体" w:hAnsi="宋体"/>
                <w:color w:val="auto"/>
                <w:szCs w:val="21"/>
                <w:highlight w:val="none"/>
                <w:lang w:eastAsia="zh-CN"/>
              </w:rPr>
              <w:t>竞选人</w:t>
            </w:r>
            <w:r>
              <w:rPr>
                <w:rFonts w:ascii="宋体" w:hAnsi="宋体"/>
                <w:color w:val="auto"/>
                <w:szCs w:val="21"/>
                <w:highlight w:val="none"/>
              </w:rPr>
              <w:t>名称、投标报价、质量要求、工期及其他内容并记录在案</w:t>
            </w:r>
            <w:r>
              <w:rPr>
                <w:rFonts w:hint="eastAsia" w:ascii="宋体" w:hAnsi="宋体"/>
                <w:color w:val="auto"/>
                <w:szCs w:val="21"/>
                <w:highlight w:val="none"/>
              </w:rPr>
              <w:t>。</w:t>
            </w:r>
          </w:p>
          <w:p w14:paraId="038B2D7C">
            <w:pPr>
              <w:numPr>
                <w:ilvl w:val="255"/>
                <w:numId w:val="0"/>
              </w:num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w:t>
            </w:r>
            <w:r>
              <w:rPr>
                <w:rFonts w:hint="eastAsia" w:ascii="宋体" w:hAnsi="宋体"/>
                <w:color w:val="auto"/>
                <w:szCs w:val="21"/>
                <w:highlight w:val="none"/>
                <w:lang w:eastAsia="zh-CN"/>
              </w:rPr>
              <w:t>竞选人</w:t>
            </w:r>
            <w:r>
              <w:rPr>
                <w:rFonts w:hint="eastAsia" w:ascii="宋体" w:hAnsi="宋体"/>
                <w:color w:val="auto"/>
                <w:szCs w:val="21"/>
                <w:highlight w:val="none"/>
              </w:rPr>
              <w:t>对开标有异议的，应当场提出，由</w:t>
            </w:r>
            <w:r>
              <w:rPr>
                <w:rFonts w:hint="eastAsia" w:ascii="宋体" w:hAnsi="宋体"/>
                <w:color w:val="auto"/>
                <w:szCs w:val="21"/>
                <w:highlight w:val="none"/>
                <w:lang w:eastAsia="zh-CN"/>
              </w:rPr>
              <w:t>比选人</w:t>
            </w:r>
            <w:r>
              <w:rPr>
                <w:rFonts w:hint="eastAsia" w:ascii="宋体" w:hAnsi="宋体"/>
                <w:color w:val="auto"/>
                <w:szCs w:val="21"/>
                <w:highlight w:val="none"/>
              </w:rPr>
              <w:t>或代理机构当场答复，并记录到开标记录表中。异议处理完毕后，汇总开标情况，打印开标记录表。</w:t>
            </w:r>
          </w:p>
          <w:p w14:paraId="0D5767FB">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10</w:t>
            </w:r>
            <w:r>
              <w:rPr>
                <w:rFonts w:ascii="宋体" w:hAnsi="宋体"/>
                <w:color w:val="auto"/>
                <w:szCs w:val="21"/>
                <w:highlight w:val="none"/>
              </w:rPr>
              <w:t xml:space="preserve">. </w:t>
            </w:r>
            <w:r>
              <w:rPr>
                <w:rFonts w:hint="eastAsia" w:ascii="宋体" w:hAnsi="宋体"/>
                <w:color w:val="auto"/>
                <w:szCs w:val="21"/>
                <w:highlight w:val="none"/>
                <w:lang w:eastAsia="zh-CN"/>
              </w:rPr>
              <w:t>竞选人</w:t>
            </w:r>
            <w:r>
              <w:rPr>
                <w:rFonts w:ascii="宋体" w:hAnsi="宋体"/>
                <w:color w:val="auto"/>
                <w:szCs w:val="21"/>
                <w:highlight w:val="none"/>
              </w:rPr>
              <w:t>代表、</w:t>
            </w:r>
            <w:r>
              <w:rPr>
                <w:rFonts w:hint="eastAsia" w:ascii="宋体" w:hAnsi="宋体"/>
                <w:color w:val="auto"/>
                <w:szCs w:val="21"/>
                <w:highlight w:val="none"/>
                <w:lang w:eastAsia="zh-CN"/>
              </w:rPr>
              <w:t>比选人</w:t>
            </w:r>
            <w:r>
              <w:rPr>
                <w:rFonts w:ascii="宋体" w:hAnsi="宋体"/>
                <w:color w:val="auto"/>
                <w:szCs w:val="21"/>
                <w:highlight w:val="none"/>
              </w:rPr>
              <w:t>代表、监标人、</w:t>
            </w:r>
            <w:r>
              <w:rPr>
                <w:rFonts w:hint="eastAsia" w:ascii="宋体" w:hAnsi="宋体"/>
                <w:color w:val="auto"/>
                <w:szCs w:val="21"/>
                <w:highlight w:val="none"/>
              </w:rPr>
              <w:t>主持人、</w:t>
            </w:r>
            <w:r>
              <w:rPr>
                <w:rFonts w:ascii="宋体" w:hAnsi="宋体"/>
                <w:color w:val="auto"/>
                <w:szCs w:val="21"/>
                <w:highlight w:val="none"/>
              </w:rPr>
              <w:t>记录人等有关人员在开标记录上</w:t>
            </w:r>
            <w:r>
              <w:rPr>
                <w:rFonts w:hint="eastAsia" w:ascii="宋体" w:hAnsi="宋体"/>
                <w:color w:val="auto"/>
                <w:szCs w:val="21"/>
                <w:highlight w:val="none"/>
              </w:rPr>
              <w:t>签名</w:t>
            </w:r>
            <w:r>
              <w:rPr>
                <w:rFonts w:ascii="宋体" w:hAnsi="宋体"/>
                <w:color w:val="auto"/>
                <w:szCs w:val="21"/>
                <w:highlight w:val="none"/>
              </w:rPr>
              <w:t>确认</w:t>
            </w:r>
            <w:r>
              <w:rPr>
                <w:rFonts w:hint="eastAsia" w:ascii="宋体" w:hAnsi="宋体"/>
                <w:color w:val="auto"/>
                <w:szCs w:val="21"/>
                <w:highlight w:val="none"/>
              </w:rPr>
              <w:t>。因其他原因未能签名的，视为默认开标结果。</w:t>
            </w:r>
          </w:p>
          <w:p w14:paraId="0AB91606">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ascii="宋体" w:hAnsi="宋体"/>
                <w:color w:val="auto"/>
                <w:szCs w:val="21"/>
                <w:highlight w:val="none"/>
              </w:rPr>
              <w:t>. 开标结束。</w:t>
            </w:r>
          </w:p>
        </w:tc>
      </w:tr>
      <w:tr w14:paraId="69E44B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209554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6.1.1</w:t>
            </w:r>
          </w:p>
        </w:tc>
        <w:tc>
          <w:tcPr>
            <w:tcW w:w="1644" w:type="dxa"/>
            <w:vAlign w:val="center"/>
          </w:tcPr>
          <w:p w14:paraId="05F469A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评标委员会的组建</w:t>
            </w:r>
          </w:p>
        </w:tc>
        <w:tc>
          <w:tcPr>
            <w:tcW w:w="6490" w:type="dxa"/>
            <w:vAlign w:val="center"/>
          </w:tcPr>
          <w:p w14:paraId="0A838334">
            <w:pPr>
              <w:autoSpaceDE w:val="0"/>
              <w:autoSpaceDN w:val="0"/>
              <w:adjustRightInd w:val="0"/>
              <w:snapToGrid w:val="0"/>
              <w:spacing w:line="400" w:lineRule="exact"/>
              <w:ind w:firstLine="436" w:firstLineChars="200"/>
              <w:rPr>
                <w:rFonts w:ascii="宋体" w:hAnsi="宋体"/>
                <w:color w:val="auto"/>
                <w:kern w:val="0"/>
                <w:szCs w:val="21"/>
                <w:highlight w:val="none"/>
              </w:rPr>
            </w:pPr>
            <w:r>
              <w:rPr>
                <w:rFonts w:hint="eastAsia" w:ascii="宋体" w:hAnsi="宋体"/>
                <w:color w:val="auto"/>
                <w:spacing w:val="4"/>
                <w:kern w:val="0"/>
                <w:szCs w:val="21"/>
                <w:highlight w:val="none"/>
              </w:rPr>
              <w:t>由</w:t>
            </w:r>
            <w:r>
              <w:rPr>
                <w:rFonts w:hint="eastAsia" w:ascii="宋体" w:hAnsi="宋体"/>
                <w:color w:val="auto"/>
                <w:spacing w:val="4"/>
                <w:kern w:val="0"/>
                <w:szCs w:val="21"/>
                <w:highlight w:val="none"/>
                <w:lang w:eastAsia="zh-CN"/>
              </w:rPr>
              <w:t>比选人</w:t>
            </w:r>
            <w:r>
              <w:rPr>
                <w:rFonts w:hint="eastAsia" w:ascii="宋体" w:hAnsi="宋体"/>
                <w:color w:val="auto"/>
                <w:spacing w:val="4"/>
                <w:kern w:val="0"/>
                <w:szCs w:val="21"/>
                <w:highlight w:val="none"/>
              </w:rPr>
              <w:t>按法律法规及相关规定依法组建评标委员会</w:t>
            </w:r>
            <w:r>
              <w:rPr>
                <w:rFonts w:hint="eastAsia" w:ascii="宋体" w:hAnsi="宋体"/>
                <w:color w:val="auto"/>
                <w:kern w:val="0"/>
                <w:szCs w:val="21"/>
                <w:highlight w:val="none"/>
              </w:rPr>
              <w:t>。</w:t>
            </w:r>
          </w:p>
        </w:tc>
      </w:tr>
      <w:tr w14:paraId="073132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CD19820">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7.1</w:t>
            </w:r>
          </w:p>
        </w:tc>
        <w:tc>
          <w:tcPr>
            <w:tcW w:w="1644" w:type="dxa"/>
            <w:vAlign w:val="center"/>
          </w:tcPr>
          <w:p w14:paraId="0AB25334">
            <w:pPr>
              <w:snapToGrid w:val="0"/>
              <w:spacing w:after="62" w:afterLines="20" w:line="400" w:lineRule="exact"/>
              <w:jc w:val="center"/>
              <w:rPr>
                <w:rFonts w:ascii="宋体" w:hAnsi="宋体"/>
                <w:color w:val="auto"/>
                <w:kern w:val="0"/>
                <w:szCs w:val="21"/>
                <w:highlight w:val="none"/>
              </w:rPr>
            </w:pPr>
            <w:r>
              <w:rPr>
                <w:rFonts w:ascii="宋体" w:hAnsi="宋体"/>
                <w:color w:val="auto"/>
                <w:kern w:val="0"/>
                <w:szCs w:val="21"/>
                <w:highlight w:val="none"/>
              </w:rPr>
              <w:t>是否授权评标委员会确定中标人</w:t>
            </w:r>
          </w:p>
        </w:tc>
        <w:tc>
          <w:tcPr>
            <w:tcW w:w="6490" w:type="dxa"/>
            <w:vAlign w:val="center"/>
          </w:tcPr>
          <w:p w14:paraId="24DEECF7">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是</w:t>
            </w:r>
          </w:p>
          <w:p w14:paraId="2AC4AB40">
            <w:pPr>
              <w:snapToGrid w:val="0"/>
              <w:spacing w:line="400" w:lineRule="exact"/>
              <w:ind w:firstLine="420" w:firstLineChars="200"/>
              <w:rPr>
                <w:rFonts w:ascii="宋体" w:hAnsi="宋体"/>
                <w:i/>
                <w:color w:val="auto"/>
                <w:kern w:val="0"/>
                <w:szCs w:val="21"/>
                <w:highlight w:val="none"/>
              </w:rPr>
            </w:pPr>
            <w:r>
              <w:rPr>
                <w:rFonts w:hint="eastAsia" w:ascii="宋体" w:hAnsi="宋体"/>
                <w:color w:val="auto"/>
                <w:kern w:val="0"/>
                <w:szCs w:val="21"/>
                <w:highlight w:val="none"/>
                <w:lang w:eastAsia="zh-CN"/>
              </w:rPr>
              <w:t>☑</w:t>
            </w:r>
            <w:r>
              <w:rPr>
                <w:rFonts w:hint="eastAsia" w:ascii="宋体" w:hAnsi="宋体"/>
                <w:color w:val="auto"/>
                <w:kern w:val="0"/>
                <w:szCs w:val="21"/>
                <w:highlight w:val="none"/>
              </w:rPr>
              <w:t>B</w:t>
            </w:r>
            <w:r>
              <w:rPr>
                <w:rFonts w:ascii="宋体" w:hAnsi="宋体"/>
                <w:color w:val="auto"/>
                <w:kern w:val="0"/>
                <w:szCs w:val="21"/>
                <w:highlight w:val="none"/>
              </w:rPr>
              <w:t>否，推荐经评审综合得分由高到低排名前三名为中标候选人。</w:t>
            </w:r>
          </w:p>
        </w:tc>
      </w:tr>
      <w:tr w14:paraId="078708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36507A3">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7.2</w:t>
            </w:r>
          </w:p>
        </w:tc>
        <w:tc>
          <w:tcPr>
            <w:tcW w:w="1644" w:type="dxa"/>
            <w:vAlign w:val="center"/>
          </w:tcPr>
          <w:p w14:paraId="0FB4B2F8">
            <w:pPr>
              <w:snapToGrid w:val="0"/>
              <w:spacing w:after="62" w:afterLines="20" w:line="400" w:lineRule="exact"/>
              <w:jc w:val="center"/>
              <w:rPr>
                <w:rFonts w:ascii="宋体" w:hAnsi="宋体"/>
                <w:color w:val="auto"/>
                <w:kern w:val="0"/>
                <w:szCs w:val="21"/>
                <w:highlight w:val="none"/>
              </w:rPr>
            </w:pPr>
            <w:r>
              <w:rPr>
                <w:rFonts w:ascii="宋体" w:hAnsi="宋体"/>
                <w:color w:val="auto"/>
                <w:kern w:val="0"/>
                <w:szCs w:val="21"/>
                <w:highlight w:val="none"/>
              </w:rPr>
              <w:t>中标公示</w:t>
            </w:r>
          </w:p>
        </w:tc>
        <w:tc>
          <w:tcPr>
            <w:tcW w:w="6490" w:type="dxa"/>
            <w:vAlign w:val="center"/>
          </w:tcPr>
          <w:p w14:paraId="3D70EA4E">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在收到评标报告后3日内将评标结果在</w:t>
            </w:r>
            <w:r>
              <w:rPr>
                <w:rFonts w:hint="eastAsia" w:ascii="宋体" w:hAnsi="宋体"/>
                <w:snapToGrid w:val="0"/>
                <w:color w:val="auto"/>
                <w:kern w:val="0"/>
                <w:szCs w:val="21"/>
                <w:highlight w:val="none"/>
                <w:u w:val="single"/>
                <w:lang w:val="en-US" w:eastAsia="zh-CN"/>
              </w:rPr>
              <w:t>行采家</w:t>
            </w:r>
            <w:r>
              <w:rPr>
                <w:rFonts w:hint="eastAsia" w:ascii="宋体" w:hAnsi="宋体"/>
                <w:snapToGrid w:val="0"/>
                <w:color w:val="auto"/>
                <w:kern w:val="0"/>
                <w:szCs w:val="21"/>
                <w:highlight w:val="none"/>
                <w:u w:val="single"/>
              </w:rPr>
              <w:t>(https://www.gec123.com/）</w:t>
            </w:r>
            <w:r>
              <w:rPr>
                <w:rFonts w:hint="eastAsia" w:ascii="宋体" w:hAnsi="宋体"/>
                <w:snapToGrid w:val="0"/>
                <w:color w:val="auto"/>
                <w:kern w:val="0"/>
                <w:szCs w:val="21"/>
                <w:highlight w:val="none"/>
                <w:u w:val="single"/>
                <w:lang w:eastAsia="zh-CN"/>
              </w:rPr>
              <w:t>、</w:t>
            </w:r>
            <w:r>
              <w:rPr>
                <w:rFonts w:hint="eastAsia" w:ascii="宋体" w:hAnsi="宋体"/>
                <w:snapToGrid w:val="0"/>
                <w:color w:val="auto"/>
                <w:kern w:val="0"/>
                <w:szCs w:val="21"/>
                <w:highlight w:val="none"/>
                <w:lang w:eastAsia="zh-CN"/>
              </w:rPr>
              <w:t>重庆广阳湾生态城投资发展集团有限公司官网（http://cq-gyw.com/）</w:t>
            </w:r>
            <w:r>
              <w:rPr>
                <w:rFonts w:hint="eastAsia" w:ascii="宋体" w:hAnsi="宋体" w:cs="宋体"/>
                <w:color w:val="auto"/>
                <w:szCs w:val="21"/>
                <w:highlight w:val="none"/>
              </w:rPr>
              <w:t>上进行公示，</w:t>
            </w:r>
            <w:bookmarkStart w:id="121" w:name="OLE_LINK16"/>
            <w:r>
              <w:rPr>
                <w:rFonts w:hint="eastAsia" w:ascii="宋体" w:hAnsi="宋体" w:cs="宋体"/>
                <w:color w:val="auto"/>
                <w:szCs w:val="21"/>
                <w:highlight w:val="none"/>
              </w:rPr>
              <w:t>公示期为</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日</w:t>
            </w:r>
            <w:bookmarkEnd w:id="121"/>
            <w:r>
              <w:rPr>
                <w:rFonts w:hint="eastAsia" w:ascii="宋体" w:hAnsi="宋体" w:cs="宋体"/>
                <w:color w:val="auto"/>
                <w:szCs w:val="21"/>
                <w:highlight w:val="none"/>
              </w:rPr>
              <w:t>。</w:t>
            </w:r>
          </w:p>
        </w:tc>
      </w:tr>
      <w:tr w14:paraId="5B1931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6D12DA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7.3.1</w:t>
            </w:r>
          </w:p>
        </w:tc>
        <w:tc>
          <w:tcPr>
            <w:tcW w:w="1644" w:type="dxa"/>
            <w:vAlign w:val="center"/>
          </w:tcPr>
          <w:p w14:paraId="4D66129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履约担保</w:t>
            </w:r>
          </w:p>
        </w:tc>
        <w:tc>
          <w:tcPr>
            <w:tcW w:w="6490" w:type="dxa"/>
            <w:vAlign w:val="center"/>
          </w:tcPr>
          <w:p w14:paraId="016C8325">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1、中标人是否提供履约担保：</w:t>
            </w:r>
            <w:r>
              <w:rPr>
                <w:rFonts w:hint="eastAsia" w:ascii="宋体" w:hAnsi="宋体"/>
                <w:color w:val="auto"/>
                <w:kern w:val="0"/>
                <w:szCs w:val="21"/>
                <w:highlight w:val="none"/>
                <w:u w:val="single"/>
              </w:rPr>
              <w:t>提供</w:t>
            </w:r>
            <w:r>
              <w:rPr>
                <w:rFonts w:hint="eastAsia" w:ascii="宋体" w:hAnsi="宋体"/>
                <w:color w:val="auto"/>
                <w:kern w:val="0"/>
                <w:szCs w:val="21"/>
                <w:highlight w:val="none"/>
              </w:rPr>
              <w:t>。</w:t>
            </w:r>
            <w:r>
              <w:rPr>
                <w:rFonts w:hint="eastAsia" w:ascii="宋体" w:hAnsi="宋体"/>
                <w:i/>
                <w:color w:val="auto"/>
                <w:kern w:val="0"/>
                <w:szCs w:val="21"/>
                <w:highlight w:val="none"/>
              </w:rPr>
              <w:t>[提示：</w:t>
            </w:r>
            <w:r>
              <w:rPr>
                <w:rFonts w:hint="eastAsia" w:ascii="宋体" w:hAnsi="宋体"/>
                <w:i/>
                <w:color w:val="auto"/>
                <w:kern w:val="0"/>
                <w:szCs w:val="21"/>
                <w:highlight w:val="none"/>
                <w:lang w:eastAsia="zh-CN"/>
              </w:rPr>
              <w:t>比选人</w:t>
            </w:r>
            <w:r>
              <w:rPr>
                <w:rFonts w:hint="eastAsia" w:ascii="宋体" w:hAnsi="宋体"/>
                <w:i/>
                <w:color w:val="auto"/>
                <w:kern w:val="0"/>
                <w:szCs w:val="21"/>
                <w:highlight w:val="none"/>
              </w:rPr>
              <w:t>要求中标人提供履约担保的，应向中标人提供相应的支付担保。]</w:t>
            </w:r>
          </w:p>
          <w:p w14:paraId="1A38598C">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2、中标人提供履约担保的形式、金额及期限：</w:t>
            </w:r>
          </w:p>
          <w:p w14:paraId="0C040DC1">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（1）履约担保的形式：现金或银行保函或现金+银行保函的组合；采用银行保函形式的，保函必须为不可撤销且见索即付；</w:t>
            </w:r>
          </w:p>
          <w:p w14:paraId="45732036">
            <w:pPr>
              <w:snapToGrid w:val="0"/>
              <w:spacing w:line="400" w:lineRule="exact"/>
              <w:ind w:firstLine="420" w:firstLineChars="200"/>
              <w:rPr>
                <w:rFonts w:ascii="宋体" w:hAnsi="宋体"/>
                <w:i/>
                <w:color w:val="auto"/>
                <w:kern w:val="0"/>
                <w:szCs w:val="21"/>
                <w:highlight w:val="none"/>
              </w:rPr>
            </w:pPr>
            <w:r>
              <w:rPr>
                <w:rFonts w:hint="eastAsia" w:ascii="宋体" w:hAnsi="宋体"/>
                <w:color w:val="auto"/>
                <w:kern w:val="0"/>
                <w:szCs w:val="21"/>
                <w:highlight w:val="none"/>
              </w:rPr>
              <w:t>（2）履约担保的金额：</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中标金额10%</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p>
          <w:p w14:paraId="41482801">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（3）履约担保的提交时间：见合同条款。</w:t>
            </w:r>
          </w:p>
          <w:p w14:paraId="66E5B213">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（4）履约担保的期限：见合同条款。</w:t>
            </w:r>
          </w:p>
          <w:p w14:paraId="7FE3CD00">
            <w:pPr>
              <w:snapToGrid w:val="0"/>
              <w:spacing w:after="62" w:afterLines="2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（5）履约担保的退还时间：见合同条款。</w:t>
            </w:r>
          </w:p>
        </w:tc>
      </w:tr>
      <w:tr w14:paraId="657DED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49A2F5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8.1</w:t>
            </w:r>
          </w:p>
        </w:tc>
        <w:tc>
          <w:tcPr>
            <w:tcW w:w="1644" w:type="dxa"/>
            <w:vAlign w:val="center"/>
          </w:tcPr>
          <w:p w14:paraId="38F9F6C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重新招标</w:t>
            </w:r>
            <w:r>
              <w:rPr>
                <w:rFonts w:hint="eastAsia" w:ascii="宋体" w:hAnsi="宋体"/>
                <w:color w:val="auto"/>
                <w:kern w:val="0"/>
                <w:szCs w:val="21"/>
                <w:highlight w:val="none"/>
              </w:rPr>
              <w:t>的情形</w:t>
            </w:r>
          </w:p>
        </w:tc>
        <w:tc>
          <w:tcPr>
            <w:tcW w:w="6490" w:type="dxa"/>
            <w:vAlign w:val="center"/>
          </w:tcPr>
          <w:p w14:paraId="23769C33">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1.按</w:t>
            </w:r>
            <w:r>
              <w:rPr>
                <w:rFonts w:hint="eastAsia" w:ascii="宋体" w:hAnsi="宋体"/>
                <w:color w:val="auto"/>
                <w:kern w:val="0"/>
                <w:szCs w:val="21"/>
                <w:highlight w:val="none"/>
                <w:lang w:eastAsia="zh-CN"/>
              </w:rPr>
              <w:t>竞选人</w:t>
            </w:r>
            <w:r>
              <w:rPr>
                <w:rFonts w:ascii="宋体" w:hAnsi="宋体"/>
                <w:color w:val="auto"/>
                <w:kern w:val="0"/>
                <w:szCs w:val="21"/>
                <w:highlight w:val="none"/>
              </w:rPr>
              <w:t>须知第8.1（1）执行；</w:t>
            </w:r>
          </w:p>
          <w:p w14:paraId="26ED2549">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2.按</w:t>
            </w:r>
            <w:r>
              <w:rPr>
                <w:rFonts w:hint="eastAsia" w:ascii="宋体" w:hAnsi="宋体"/>
                <w:color w:val="auto"/>
                <w:kern w:val="0"/>
                <w:szCs w:val="21"/>
                <w:highlight w:val="none"/>
                <w:lang w:eastAsia="zh-CN"/>
              </w:rPr>
              <w:t>竞选人</w:t>
            </w:r>
            <w:r>
              <w:rPr>
                <w:rFonts w:ascii="宋体" w:hAnsi="宋体"/>
                <w:color w:val="auto"/>
                <w:kern w:val="0"/>
                <w:szCs w:val="21"/>
                <w:highlight w:val="none"/>
              </w:rPr>
              <w:t>须知第8.1（2）执行；</w:t>
            </w:r>
          </w:p>
          <w:p w14:paraId="4DFAEAE9">
            <w:pPr>
              <w:widowControl/>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w:t>
            </w:r>
            <w:r>
              <w:rPr>
                <w:rFonts w:ascii="宋体" w:hAnsi="宋体"/>
                <w:color w:val="auto"/>
                <w:kern w:val="0"/>
                <w:szCs w:val="21"/>
                <w:highlight w:val="none"/>
              </w:rPr>
              <w:t>按</w:t>
            </w:r>
            <w:r>
              <w:rPr>
                <w:rFonts w:hint="eastAsia" w:ascii="宋体" w:hAnsi="宋体"/>
                <w:color w:val="auto"/>
                <w:kern w:val="0"/>
                <w:szCs w:val="21"/>
                <w:highlight w:val="none"/>
                <w:lang w:eastAsia="zh-CN"/>
              </w:rPr>
              <w:t>竞选人</w:t>
            </w:r>
            <w:r>
              <w:rPr>
                <w:rFonts w:ascii="宋体" w:hAnsi="宋体"/>
                <w:color w:val="auto"/>
                <w:kern w:val="0"/>
                <w:szCs w:val="21"/>
                <w:highlight w:val="none"/>
              </w:rPr>
              <w:t>须知第8.1（3）执行；</w:t>
            </w:r>
          </w:p>
          <w:p w14:paraId="126D9B19">
            <w:pPr>
              <w:widowControl/>
              <w:spacing w:after="62" w:afterLines="20" w:line="400" w:lineRule="exact"/>
              <w:ind w:firstLine="420" w:firstLineChars="200"/>
              <w:rPr>
                <w:rFonts w:ascii="宋体" w:hAnsi="宋体"/>
                <w:color w:val="auto"/>
                <w:kern w:val="0"/>
                <w:szCs w:val="21"/>
                <w:highlight w:val="none"/>
              </w:rPr>
            </w:pPr>
            <w:r>
              <w:rPr>
                <w:rFonts w:ascii="宋体" w:hAnsi="宋体"/>
                <w:snapToGrid w:val="0"/>
                <w:color w:val="auto"/>
                <w:kern w:val="0"/>
                <w:szCs w:val="21"/>
                <w:highlight w:val="none"/>
              </w:rPr>
              <w:t>4.</w:t>
            </w:r>
            <w:r>
              <w:rPr>
                <w:rFonts w:ascii="宋体" w:hAnsi="宋体"/>
                <w:color w:val="auto"/>
                <w:kern w:val="0"/>
                <w:szCs w:val="21"/>
                <w:highlight w:val="none"/>
              </w:rPr>
              <w:t>按</w:t>
            </w:r>
            <w:r>
              <w:rPr>
                <w:rFonts w:hint="eastAsia" w:ascii="宋体" w:hAnsi="宋体"/>
                <w:color w:val="auto"/>
                <w:kern w:val="0"/>
                <w:szCs w:val="21"/>
                <w:highlight w:val="none"/>
                <w:lang w:eastAsia="zh-CN"/>
              </w:rPr>
              <w:t>竞选人</w:t>
            </w:r>
            <w:r>
              <w:rPr>
                <w:rFonts w:ascii="宋体" w:hAnsi="宋体"/>
                <w:color w:val="auto"/>
                <w:kern w:val="0"/>
                <w:szCs w:val="21"/>
                <w:highlight w:val="none"/>
              </w:rPr>
              <w:t>须知第8.1（4）执行</w:t>
            </w:r>
            <w:r>
              <w:rPr>
                <w:rFonts w:hint="eastAsia" w:ascii="宋体" w:hAnsi="宋体"/>
                <w:color w:val="auto"/>
                <w:kern w:val="0"/>
                <w:szCs w:val="21"/>
                <w:highlight w:val="none"/>
              </w:rPr>
              <w:t>。</w:t>
            </w:r>
          </w:p>
          <w:p w14:paraId="5561013F">
            <w:pPr>
              <w:widowControl/>
              <w:spacing w:after="62" w:afterLines="2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注：本款只适用于首次招标。</w:t>
            </w:r>
          </w:p>
        </w:tc>
      </w:tr>
      <w:tr w14:paraId="25D4E2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BFDFB6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8.2</w:t>
            </w:r>
          </w:p>
        </w:tc>
        <w:tc>
          <w:tcPr>
            <w:tcW w:w="1644" w:type="dxa"/>
            <w:vAlign w:val="center"/>
          </w:tcPr>
          <w:p w14:paraId="660634F9">
            <w:pPr>
              <w:snapToGrid w:val="0"/>
              <w:spacing w:line="400" w:lineRule="exact"/>
              <w:jc w:val="center"/>
              <w:rPr>
                <w:color w:val="auto"/>
                <w:highlight w:val="none"/>
              </w:rPr>
            </w:pPr>
            <w:bookmarkStart w:id="122" w:name="_Toc16930431"/>
            <w:bookmarkStart w:id="123" w:name="_Toc536628250"/>
            <w:bookmarkStart w:id="124" w:name="_Toc430530434"/>
            <w:bookmarkStart w:id="125" w:name="_Toc509218709"/>
            <w:bookmarkStart w:id="126" w:name="_Toc13210670"/>
            <w:r>
              <w:rPr>
                <w:rFonts w:hint="eastAsia" w:ascii="宋体" w:hAnsi="宋体"/>
                <w:color w:val="auto"/>
                <w:kern w:val="0"/>
                <w:szCs w:val="21"/>
                <w:highlight w:val="none"/>
              </w:rPr>
              <w:t>重新</w:t>
            </w:r>
            <w:r>
              <w:rPr>
                <w:rFonts w:ascii="宋体" w:hAnsi="宋体"/>
                <w:color w:val="auto"/>
                <w:kern w:val="0"/>
                <w:szCs w:val="21"/>
                <w:highlight w:val="none"/>
              </w:rPr>
              <w:t>招标和不再招标</w:t>
            </w:r>
            <w:bookmarkEnd w:id="122"/>
            <w:bookmarkEnd w:id="123"/>
            <w:bookmarkEnd w:id="124"/>
            <w:bookmarkEnd w:id="125"/>
            <w:bookmarkEnd w:id="126"/>
          </w:p>
        </w:tc>
        <w:tc>
          <w:tcPr>
            <w:tcW w:w="6490" w:type="dxa"/>
            <w:vAlign w:val="center"/>
          </w:tcPr>
          <w:p w14:paraId="195D2658">
            <w:pPr>
              <w:autoSpaceDE w:val="0"/>
              <w:autoSpaceDN w:val="0"/>
              <w:adjustRightInd w:val="0"/>
              <w:snapToGrid w:val="0"/>
              <w:spacing w:after="62" w:afterLines="20"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重新招标的</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仍然少于三个的，按照招标投标法律法规规定的程序开标和评标。重新招标经评审有有效</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的，应当依法确定中标候选人；无有效</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的，可以不再进行招标，但是按照国家有关规定需要履行审批、核准、备案手续的依法必须进行招标的项目，应当报原项目投资主管部门审批、核准、备案</w:t>
            </w:r>
            <w:r>
              <w:rPr>
                <w:rFonts w:ascii="宋体" w:hAnsi="宋体"/>
                <w:snapToGrid w:val="0"/>
                <w:color w:val="auto"/>
                <w:kern w:val="0"/>
                <w:szCs w:val="21"/>
                <w:highlight w:val="none"/>
              </w:rPr>
              <w:t>。</w:t>
            </w:r>
          </w:p>
        </w:tc>
      </w:tr>
      <w:tr w14:paraId="217193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AA1235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10</w:t>
            </w:r>
          </w:p>
        </w:tc>
        <w:tc>
          <w:tcPr>
            <w:tcW w:w="8134" w:type="dxa"/>
            <w:gridSpan w:val="2"/>
            <w:vAlign w:val="center"/>
          </w:tcPr>
          <w:p w14:paraId="1B0619A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需要补充的其他内容</w:t>
            </w:r>
          </w:p>
        </w:tc>
      </w:tr>
      <w:tr w14:paraId="48D51A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58E5216">
            <w:pPr>
              <w:snapToGrid w:val="0"/>
              <w:spacing w:line="400" w:lineRule="exact"/>
              <w:jc w:val="center"/>
              <w:rPr>
                <w:rFonts w:hint="eastAsia" w:ascii="宋体" w:hAnsi="宋体" w:eastAsia="宋体"/>
                <w:color w:val="auto"/>
                <w:kern w:val="0"/>
                <w:szCs w:val="21"/>
                <w:highlight w:val="none"/>
                <w:lang w:val="en-US" w:eastAsia="zh-CN"/>
              </w:rPr>
            </w:pPr>
            <w:r>
              <w:rPr>
                <w:rFonts w:ascii="宋体" w:hAnsi="宋体"/>
                <w:color w:val="auto"/>
                <w:kern w:val="0"/>
                <w:szCs w:val="21"/>
                <w:highlight w:val="none"/>
              </w:rPr>
              <w:t>10.</w:t>
            </w:r>
            <w:r>
              <w:rPr>
                <w:rFonts w:hint="eastAsia" w:ascii="宋体" w:hAnsi="宋体"/>
                <w:color w:val="auto"/>
                <w:kern w:val="0"/>
                <w:szCs w:val="21"/>
                <w:highlight w:val="none"/>
                <w:lang w:val="en-US" w:eastAsia="zh-CN"/>
              </w:rPr>
              <w:t>1</w:t>
            </w:r>
          </w:p>
        </w:tc>
        <w:tc>
          <w:tcPr>
            <w:tcW w:w="1644" w:type="dxa"/>
            <w:vAlign w:val="center"/>
          </w:tcPr>
          <w:p w14:paraId="7BF035B6">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异议、</w:t>
            </w:r>
            <w:r>
              <w:rPr>
                <w:rFonts w:ascii="宋体" w:hAnsi="宋体"/>
                <w:color w:val="auto"/>
                <w:kern w:val="0"/>
                <w:szCs w:val="21"/>
                <w:highlight w:val="none"/>
              </w:rPr>
              <w:t>投诉处理</w:t>
            </w:r>
          </w:p>
        </w:tc>
        <w:tc>
          <w:tcPr>
            <w:tcW w:w="6490" w:type="dxa"/>
            <w:vAlign w:val="center"/>
          </w:tcPr>
          <w:p w14:paraId="295665ED">
            <w:pPr>
              <w:widowControl/>
              <w:spacing w:line="400" w:lineRule="exact"/>
              <w:ind w:firstLine="420" w:firstLineChars="200"/>
              <w:rPr>
                <w:rFonts w:ascii="宋体" w:hAnsi="宋体"/>
                <w:color w:val="auto"/>
                <w:kern w:val="0"/>
                <w:szCs w:val="21"/>
                <w:highlight w:val="none"/>
              </w:rPr>
            </w:pPr>
            <w:bookmarkStart w:id="127" w:name="OLE_LINK11"/>
            <w:r>
              <w:rPr>
                <w:rFonts w:ascii="宋体" w:hAnsi="宋体"/>
                <w:color w:val="auto"/>
                <w:kern w:val="0"/>
                <w:szCs w:val="21"/>
                <w:highlight w:val="none"/>
              </w:rPr>
              <w:t>1.</w:t>
            </w:r>
            <w:r>
              <w:rPr>
                <w:rFonts w:hint="eastAsia" w:ascii="宋体" w:hAnsi="宋体"/>
                <w:color w:val="auto"/>
                <w:kern w:val="0"/>
                <w:szCs w:val="21"/>
                <w:highlight w:val="none"/>
              </w:rPr>
              <w:t xml:space="preserve"> </w:t>
            </w:r>
            <w:r>
              <w:rPr>
                <w:rFonts w:hint="eastAsia" w:ascii="宋体" w:hAnsi="宋体"/>
                <w:color w:val="auto"/>
                <w:kern w:val="0"/>
                <w:szCs w:val="21"/>
                <w:highlight w:val="none"/>
                <w:lang w:eastAsia="zh-CN"/>
              </w:rPr>
              <w:t>竞选人</w:t>
            </w:r>
            <w:r>
              <w:rPr>
                <w:rFonts w:ascii="宋体" w:hAnsi="宋体"/>
                <w:color w:val="auto"/>
                <w:kern w:val="0"/>
                <w:szCs w:val="21"/>
                <w:highlight w:val="none"/>
              </w:rPr>
              <w:t>或者其他利害关系人就本项目的招标文件</w:t>
            </w:r>
            <w:r>
              <w:rPr>
                <w:rFonts w:hint="eastAsia" w:ascii="宋体" w:hAnsi="宋体"/>
                <w:color w:val="auto"/>
                <w:kern w:val="0"/>
                <w:szCs w:val="21"/>
                <w:highlight w:val="none"/>
              </w:rPr>
              <w:t>（含澄清修改）、开标情况、</w:t>
            </w:r>
            <w:r>
              <w:rPr>
                <w:rFonts w:ascii="宋体" w:hAnsi="宋体"/>
                <w:color w:val="auto"/>
                <w:kern w:val="0"/>
                <w:szCs w:val="21"/>
                <w:highlight w:val="none"/>
              </w:rPr>
              <w:t>评标结果等事项提出异议或投诉</w:t>
            </w:r>
            <w:r>
              <w:rPr>
                <w:rFonts w:hint="eastAsia" w:ascii="宋体" w:hAnsi="宋体"/>
                <w:color w:val="auto"/>
                <w:kern w:val="0"/>
                <w:szCs w:val="21"/>
                <w:highlight w:val="none"/>
              </w:rPr>
              <w:t>的</w:t>
            </w:r>
            <w:r>
              <w:rPr>
                <w:rFonts w:ascii="宋体" w:hAnsi="宋体"/>
                <w:color w:val="auto"/>
                <w:kern w:val="0"/>
                <w:szCs w:val="21"/>
                <w:highlight w:val="none"/>
              </w:rPr>
              <w:t>，应当先向</w:t>
            </w:r>
            <w:r>
              <w:rPr>
                <w:rFonts w:hint="eastAsia" w:ascii="宋体" w:hAnsi="宋体"/>
                <w:color w:val="auto"/>
                <w:kern w:val="0"/>
                <w:szCs w:val="21"/>
                <w:highlight w:val="none"/>
                <w:lang w:eastAsia="zh-CN"/>
              </w:rPr>
              <w:t>比选人</w:t>
            </w:r>
            <w:r>
              <w:rPr>
                <w:rFonts w:ascii="宋体" w:hAnsi="宋体"/>
                <w:color w:val="auto"/>
                <w:kern w:val="0"/>
                <w:szCs w:val="21"/>
                <w:highlight w:val="none"/>
              </w:rPr>
              <w:t>提出异议；</w:t>
            </w:r>
            <w:r>
              <w:rPr>
                <w:rFonts w:hint="eastAsia" w:ascii="宋体" w:hAnsi="宋体"/>
                <w:color w:val="auto"/>
                <w:kern w:val="0"/>
                <w:szCs w:val="21"/>
                <w:highlight w:val="none"/>
                <w:lang w:eastAsia="zh-CN"/>
              </w:rPr>
              <w:t>比选人</w:t>
            </w:r>
            <w:r>
              <w:rPr>
                <w:rFonts w:ascii="宋体" w:hAnsi="宋体"/>
                <w:color w:val="auto"/>
                <w:kern w:val="0"/>
                <w:szCs w:val="21"/>
                <w:highlight w:val="none"/>
              </w:rPr>
              <w:t>应当在规定时间内答复；对</w:t>
            </w:r>
            <w:r>
              <w:rPr>
                <w:rFonts w:hint="eastAsia" w:ascii="宋体" w:hAnsi="宋体"/>
                <w:color w:val="auto"/>
                <w:kern w:val="0"/>
                <w:szCs w:val="21"/>
                <w:highlight w:val="none"/>
                <w:lang w:eastAsia="zh-CN"/>
              </w:rPr>
              <w:t>比选人</w:t>
            </w:r>
            <w:r>
              <w:rPr>
                <w:rFonts w:ascii="宋体" w:hAnsi="宋体"/>
                <w:color w:val="auto"/>
                <w:kern w:val="0"/>
                <w:szCs w:val="21"/>
                <w:highlight w:val="none"/>
              </w:rPr>
              <w:t>的答复不满意，可向行政监督部门投诉。</w:t>
            </w:r>
          </w:p>
          <w:p w14:paraId="75F23AAD">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提出异议或投诉时应当包括下列内容：</w:t>
            </w:r>
          </w:p>
          <w:p w14:paraId="0F6BB199">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（1）异议</w:t>
            </w:r>
            <w:r>
              <w:rPr>
                <w:rFonts w:hint="eastAsia" w:ascii="宋体" w:hAnsi="宋体"/>
                <w:color w:val="auto"/>
                <w:kern w:val="0"/>
                <w:szCs w:val="21"/>
                <w:highlight w:val="none"/>
                <w:lang w:val="en-US" w:eastAsia="zh-CN"/>
              </w:rPr>
              <w:t>人</w:t>
            </w:r>
            <w:r>
              <w:rPr>
                <w:rFonts w:hint="eastAsia" w:ascii="宋体" w:hAnsi="宋体"/>
                <w:color w:val="auto"/>
                <w:kern w:val="0"/>
                <w:szCs w:val="21"/>
                <w:highlight w:val="none"/>
              </w:rPr>
              <w:t>或投诉人的名称、地址及有效联系方式；</w:t>
            </w:r>
          </w:p>
          <w:p w14:paraId="14FC989A">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（2）被异议</w:t>
            </w:r>
            <w:r>
              <w:rPr>
                <w:rFonts w:hint="eastAsia" w:ascii="宋体" w:hAnsi="宋体"/>
                <w:color w:val="auto"/>
                <w:kern w:val="0"/>
                <w:szCs w:val="21"/>
                <w:highlight w:val="none"/>
                <w:lang w:val="en-US" w:eastAsia="zh-CN"/>
              </w:rPr>
              <w:t>人</w:t>
            </w:r>
            <w:r>
              <w:rPr>
                <w:rFonts w:hint="eastAsia" w:ascii="宋体" w:hAnsi="宋体"/>
                <w:color w:val="auto"/>
                <w:kern w:val="0"/>
                <w:szCs w:val="21"/>
                <w:highlight w:val="none"/>
              </w:rPr>
              <w:t>或</w:t>
            </w:r>
            <w:r>
              <w:rPr>
                <w:rFonts w:hint="eastAsia" w:ascii="宋体" w:hAnsi="宋体"/>
                <w:color w:val="auto"/>
                <w:kern w:val="0"/>
                <w:szCs w:val="21"/>
                <w:highlight w:val="none"/>
                <w:lang w:val="en-US" w:eastAsia="zh-CN"/>
              </w:rPr>
              <w:t>被</w:t>
            </w:r>
            <w:r>
              <w:rPr>
                <w:rFonts w:hint="eastAsia" w:ascii="宋体" w:hAnsi="宋体"/>
                <w:color w:val="auto"/>
                <w:kern w:val="0"/>
                <w:szCs w:val="21"/>
                <w:highlight w:val="none"/>
              </w:rPr>
              <w:t>投诉人的名称、地址及有效联系方式；</w:t>
            </w:r>
          </w:p>
          <w:p w14:paraId="09B34858">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（3）异议或投诉事项的基本事实；</w:t>
            </w:r>
          </w:p>
          <w:p w14:paraId="50FF4170">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（4）请求及主张；</w:t>
            </w:r>
          </w:p>
          <w:p w14:paraId="0458A5AA">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（5）涉及事项的证据、证明材料。</w:t>
            </w:r>
          </w:p>
          <w:p w14:paraId="3E1BC6DF">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6B818E95">
            <w:pPr>
              <w:widowControl/>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rPr>
              <w:t xml:space="preserve"> </w:t>
            </w:r>
            <w:r>
              <w:rPr>
                <w:rFonts w:ascii="宋体" w:hAnsi="宋体"/>
                <w:color w:val="auto"/>
                <w:kern w:val="0"/>
                <w:szCs w:val="21"/>
                <w:highlight w:val="none"/>
              </w:rPr>
              <w:t>行政监督部门依照《</w:t>
            </w:r>
            <w:r>
              <w:rPr>
                <w:rFonts w:hint="eastAsia" w:ascii="宋体" w:hAnsi="宋体"/>
                <w:color w:val="auto"/>
                <w:kern w:val="0"/>
                <w:szCs w:val="21"/>
                <w:highlight w:val="none"/>
              </w:rPr>
              <w:t>中华人民共和国</w:t>
            </w:r>
            <w:r>
              <w:rPr>
                <w:rFonts w:ascii="宋体" w:hAnsi="宋体"/>
                <w:color w:val="auto"/>
                <w:kern w:val="0"/>
                <w:szCs w:val="21"/>
                <w:highlight w:val="none"/>
              </w:rPr>
              <w:t>招标投标法》、《</w:t>
            </w:r>
            <w:r>
              <w:rPr>
                <w:rFonts w:hint="eastAsia" w:ascii="宋体" w:hAnsi="宋体"/>
                <w:color w:val="auto"/>
                <w:kern w:val="0"/>
                <w:szCs w:val="21"/>
                <w:highlight w:val="none"/>
              </w:rPr>
              <w:t>中华人民共和国</w:t>
            </w:r>
            <w:r>
              <w:rPr>
                <w:rFonts w:ascii="宋体" w:hAnsi="宋体"/>
                <w:color w:val="auto"/>
                <w:kern w:val="0"/>
                <w:szCs w:val="21"/>
                <w:highlight w:val="none"/>
              </w:rPr>
              <w:t>招标投标法实施条例》、《重庆市招标投标条例》、《工程建设项目招标投标活动投诉处理办法》（七部委令第11号（根据九部门2013年第23号令修正））、</w:t>
            </w:r>
            <w:r>
              <w:rPr>
                <w:rFonts w:hint="eastAsia" w:ascii="宋体" w:hAnsi="宋体" w:eastAsia="宋体" w:cs="宋体"/>
                <w:color w:val="auto"/>
                <w:kern w:val="0"/>
                <w:szCs w:val="21"/>
                <w:highlight w:val="none"/>
              </w:rPr>
              <w:t>《关于印发&lt;重庆市招标投标活动投诉处理实施细则（修订）&gt;的通知》（渝公管发〔2021〕54号）</w:t>
            </w:r>
            <w:r>
              <w:rPr>
                <w:rFonts w:ascii="宋体" w:hAnsi="宋体"/>
                <w:color w:val="auto"/>
                <w:kern w:val="0"/>
                <w:szCs w:val="21"/>
                <w:highlight w:val="none"/>
              </w:rPr>
              <w:t>等法律法规文件处理投诉。</w:t>
            </w:r>
          </w:p>
          <w:p w14:paraId="65D1D606">
            <w:pPr>
              <w:widowControl/>
              <w:spacing w:line="400" w:lineRule="exact"/>
              <w:ind w:firstLine="420" w:firstLineChars="200"/>
              <w:rPr>
                <w:rFonts w:hint="default" w:ascii="宋体" w:hAnsi="宋体"/>
                <w:color w:val="auto"/>
                <w:kern w:val="0"/>
                <w:szCs w:val="21"/>
                <w:highlight w:val="none"/>
                <w:lang w:val="en-US"/>
              </w:rPr>
            </w:pPr>
            <w:r>
              <w:rPr>
                <w:rFonts w:hint="eastAsia" w:ascii="宋体" w:hAnsi="宋体"/>
                <w:color w:val="auto"/>
                <w:kern w:val="0"/>
                <w:szCs w:val="21"/>
                <w:highlight w:val="none"/>
              </w:rPr>
              <w:t>3.</w:t>
            </w:r>
            <w:r>
              <w:rPr>
                <w:rFonts w:hint="eastAsia" w:ascii="宋体" w:hAnsi="宋体"/>
                <w:color w:val="auto"/>
                <w:kern w:val="0"/>
                <w:szCs w:val="21"/>
                <w:highlight w:val="none"/>
              </w:rPr>
              <w:t>.异议受理单位：</w:t>
            </w:r>
            <w:bookmarkStart w:id="128" w:name="OLE_LINK5"/>
            <w:r>
              <w:rPr>
                <w:rFonts w:hint="eastAsia" w:ascii="宋体" w:hAnsi="宋体"/>
                <w:color w:val="auto"/>
                <w:kern w:val="0"/>
                <w:szCs w:val="21"/>
                <w:highlight w:val="none"/>
                <w:lang w:eastAsia="zh-CN"/>
              </w:rPr>
              <w:t>重庆广阳湾生态城投资发展集团有限公司成本管理部</w:t>
            </w:r>
          </w:p>
          <w:bookmarkEnd w:id="128"/>
          <w:p w14:paraId="10A0E0A7">
            <w:pPr>
              <w:widowControl/>
              <w:spacing w:line="400" w:lineRule="exact"/>
              <w:ind w:firstLine="630" w:firstLineChars="300"/>
              <w:rPr>
                <w:rFonts w:hint="eastAsia" w:ascii="宋体" w:hAnsi="宋体"/>
                <w:color w:val="auto"/>
                <w:kern w:val="0"/>
                <w:szCs w:val="21"/>
                <w:highlight w:val="none"/>
                <w:lang w:val="en-US" w:eastAsia="zh-CN"/>
              </w:rPr>
            </w:pPr>
            <w:bookmarkStart w:id="129" w:name="OLE_LINK6"/>
            <w:r>
              <w:rPr>
                <w:rFonts w:hint="eastAsia" w:ascii="宋体" w:hAnsi="宋体"/>
                <w:color w:val="auto"/>
                <w:kern w:val="0"/>
                <w:szCs w:val="21"/>
                <w:highlight w:val="none"/>
              </w:rPr>
              <w:t>联系电话：</w:t>
            </w:r>
            <w:r>
              <w:rPr>
                <w:rFonts w:hint="eastAsia" w:ascii="宋体" w:hAnsi="宋体"/>
                <w:color w:val="auto"/>
                <w:kern w:val="0"/>
                <w:szCs w:val="21"/>
                <w:highlight w:val="none"/>
                <w:lang w:val="en-US" w:eastAsia="zh-CN"/>
              </w:rPr>
              <w:t>62823880</w:t>
            </w:r>
          </w:p>
          <w:bookmarkEnd w:id="129"/>
          <w:p w14:paraId="22AE9046">
            <w:pPr>
              <w:widowControl/>
              <w:spacing w:line="400" w:lineRule="exact"/>
              <w:ind w:firstLine="630" w:firstLineChars="300"/>
              <w:rPr>
                <w:rFonts w:hint="default" w:ascii="宋体" w:hAnsi="宋体"/>
                <w:color w:val="auto"/>
                <w:kern w:val="0"/>
                <w:szCs w:val="21"/>
                <w:highlight w:val="none"/>
                <w:lang w:val="en-US"/>
              </w:rPr>
            </w:pPr>
            <w:r>
              <w:rPr>
                <w:rFonts w:hint="eastAsia"/>
                <w:color w:val="auto"/>
                <w:highlight w:val="none"/>
                <w:lang w:val="en-US" w:eastAsia="zh-CN"/>
              </w:rPr>
              <w:t>投诉受理单位：</w:t>
            </w:r>
            <w:r>
              <w:rPr>
                <w:rFonts w:hint="eastAsia" w:ascii="宋体" w:hAnsi="宋体"/>
                <w:color w:val="auto"/>
                <w:kern w:val="0"/>
                <w:szCs w:val="21"/>
                <w:highlight w:val="none"/>
                <w:lang w:eastAsia="zh-CN"/>
              </w:rPr>
              <w:t>重庆广阳湾生态城投资发展集团有限公司党群人事部</w:t>
            </w:r>
          </w:p>
          <w:p w14:paraId="6F67E580">
            <w:pPr>
              <w:widowControl/>
              <w:spacing w:line="400" w:lineRule="exact"/>
              <w:ind w:firstLine="630" w:firstLineChars="300"/>
              <w:rPr>
                <w:rFonts w:hint="default"/>
                <w:color w:val="auto"/>
                <w:highlight w:val="none"/>
                <w:lang w:val="en-US" w:eastAsia="zh-CN"/>
              </w:rPr>
            </w:pPr>
            <w:r>
              <w:rPr>
                <w:rFonts w:hint="eastAsia" w:ascii="宋体" w:hAnsi="宋体"/>
                <w:color w:val="auto"/>
                <w:kern w:val="0"/>
                <w:szCs w:val="21"/>
                <w:highlight w:val="none"/>
              </w:rPr>
              <w:t>联系电话：</w:t>
            </w:r>
            <w:r>
              <w:rPr>
                <w:rFonts w:hint="eastAsia" w:ascii="宋体" w:hAnsi="宋体"/>
                <w:color w:val="auto"/>
                <w:kern w:val="0"/>
                <w:szCs w:val="21"/>
                <w:highlight w:val="none"/>
                <w:lang w:val="en-US" w:eastAsia="zh-CN"/>
              </w:rPr>
              <w:t>62632090</w:t>
            </w:r>
            <w:bookmarkEnd w:id="127"/>
          </w:p>
        </w:tc>
      </w:tr>
      <w:tr w14:paraId="5BB16D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Merge w:val="restart"/>
            <w:vAlign w:val="center"/>
          </w:tcPr>
          <w:p w14:paraId="2397F9A9">
            <w:pPr>
              <w:snapToGrid w:val="0"/>
              <w:spacing w:line="400" w:lineRule="exact"/>
              <w:jc w:val="center"/>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2</w:t>
            </w:r>
          </w:p>
        </w:tc>
        <w:tc>
          <w:tcPr>
            <w:tcW w:w="1644" w:type="dxa"/>
            <w:vMerge w:val="restart"/>
            <w:vAlign w:val="center"/>
          </w:tcPr>
          <w:p w14:paraId="3F35EFE8">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其他</w:t>
            </w:r>
          </w:p>
        </w:tc>
        <w:tc>
          <w:tcPr>
            <w:tcW w:w="6490" w:type="dxa"/>
            <w:vAlign w:val="center"/>
          </w:tcPr>
          <w:p w14:paraId="5A488345">
            <w:pPr>
              <w:autoSpaceDE w:val="0"/>
              <w:autoSpaceDN w:val="0"/>
              <w:adjustRightInd w:val="0"/>
              <w:snapToGrid w:val="0"/>
              <w:spacing w:line="400" w:lineRule="exac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本</w:t>
            </w:r>
            <w:r>
              <w:rPr>
                <w:rFonts w:hint="eastAsia" w:ascii="宋体" w:hAnsi="宋体" w:eastAsia="宋体" w:cs="Times New Roman"/>
                <w:color w:val="auto"/>
                <w:kern w:val="0"/>
                <w:szCs w:val="21"/>
                <w:highlight w:val="none"/>
                <w:lang w:val="en-US" w:eastAsia="zh-CN"/>
              </w:rPr>
              <w:t>项目招标</w:t>
            </w:r>
            <w:r>
              <w:rPr>
                <w:rFonts w:hint="eastAsia" w:ascii="宋体" w:hAnsi="宋体" w:eastAsia="宋体" w:cs="Times New Roman"/>
                <w:color w:val="auto"/>
                <w:kern w:val="0"/>
                <w:szCs w:val="21"/>
                <w:highlight w:val="none"/>
              </w:rPr>
              <w:t>代理费</w:t>
            </w:r>
            <w:r>
              <w:rPr>
                <w:rFonts w:hint="eastAsia" w:ascii="宋体" w:hAnsi="宋体" w:cs="Times New Roman"/>
                <w:color w:val="auto"/>
                <w:kern w:val="0"/>
                <w:szCs w:val="21"/>
                <w:highlight w:val="none"/>
                <w:lang w:val="en-US" w:eastAsia="zh-CN"/>
              </w:rPr>
              <w:t>为10000.00元</w:t>
            </w:r>
            <w:r>
              <w:rPr>
                <w:rFonts w:hint="eastAsia" w:ascii="宋体" w:hAnsi="宋体" w:eastAsia="宋体" w:cs="Times New Roman"/>
                <w:color w:val="auto"/>
                <w:kern w:val="0"/>
                <w:szCs w:val="21"/>
                <w:highlight w:val="none"/>
              </w:rPr>
              <w:t>，由中标单位在领取中标通知书时一次性向招标代理公司支付。</w:t>
            </w:r>
          </w:p>
          <w:p w14:paraId="43BF63CC">
            <w:pPr>
              <w:autoSpaceDE w:val="0"/>
              <w:autoSpaceDN w:val="0"/>
              <w:adjustRightInd w:val="0"/>
              <w:snapToGrid w:val="0"/>
              <w:spacing w:line="400" w:lineRule="exac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该费用竞标人自行考虑在竞标报价中，比选人不单独支付费用。</w:t>
            </w:r>
          </w:p>
        </w:tc>
      </w:tr>
      <w:tr w14:paraId="358466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Merge w:val="continue"/>
            <w:vAlign w:val="center"/>
          </w:tcPr>
          <w:p w14:paraId="71F7FC4A">
            <w:pPr>
              <w:snapToGrid w:val="0"/>
              <w:spacing w:line="400" w:lineRule="exact"/>
              <w:jc w:val="center"/>
              <w:rPr>
                <w:rFonts w:hint="eastAsia" w:ascii="宋体" w:hAnsi="宋体"/>
                <w:color w:val="auto"/>
                <w:kern w:val="0"/>
                <w:szCs w:val="21"/>
                <w:highlight w:val="none"/>
              </w:rPr>
            </w:pPr>
            <w:bookmarkStart w:id="130" w:name="_Toc287607746"/>
            <w:bookmarkStart w:id="131" w:name="_Toc277082552"/>
            <w:bookmarkStart w:id="132" w:name="_Toc224103317"/>
            <w:bookmarkStart w:id="133" w:name="_Toc287620685"/>
            <w:bookmarkStart w:id="134" w:name="_Toc200513126"/>
            <w:bookmarkStart w:id="135" w:name="_Toc430530435"/>
          </w:p>
        </w:tc>
        <w:tc>
          <w:tcPr>
            <w:tcW w:w="1644" w:type="dxa"/>
            <w:vMerge w:val="continue"/>
            <w:vAlign w:val="center"/>
          </w:tcPr>
          <w:p w14:paraId="23D4093D">
            <w:pPr>
              <w:snapToGrid w:val="0"/>
              <w:spacing w:line="400" w:lineRule="exact"/>
              <w:jc w:val="center"/>
              <w:rPr>
                <w:rFonts w:hint="eastAsia" w:ascii="宋体" w:hAnsi="宋体"/>
                <w:color w:val="auto"/>
                <w:kern w:val="0"/>
                <w:szCs w:val="21"/>
                <w:highlight w:val="none"/>
              </w:rPr>
            </w:pPr>
          </w:p>
        </w:tc>
        <w:tc>
          <w:tcPr>
            <w:tcW w:w="6490" w:type="dxa"/>
            <w:vAlign w:val="center"/>
          </w:tcPr>
          <w:p w14:paraId="2417E475">
            <w:pPr>
              <w:autoSpaceDE w:val="0"/>
              <w:autoSpaceDN w:val="0"/>
              <w:adjustRightInd w:val="0"/>
              <w:snapToGrid w:val="0"/>
              <w:spacing w:line="400" w:lineRule="exac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比选文件每套售</w:t>
            </w:r>
            <w:r>
              <w:rPr>
                <w:rFonts w:hint="eastAsia" w:ascii="宋体" w:hAnsi="宋体" w:cs="Times New Roman"/>
                <w:color w:val="auto"/>
                <w:kern w:val="0"/>
                <w:szCs w:val="21"/>
                <w:highlight w:val="none"/>
                <w:lang w:val="en-US" w:eastAsia="zh-CN"/>
              </w:rPr>
              <w:t>500</w:t>
            </w:r>
            <w:r>
              <w:rPr>
                <w:rFonts w:hint="eastAsia" w:ascii="宋体" w:hAnsi="宋体" w:eastAsia="宋体" w:cs="Times New Roman"/>
                <w:color w:val="auto"/>
                <w:kern w:val="0"/>
                <w:szCs w:val="21"/>
                <w:highlight w:val="none"/>
              </w:rPr>
              <w:t>元，售后不退。投标人递交投标文件时支付比选文件的费用，否则比选人和比选代理机构将不予接收其投标文件。</w:t>
            </w:r>
          </w:p>
        </w:tc>
      </w:tr>
    </w:tbl>
    <w:p w14:paraId="483DF9EF">
      <w:pPr>
        <w:pStyle w:val="3"/>
        <w:spacing w:before="0" w:after="0" w:line="20" w:lineRule="exact"/>
        <w:rPr>
          <w:rFonts w:ascii="宋体" w:hAnsi="宋体"/>
          <w:b w:val="0"/>
          <w:snapToGrid w:val="0"/>
          <w:color w:val="auto"/>
          <w:highlight w:val="none"/>
        </w:rPr>
      </w:pPr>
    </w:p>
    <w:p w14:paraId="7E8D0041">
      <w:pPr>
        <w:pStyle w:val="3"/>
        <w:spacing w:before="0" w:after="0" w:line="200" w:lineRule="exact"/>
        <w:rPr>
          <w:rFonts w:ascii="宋体" w:hAnsi="宋体"/>
          <w:b w:val="0"/>
          <w:snapToGrid w:val="0"/>
          <w:color w:val="auto"/>
          <w:highlight w:val="none"/>
        </w:rPr>
      </w:pPr>
      <w:r>
        <w:rPr>
          <w:rFonts w:ascii="宋体" w:hAnsi="宋体"/>
          <w:b w:val="0"/>
          <w:snapToGrid w:val="0"/>
          <w:color w:val="auto"/>
          <w:highlight w:val="none"/>
        </w:rPr>
        <w:br w:type="page"/>
      </w:r>
    </w:p>
    <w:bookmarkEnd w:id="130"/>
    <w:bookmarkEnd w:id="131"/>
    <w:bookmarkEnd w:id="132"/>
    <w:bookmarkEnd w:id="133"/>
    <w:bookmarkEnd w:id="134"/>
    <w:bookmarkEnd w:id="135"/>
    <w:p w14:paraId="5F51D864">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6" w:name="_Toc19008"/>
      <w:bookmarkStart w:id="137" w:name="_Toc24172"/>
      <w:bookmarkStart w:id="138" w:name="_Toc509218774"/>
      <w:bookmarkStart w:id="139" w:name="_Toc27983298"/>
      <w:bookmarkStart w:id="140" w:name="_Toc22226"/>
      <w:bookmarkStart w:id="141" w:name="_Toc430530509"/>
      <w:bookmarkStart w:id="142" w:name="_Toc8427"/>
      <w:bookmarkStart w:id="143" w:name="_Toc509218785"/>
      <w:r>
        <w:rPr>
          <w:rFonts w:hint="eastAsia" w:ascii="宋体" w:hAnsi="宋体" w:eastAsia="宋体" w:cs="宋体"/>
          <w:color w:val="auto"/>
          <w:sz w:val="21"/>
          <w:szCs w:val="21"/>
          <w:highlight w:val="none"/>
        </w:rPr>
        <w:t>1.总则</w:t>
      </w:r>
      <w:bookmarkEnd w:id="136"/>
      <w:bookmarkEnd w:id="137"/>
    </w:p>
    <w:p w14:paraId="458C887A">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4" w:name="_Toc293756837"/>
      <w:bookmarkStart w:id="145" w:name="_Toc15688"/>
      <w:bookmarkStart w:id="146" w:name="_Toc9752"/>
      <w:bookmarkStart w:id="147" w:name="_Toc293756840"/>
      <w:r>
        <w:rPr>
          <w:rFonts w:hint="eastAsia" w:ascii="宋体" w:hAnsi="宋体" w:eastAsia="宋体" w:cs="宋体"/>
          <w:color w:val="auto"/>
          <w:sz w:val="21"/>
          <w:szCs w:val="21"/>
          <w:highlight w:val="none"/>
        </w:rPr>
        <w:t>1.1 项目概况</w:t>
      </w:r>
      <w:bookmarkEnd w:id="144"/>
      <w:bookmarkEnd w:id="145"/>
      <w:bookmarkEnd w:id="146"/>
    </w:p>
    <w:p w14:paraId="62DF7C4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1.1.1根据《中华人民共和国招标投标法》等有关法律、法规和规章的规定，本招标项目已具备</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条件，现对本标段</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进行</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w:t>
      </w:r>
    </w:p>
    <w:p w14:paraId="6EA513B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本比选项目比选人、比选代理机构、项目名称、</w:t>
      </w:r>
      <w:r>
        <w:rPr>
          <w:rFonts w:hint="eastAsia" w:ascii="宋体" w:hAnsi="宋体" w:cs="宋体"/>
          <w:color w:val="auto"/>
          <w:sz w:val="21"/>
          <w:szCs w:val="21"/>
          <w:highlight w:val="none"/>
          <w:lang w:eastAsia="zh-CN"/>
        </w:rPr>
        <w:t>服务地点</w:t>
      </w: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25DC698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本招标项目</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代理机构：见投标人须知前附表。</w:t>
      </w:r>
    </w:p>
    <w:p w14:paraId="78E478F2">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  本招标项目名称：见投标人须知前附表。</w:t>
      </w:r>
    </w:p>
    <w:p w14:paraId="1D47778C">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  本招标项目</w:t>
      </w:r>
      <w:r>
        <w:rPr>
          <w:rFonts w:hint="eastAsia" w:ascii="宋体" w:hAnsi="宋体" w:cs="宋体"/>
          <w:color w:val="auto"/>
          <w:sz w:val="21"/>
          <w:szCs w:val="21"/>
          <w:highlight w:val="none"/>
          <w:lang w:eastAsia="zh-CN"/>
        </w:rPr>
        <w:t>服务地点</w:t>
      </w:r>
      <w:r>
        <w:rPr>
          <w:rFonts w:hint="eastAsia" w:ascii="宋体" w:hAnsi="宋体" w:eastAsia="宋体" w:cs="宋体"/>
          <w:color w:val="auto"/>
          <w:sz w:val="21"/>
          <w:szCs w:val="21"/>
          <w:highlight w:val="none"/>
        </w:rPr>
        <w:t>：见投标人须知前附表。</w:t>
      </w:r>
    </w:p>
    <w:p w14:paraId="51CC0F72">
      <w:pPr>
        <w:pageBreakBefore w:val="0"/>
        <w:kinsoku/>
        <w:wordWrap/>
        <w:overflowPunct/>
        <w:topLinePunct w:val="0"/>
        <w:bidi w:val="0"/>
        <w:spacing w:line="360" w:lineRule="auto"/>
        <w:ind w:firstLine="420" w:firstLineChars="200"/>
        <w:textAlignment w:val="auto"/>
        <w:rPr>
          <w:rFonts w:hint="eastAsia"/>
          <w:color w:val="auto"/>
          <w:highlight w:val="none"/>
        </w:rPr>
      </w:pPr>
      <w:r>
        <w:rPr>
          <w:rFonts w:hint="eastAsia" w:ascii="宋体" w:hAnsi="宋体" w:eastAsia="宋体" w:cs="宋体"/>
          <w:color w:val="auto"/>
          <w:sz w:val="21"/>
          <w:szCs w:val="21"/>
          <w:highlight w:val="none"/>
        </w:rPr>
        <w:t>1.1.6  本招标项目建设规模：见投标人须知前附表。</w:t>
      </w:r>
    </w:p>
    <w:p w14:paraId="6F47B460">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8" w:name="_Toc293756838"/>
      <w:bookmarkStart w:id="149" w:name="_Toc30809"/>
      <w:bookmarkStart w:id="150" w:name="_Toc5437"/>
      <w:r>
        <w:rPr>
          <w:rFonts w:hint="eastAsia" w:ascii="宋体" w:hAnsi="宋体" w:eastAsia="宋体" w:cs="宋体"/>
          <w:color w:val="auto"/>
          <w:sz w:val="21"/>
          <w:szCs w:val="21"/>
          <w:highlight w:val="none"/>
        </w:rPr>
        <w:t>1.2 资金来源和落实情况</w:t>
      </w:r>
      <w:bookmarkEnd w:id="148"/>
      <w:bookmarkEnd w:id="149"/>
      <w:bookmarkEnd w:id="150"/>
    </w:p>
    <w:p w14:paraId="5C5F11E8">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bookmarkStart w:id="151" w:name="_Toc293756839"/>
      <w:r>
        <w:rPr>
          <w:rFonts w:hint="eastAsia" w:ascii="宋体" w:hAnsi="宋体" w:eastAsia="宋体" w:cs="宋体"/>
          <w:color w:val="auto"/>
          <w:sz w:val="21"/>
          <w:szCs w:val="21"/>
          <w:highlight w:val="none"/>
        </w:rPr>
        <w:t>1.2.1  本招标项目的资金来源：见投标人须知前附表。</w:t>
      </w:r>
    </w:p>
    <w:p w14:paraId="3C3D3F8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  本招标项目的出资比例：见投标人须知前附表。</w:t>
      </w:r>
    </w:p>
    <w:p w14:paraId="1561FC0F">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  本招标项目的资金落实情况：见投标人须知前附表。</w:t>
      </w:r>
    </w:p>
    <w:p w14:paraId="5FA420EE">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52" w:name="_Toc32556"/>
      <w:bookmarkStart w:id="153" w:name="_Toc19957"/>
      <w:r>
        <w:rPr>
          <w:rFonts w:hint="eastAsia" w:ascii="宋体" w:hAnsi="宋体" w:eastAsia="宋体" w:cs="宋体"/>
          <w:color w:val="auto"/>
          <w:sz w:val="21"/>
          <w:szCs w:val="21"/>
          <w:highlight w:val="none"/>
        </w:rPr>
        <w:t>1.3 比选范围、</w:t>
      </w:r>
      <w:r>
        <w:rPr>
          <w:rFonts w:hint="eastAsia" w:ascii="宋体" w:hAnsi="宋体" w:cs="宋体"/>
          <w:color w:val="auto"/>
          <w:sz w:val="21"/>
          <w:szCs w:val="21"/>
          <w:highlight w:val="none"/>
          <w:lang w:eastAsia="zh-CN"/>
        </w:rPr>
        <w:t>计划服务期</w:t>
      </w:r>
      <w:r>
        <w:rPr>
          <w:rFonts w:hint="eastAsia" w:ascii="宋体" w:hAnsi="宋体" w:eastAsia="宋体" w:cs="宋体"/>
          <w:color w:val="auto"/>
          <w:sz w:val="21"/>
          <w:szCs w:val="21"/>
          <w:highlight w:val="none"/>
        </w:rPr>
        <w:t>和质量要求</w:t>
      </w:r>
      <w:bookmarkEnd w:id="151"/>
      <w:bookmarkEnd w:id="152"/>
      <w:bookmarkEnd w:id="153"/>
    </w:p>
    <w:p w14:paraId="0C006251">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1.3.1  </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范围：见投标人须知前附表。</w:t>
      </w:r>
    </w:p>
    <w:p w14:paraId="3B0A27E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1.3.2  </w:t>
      </w:r>
      <w:r>
        <w:rPr>
          <w:rFonts w:hint="eastAsia" w:ascii="宋体" w:hAnsi="宋体" w:cs="宋体"/>
          <w:color w:val="auto"/>
          <w:sz w:val="21"/>
          <w:szCs w:val="21"/>
          <w:highlight w:val="none"/>
          <w:lang w:eastAsia="zh-CN"/>
        </w:rPr>
        <w:t>计划服务期</w:t>
      </w:r>
      <w:r>
        <w:rPr>
          <w:rFonts w:hint="eastAsia" w:ascii="宋体" w:hAnsi="宋体" w:eastAsia="宋体" w:cs="宋体"/>
          <w:color w:val="auto"/>
          <w:sz w:val="21"/>
          <w:szCs w:val="21"/>
          <w:highlight w:val="none"/>
        </w:rPr>
        <w:t>：见投标人须知前附表。</w:t>
      </w:r>
    </w:p>
    <w:p w14:paraId="74A28DB2">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  质量要求：见投标人须知前附表。</w:t>
      </w:r>
    </w:p>
    <w:p w14:paraId="106B229B">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54" w:name="_Toc17870"/>
      <w:bookmarkStart w:id="155" w:name="_Toc9928"/>
      <w:r>
        <w:rPr>
          <w:rFonts w:hint="eastAsia" w:ascii="宋体" w:hAnsi="宋体" w:eastAsia="宋体" w:cs="宋体"/>
          <w:color w:val="auto"/>
          <w:sz w:val="21"/>
          <w:szCs w:val="21"/>
          <w:highlight w:val="none"/>
        </w:rPr>
        <w:t xml:space="preserve">1.4 </w:t>
      </w:r>
      <w:bookmarkEnd w:id="147"/>
      <w:r>
        <w:rPr>
          <w:rFonts w:hint="eastAsia" w:ascii="宋体" w:hAnsi="宋体" w:eastAsia="宋体" w:cs="宋体"/>
          <w:color w:val="auto"/>
          <w:sz w:val="21"/>
          <w:szCs w:val="21"/>
          <w:highlight w:val="none"/>
          <w:lang w:eastAsia="zh-CN"/>
        </w:rPr>
        <w:t>投标人资格要求</w:t>
      </w:r>
      <w:bookmarkEnd w:id="154"/>
      <w:bookmarkEnd w:id="155"/>
    </w:p>
    <w:p w14:paraId="2D1ECC5A">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1.4.1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人应具备承担本标段</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的资质条件、能力: 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67D6E0E1">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资质条件：见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062439F4">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）其他主要管理人员要求：见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15F8BBD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）委托代理人：见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1F20B7DC">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）其他要求：见投标人须知前附表。</w:t>
      </w:r>
    </w:p>
    <w:p w14:paraId="3B49BAF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本次比选不接受联合体。</w:t>
      </w:r>
    </w:p>
    <w:p w14:paraId="5AFA2619">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1.4.3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人不得存在下列情形之一：</w:t>
      </w:r>
    </w:p>
    <w:p w14:paraId="51B86F92">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（1）与</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人存在利害关系可能影响招标公正性的法人、其他组织或者个人；</w:t>
      </w:r>
    </w:p>
    <w:p w14:paraId="159B2F49">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（2）为本标段前期准备提供设计或咨询服务的，但设计施工总承包的除外；</w:t>
      </w:r>
    </w:p>
    <w:p w14:paraId="5D2ED6E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（3）为本标段的监理人；</w:t>
      </w:r>
    </w:p>
    <w:p w14:paraId="253733DF">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（4）为本标段的代建人；</w:t>
      </w:r>
    </w:p>
    <w:p w14:paraId="5AA86542">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（5）为本标段提供</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代理服务的；</w:t>
      </w:r>
    </w:p>
    <w:p w14:paraId="72B8C5EC">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（6）与本标段的代建人或</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代理机构同为一个法定代表人的；</w:t>
      </w:r>
    </w:p>
    <w:p w14:paraId="2291009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（7）与本标段的代建人或</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代理机构相互控股或参股的；</w:t>
      </w:r>
    </w:p>
    <w:p w14:paraId="28342B2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（8）与本标段的代建人或</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代理机构相互任职或工作的；</w:t>
      </w:r>
    </w:p>
    <w:p w14:paraId="0960C082">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（9）被责令停业的；</w:t>
      </w:r>
    </w:p>
    <w:p w14:paraId="63DA145A">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（10）被国家、重庆市（含市或任意区县）有关行政部门处以暂停投标资格行政处罚，且在处罚期限内的；</w:t>
      </w:r>
    </w:p>
    <w:p w14:paraId="593A522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（11）财产被接管或冻结的；</w:t>
      </w:r>
    </w:p>
    <w:p w14:paraId="016360D8">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（12）单位负责人为同一人或者存在控股、管理关系的不同单位，不得在同一标段中同时投标。</w:t>
      </w:r>
    </w:p>
    <w:p w14:paraId="38C47EE8">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56" w:name="_Toc5895"/>
      <w:bookmarkStart w:id="157" w:name="_Toc4874"/>
      <w:bookmarkStart w:id="158" w:name="_Toc293756841"/>
      <w:r>
        <w:rPr>
          <w:rFonts w:hint="eastAsia" w:ascii="宋体" w:hAnsi="宋体" w:eastAsia="宋体" w:cs="宋体"/>
          <w:color w:val="auto"/>
          <w:sz w:val="21"/>
          <w:szCs w:val="21"/>
          <w:highlight w:val="none"/>
        </w:rPr>
        <w:t>1.5 费用承担</w:t>
      </w:r>
      <w:bookmarkEnd w:id="156"/>
      <w:bookmarkEnd w:id="157"/>
      <w:bookmarkEnd w:id="158"/>
    </w:p>
    <w:p w14:paraId="423C9CA5">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人准备和参加比选活动发生的费用自理。</w:t>
      </w:r>
    </w:p>
    <w:p w14:paraId="7FAC99B3">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59" w:name="_Toc293756842"/>
      <w:bookmarkStart w:id="160" w:name="_Toc11009"/>
      <w:bookmarkStart w:id="161" w:name="_Toc20653"/>
      <w:r>
        <w:rPr>
          <w:rFonts w:hint="eastAsia" w:ascii="宋体" w:hAnsi="宋体" w:eastAsia="宋体" w:cs="宋体"/>
          <w:color w:val="auto"/>
          <w:sz w:val="21"/>
          <w:szCs w:val="21"/>
          <w:highlight w:val="none"/>
        </w:rPr>
        <w:t>1.6 保密</w:t>
      </w:r>
      <w:bookmarkEnd w:id="159"/>
      <w:bookmarkEnd w:id="160"/>
      <w:bookmarkEnd w:id="161"/>
    </w:p>
    <w:p w14:paraId="19341C87">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参与比选活动的各方应对比选文件和比选文件中的商业和技术等秘密保密，违者应对由此造成的后果承担法律责任。</w:t>
      </w:r>
    </w:p>
    <w:p w14:paraId="73F405CF">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62" w:name="_Toc18963"/>
      <w:bookmarkStart w:id="163" w:name="_Toc1463"/>
      <w:bookmarkStart w:id="164" w:name="_Toc293756843"/>
      <w:r>
        <w:rPr>
          <w:rFonts w:hint="eastAsia" w:ascii="宋体" w:hAnsi="宋体" w:eastAsia="宋体" w:cs="宋体"/>
          <w:color w:val="auto"/>
          <w:sz w:val="21"/>
          <w:szCs w:val="21"/>
          <w:highlight w:val="none"/>
        </w:rPr>
        <w:t>1.7 语言文字</w:t>
      </w:r>
      <w:bookmarkEnd w:id="162"/>
      <w:bookmarkEnd w:id="163"/>
      <w:bookmarkEnd w:id="164"/>
    </w:p>
    <w:p w14:paraId="6E09892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除专用术语外，与比选有关的语言均使用中文。必要时专用术语应附有中文注释。</w:t>
      </w:r>
    </w:p>
    <w:p w14:paraId="6BE8DC1F">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65" w:name="_Toc104"/>
      <w:bookmarkStart w:id="166" w:name="_Toc293756844"/>
      <w:bookmarkStart w:id="167" w:name="_Toc17114"/>
      <w:r>
        <w:rPr>
          <w:rFonts w:hint="eastAsia" w:ascii="宋体" w:hAnsi="宋体" w:eastAsia="宋体" w:cs="宋体"/>
          <w:color w:val="auto"/>
          <w:sz w:val="21"/>
          <w:szCs w:val="21"/>
          <w:highlight w:val="none"/>
        </w:rPr>
        <w:t>1.8 计量单位</w:t>
      </w:r>
      <w:bookmarkEnd w:id="165"/>
      <w:bookmarkEnd w:id="166"/>
      <w:bookmarkEnd w:id="167"/>
    </w:p>
    <w:p w14:paraId="5CE2A9E4">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所有计量均采用中华人民共和国法定计量单位。</w:t>
      </w:r>
    </w:p>
    <w:p w14:paraId="4BB6BDEE">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68" w:name="_Toc2427"/>
      <w:bookmarkStart w:id="169" w:name="_Toc293756845"/>
      <w:bookmarkStart w:id="170" w:name="_Toc12321"/>
      <w:r>
        <w:rPr>
          <w:rFonts w:hint="eastAsia" w:ascii="宋体" w:hAnsi="宋体" w:eastAsia="宋体" w:cs="宋体"/>
          <w:color w:val="auto"/>
          <w:sz w:val="21"/>
          <w:szCs w:val="21"/>
          <w:highlight w:val="none"/>
        </w:rPr>
        <w:t>1.9 踏勘现场</w:t>
      </w:r>
      <w:bookmarkEnd w:id="168"/>
      <w:bookmarkEnd w:id="169"/>
      <w:bookmarkEnd w:id="170"/>
    </w:p>
    <w:p w14:paraId="0A654BE2">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  投标人须知前附表规定组织踏勘现场的，</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按投标人须知前附表规定的时间、 地点组织投标人踏勘项目现场。</w:t>
      </w:r>
    </w:p>
    <w:p w14:paraId="3BFC5F2C">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  投标人踏勘现场发生的费用自理。</w:t>
      </w:r>
    </w:p>
    <w:p w14:paraId="7822BEAA">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  除</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人的原因外，投标人自行负责在踏勘现场中所发生的人员伤亡和财产损失。</w:t>
      </w:r>
    </w:p>
    <w:p w14:paraId="2298013F">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1.9.4  </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人在踏勘现场中介绍的</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场地和相关的周边环境情况，供投标人在编制投标文件时参考，</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人不对投标人据此做出的判断和决策负责。</w:t>
      </w:r>
    </w:p>
    <w:p w14:paraId="0FD26DD8">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71" w:name="_Toc293756846"/>
      <w:bookmarkStart w:id="172" w:name="_Toc30203"/>
      <w:bookmarkStart w:id="173" w:name="_Toc3560"/>
      <w:r>
        <w:rPr>
          <w:rFonts w:hint="eastAsia" w:ascii="宋体" w:hAnsi="宋体" w:eastAsia="宋体" w:cs="宋体"/>
          <w:color w:val="auto"/>
          <w:sz w:val="21"/>
          <w:szCs w:val="21"/>
          <w:highlight w:val="none"/>
        </w:rPr>
        <w:t>1.10 比选预备会</w:t>
      </w:r>
      <w:bookmarkEnd w:id="171"/>
      <w:bookmarkEnd w:id="172"/>
      <w:bookmarkEnd w:id="173"/>
    </w:p>
    <w:p w14:paraId="32D4DA8F">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1.10.1  投标人须知前附表规定召开投标预备会的，</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按投标人须知前附表规定的时间和地点召开投标预备会，澄清投标人提出的问题。</w:t>
      </w:r>
    </w:p>
    <w:p w14:paraId="72A55EAE">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1.10.2  投标人应在投标人须知前附表</w:t>
      </w:r>
      <w:r>
        <w:rPr>
          <w:rFonts w:hint="eastAsia" w:ascii="宋体" w:hAnsi="宋体" w:eastAsia="宋体" w:cs="宋体"/>
          <w:color w:val="auto"/>
          <w:kern w:val="0"/>
          <w:sz w:val="21"/>
          <w:szCs w:val="21"/>
          <w:highlight w:val="none"/>
        </w:rPr>
        <w:t>2.2.4</w:t>
      </w:r>
      <w:r>
        <w:rPr>
          <w:rFonts w:hint="eastAsia" w:ascii="宋体" w:hAnsi="宋体" w:eastAsia="宋体" w:cs="宋体"/>
          <w:snapToGrid w:val="0"/>
          <w:color w:val="auto"/>
          <w:kern w:val="0"/>
          <w:sz w:val="21"/>
          <w:szCs w:val="21"/>
          <w:highlight w:val="none"/>
        </w:rPr>
        <w:t>规定的时间前，以书面形式将提出的问题送达</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，以便</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澄清。</w:t>
      </w:r>
    </w:p>
    <w:p w14:paraId="3D61B7D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 xml:space="preserve">1.10.3  </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在投标人须知前附表规定的时间内，将对投标人所提</w:t>
      </w:r>
      <w:r>
        <w:rPr>
          <w:rFonts w:hint="eastAsia" w:ascii="宋体" w:hAnsi="宋体" w:eastAsia="宋体" w:cs="宋体"/>
          <w:snapToGrid w:val="0"/>
          <w:color w:val="auto"/>
          <w:kern w:val="0"/>
          <w:position w:val="-2"/>
          <w:sz w:val="21"/>
          <w:szCs w:val="21"/>
          <w:highlight w:val="none"/>
        </w:rPr>
        <w:t>的</w:t>
      </w:r>
      <w:r>
        <w:rPr>
          <w:rFonts w:hint="eastAsia" w:ascii="宋体" w:hAnsi="宋体" w:eastAsia="宋体" w:cs="宋体"/>
          <w:snapToGrid w:val="0"/>
          <w:color w:val="auto"/>
          <w:kern w:val="0"/>
          <w:sz w:val="21"/>
          <w:szCs w:val="21"/>
          <w:highlight w:val="none"/>
        </w:rPr>
        <w:t>问题</w:t>
      </w:r>
      <w:r>
        <w:rPr>
          <w:rFonts w:hint="eastAsia" w:ascii="宋体" w:hAnsi="宋体" w:eastAsia="宋体" w:cs="宋体"/>
          <w:snapToGrid w:val="0"/>
          <w:color w:val="auto"/>
          <w:kern w:val="0"/>
          <w:position w:val="-2"/>
          <w:sz w:val="21"/>
          <w:szCs w:val="21"/>
          <w:highlight w:val="none"/>
        </w:rPr>
        <w:t>进行澄清。该澄清内容为</w:t>
      </w:r>
      <w:r>
        <w:rPr>
          <w:rFonts w:hint="eastAsia" w:ascii="宋体" w:hAnsi="宋体" w:eastAsia="宋体" w:cs="宋体"/>
          <w:snapToGrid w:val="0"/>
          <w:color w:val="auto"/>
          <w:kern w:val="0"/>
          <w:position w:val="-2"/>
          <w:sz w:val="21"/>
          <w:szCs w:val="21"/>
          <w:highlight w:val="none"/>
          <w:lang w:val="en-US" w:eastAsia="zh-CN"/>
        </w:rPr>
        <w:t>比选</w:t>
      </w:r>
      <w:r>
        <w:rPr>
          <w:rFonts w:hint="eastAsia" w:ascii="宋体" w:hAnsi="宋体" w:eastAsia="宋体" w:cs="宋体"/>
          <w:snapToGrid w:val="0"/>
          <w:color w:val="auto"/>
          <w:kern w:val="0"/>
          <w:position w:val="-2"/>
          <w:sz w:val="21"/>
          <w:szCs w:val="21"/>
          <w:highlight w:val="none"/>
        </w:rPr>
        <w:t>文件的组成部分。</w:t>
      </w:r>
    </w:p>
    <w:p w14:paraId="34DA85B1">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74" w:name="_Toc293756847"/>
      <w:bookmarkStart w:id="175" w:name="_Toc13696"/>
      <w:bookmarkStart w:id="176" w:name="_Toc2223"/>
      <w:r>
        <w:rPr>
          <w:rFonts w:hint="eastAsia" w:ascii="宋体" w:hAnsi="宋体" w:eastAsia="宋体" w:cs="宋体"/>
          <w:color w:val="auto"/>
          <w:sz w:val="21"/>
          <w:szCs w:val="21"/>
          <w:highlight w:val="none"/>
        </w:rPr>
        <w:t>1.11 分包</w:t>
      </w:r>
      <w:bookmarkEnd w:id="174"/>
      <w:bookmarkEnd w:id="175"/>
      <w:bookmarkEnd w:id="176"/>
    </w:p>
    <w:p w14:paraId="781FEE49">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不允许</w:t>
      </w:r>
      <w:r>
        <w:rPr>
          <w:rFonts w:hint="eastAsia" w:ascii="宋体" w:hAnsi="宋体" w:eastAsia="宋体" w:cs="宋体"/>
          <w:color w:val="auto"/>
          <w:sz w:val="21"/>
          <w:szCs w:val="21"/>
          <w:highlight w:val="none"/>
        </w:rPr>
        <w:t>。</w:t>
      </w:r>
    </w:p>
    <w:p w14:paraId="0D06BD18">
      <w:pPr>
        <w:pageBreakBefore w:val="0"/>
        <w:kinsoku/>
        <w:wordWrap/>
        <w:overflowPunct/>
        <w:topLinePunct w:val="0"/>
        <w:bidi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1.12 偏离</w:t>
      </w:r>
    </w:p>
    <w:p w14:paraId="1F9F4EE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投标人须知前附表允许投标文件偏离</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文件某些要求的，偏离应当符合</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文件规定的偏离范围和幅度。</w:t>
      </w:r>
    </w:p>
    <w:p w14:paraId="49B52BBF">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77" w:name="_Toc3385"/>
      <w:bookmarkStart w:id="178" w:name="_Toc21334"/>
      <w:r>
        <w:rPr>
          <w:rFonts w:hint="eastAsia" w:ascii="宋体" w:hAnsi="宋体" w:eastAsia="宋体" w:cs="宋体"/>
          <w:color w:val="auto"/>
          <w:sz w:val="21"/>
          <w:szCs w:val="21"/>
          <w:highlight w:val="none"/>
        </w:rPr>
        <w:t>2.比选文件</w:t>
      </w:r>
      <w:bookmarkEnd w:id="177"/>
      <w:bookmarkEnd w:id="178"/>
    </w:p>
    <w:p w14:paraId="5ED599B3">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79" w:name="_Toc25177"/>
      <w:bookmarkStart w:id="180" w:name="_Toc19819"/>
      <w:bookmarkStart w:id="181" w:name="_Toc293756848"/>
      <w:r>
        <w:rPr>
          <w:rFonts w:hint="eastAsia" w:ascii="宋体" w:hAnsi="宋体" w:eastAsia="宋体" w:cs="宋体"/>
          <w:color w:val="auto"/>
          <w:sz w:val="21"/>
          <w:szCs w:val="21"/>
          <w:highlight w:val="none"/>
        </w:rPr>
        <w:t>2.1比选文件的组成</w:t>
      </w:r>
      <w:bookmarkEnd w:id="179"/>
      <w:bookmarkEnd w:id="180"/>
      <w:bookmarkEnd w:id="181"/>
    </w:p>
    <w:p w14:paraId="74B16AF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本比选文件包括：</w:t>
      </w:r>
    </w:p>
    <w:p w14:paraId="540CC861">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公告；</w:t>
      </w:r>
    </w:p>
    <w:p w14:paraId="31D5F8B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（2）投标人须知；</w:t>
      </w:r>
    </w:p>
    <w:p w14:paraId="336DF0CA">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（3）评标办法；</w:t>
      </w:r>
    </w:p>
    <w:p w14:paraId="6ED911D2">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（4）合同条款及格式；</w:t>
      </w:r>
    </w:p>
    <w:p w14:paraId="140FE63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）技术标准和要求；</w:t>
      </w:r>
    </w:p>
    <w:p w14:paraId="3DB55B84">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）投标文件格式；</w:t>
      </w:r>
    </w:p>
    <w:p w14:paraId="13FBF04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）投标人须知前附表规定的其他材料。</w:t>
      </w:r>
    </w:p>
    <w:p w14:paraId="554F1E9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根据本章第1.10 款、第2.2 款和第2.3 款对比选文件所作的澄清、修改，构成比选文件的组成部分。</w:t>
      </w:r>
    </w:p>
    <w:p w14:paraId="3DEA96AC">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82" w:name="_Toc293756849"/>
      <w:bookmarkStart w:id="183" w:name="_Toc24087"/>
      <w:bookmarkStart w:id="184" w:name="_Toc17073"/>
      <w:r>
        <w:rPr>
          <w:rFonts w:hint="eastAsia" w:ascii="宋体" w:hAnsi="宋体" w:eastAsia="宋体" w:cs="宋体"/>
          <w:color w:val="auto"/>
          <w:sz w:val="21"/>
          <w:szCs w:val="21"/>
          <w:highlight w:val="none"/>
        </w:rPr>
        <w:t>2.2比选文件的澄清</w:t>
      </w:r>
      <w:bookmarkEnd w:id="182"/>
      <w:bookmarkEnd w:id="183"/>
      <w:bookmarkEnd w:id="184"/>
    </w:p>
    <w:p w14:paraId="58EBD1F8">
      <w:pPr>
        <w:pageBreakBefore w:val="0"/>
        <w:shd w:val="clear"/>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2.2.1 投标人应仔细阅读和检查</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文件的全部内容。如发现缺页或附件不全，应及时向</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人提出，以便补齐。如有疑问，应在投标人须知前附表规定的时间前</w:t>
      </w:r>
      <w:r>
        <w:rPr>
          <w:rFonts w:hint="eastAsia" w:ascii="宋体" w:hAnsi="宋体" w:cs="宋体"/>
          <w:color w:val="auto"/>
          <w:kern w:val="0"/>
          <w:szCs w:val="21"/>
          <w:highlight w:val="none"/>
        </w:rPr>
        <w:t>在</w:t>
      </w:r>
      <w:r>
        <w:rPr>
          <w:rFonts w:hint="eastAsia" w:ascii="宋体" w:hAnsi="宋体" w:cs="宋体"/>
          <w:color w:val="auto"/>
          <w:kern w:val="0"/>
          <w:szCs w:val="21"/>
          <w:highlight w:val="none"/>
          <w:lang w:eastAsia="zh-CN"/>
        </w:rPr>
        <w:t>比选公告</w:t>
      </w:r>
      <w:r>
        <w:rPr>
          <w:rFonts w:hint="eastAsia" w:ascii="宋体" w:hAnsi="宋体" w:cs="宋体"/>
          <w:color w:val="auto"/>
          <w:kern w:val="0"/>
          <w:szCs w:val="21"/>
          <w:highlight w:val="none"/>
        </w:rPr>
        <w:t>规定的时间</w:t>
      </w:r>
      <w:r>
        <w:rPr>
          <w:rFonts w:ascii="宋体" w:hAnsi="宋体"/>
          <w:color w:val="auto"/>
          <w:kern w:val="0"/>
          <w:szCs w:val="21"/>
          <w:highlight w:val="none"/>
        </w:rPr>
        <w:t>前</w:t>
      </w:r>
      <w:r>
        <w:rPr>
          <w:rFonts w:hint="eastAsia" w:ascii="宋体" w:hAnsi="宋体"/>
          <w:snapToGrid w:val="0"/>
          <w:color w:val="auto"/>
          <w:kern w:val="0"/>
          <w:szCs w:val="21"/>
          <w:highlight w:val="none"/>
          <w:u w:val="none"/>
          <w:lang w:val="en-US" w:eastAsia="zh-CN"/>
        </w:rPr>
        <w:t>向代理机构或比选人</w:t>
      </w:r>
      <w:r>
        <w:rPr>
          <w:rFonts w:hint="eastAsia" w:ascii="宋体" w:hAnsi="宋体"/>
          <w:snapToGrid w:val="0"/>
          <w:color w:val="auto"/>
          <w:kern w:val="0"/>
          <w:szCs w:val="21"/>
          <w:highlight w:val="none"/>
          <w:u w:val="none"/>
        </w:rPr>
        <w:t>提出疑问</w:t>
      </w:r>
      <w:r>
        <w:rPr>
          <w:rFonts w:hint="eastAsia" w:ascii="宋体" w:hAnsi="宋体"/>
          <w:snapToGrid w:val="0"/>
          <w:color w:val="auto"/>
          <w:kern w:val="0"/>
          <w:szCs w:val="21"/>
          <w:highlight w:val="none"/>
          <w:u w:val="none"/>
          <w:lang w:eastAsia="zh-CN"/>
        </w:rPr>
        <w:t>（</w:t>
      </w:r>
      <w:r>
        <w:rPr>
          <w:rFonts w:hint="eastAsia" w:ascii="宋体" w:hAnsi="宋体"/>
          <w:snapToGrid w:val="0"/>
          <w:color w:val="auto"/>
          <w:kern w:val="0"/>
          <w:szCs w:val="21"/>
          <w:highlight w:val="none"/>
          <w:u w:val="none"/>
          <w:lang w:val="en-US" w:eastAsia="zh-CN"/>
        </w:rPr>
        <w:t>纸质形式</w:t>
      </w:r>
      <w:r>
        <w:rPr>
          <w:rFonts w:hint="eastAsia" w:ascii="宋体" w:hAnsi="宋体"/>
          <w:snapToGrid w:val="0"/>
          <w:color w:val="auto"/>
          <w:kern w:val="0"/>
          <w:szCs w:val="21"/>
          <w:highlight w:val="none"/>
          <w:u w:val="none"/>
          <w:lang w:eastAsia="zh-CN"/>
        </w:rPr>
        <w:t>）</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人对</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文件予以澄清</w:t>
      </w:r>
      <w:r>
        <w:rPr>
          <w:rFonts w:hint="eastAsia" w:ascii="宋体" w:hAnsi="宋体" w:eastAsia="宋体" w:cs="宋体"/>
          <w:color w:val="auto"/>
          <w:sz w:val="21"/>
          <w:szCs w:val="21"/>
          <w:highlight w:val="none"/>
          <w:lang w:eastAsia="zh-CN"/>
        </w:rPr>
        <w:t>。</w:t>
      </w:r>
    </w:p>
    <w:p w14:paraId="739922D2">
      <w:pPr>
        <w:pageBreakBefore w:val="0"/>
        <w:shd w:val="clear"/>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2.2.2  </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文件的澄清将在投标人须知前附表规定的投标截止时间</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天前</w:t>
      </w:r>
      <w:r>
        <w:rPr>
          <w:rFonts w:hint="eastAsia" w:ascii="宋体" w:hAnsi="宋体" w:eastAsia="宋体" w:cs="宋体"/>
          <w:color w:val="auto"/>
          <w:sz w:val="21"/>
          <w:szCs w:val="21"/>
          <w:highlight w:val="none"/>
          <w:u w:val="none"/>
        </w:rPr>
        <w:t>在行采家(https://www.gec123.com/）</w:t>
      </w:r>
      <w:r>
        <w:rPr>
          <w:rFonts w:hint="eastAsia" w:ascii="宋体" w:hAnsi="宋体" w:cs="宋体"/>
          <w:color w:val="auto"/>
          <w:sz w:val="21"/>
          <w:szCs w:val="21"/>
          <w:highlight w:val="none"/>
          <w:u w:val="none"/>
          <w:lang w:eastAsia="zh-CN"/>
        </w:rPr>
        <w:t>、</w:t>
      </w:r>
      <w:r>
        <w:rPr>
          <w:rFonts w:hint="eastAsia" w:ascii="宋体" w:hAnsi="宋体"/>
          <w:snapToGrid w:val="0"/>
          <w:color w:val="auto"/>
          <w:kern w:val="0"/>
          <w:szCs w:val="21"/>
          <w:highlight w:val="none"/>
          <w:lang w:eastAsia="zh-CN"/>
        </w:rPr>
        <w:t>重庆广阳湾生态城投资发展集团有限公司官网（http://cq-gyw.com/）</w:t>
      </w:r>
      <w:r>
        <w:rPr>
          <w:rFonts w:hint="eastAsia" w:ascii="宋体" w:hAnsi="宋体" w:eastAsia="宋体" w:cs="宋体"/>
          <w:color w:val="auto"/>
          <w:sz w:val="21"/>
          <w:szCs w:val="21"/>
          <w:highlight w:val="none"/>
        </w:rPr>
        <w:t>发布，但不指明澄清问题的来源。如果澄清发出的时间距投标截止时间不足</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天，相应延长投标截止时间。</w:t>
      </w:r>
    </w:p>
    <w:p w14:paraId="320BDCB0">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2.2.3  </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人对</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文件的修改内容可能影响投标文件编制的，须在投标截止时间</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日前发布，发布时间至投标截止时间不足</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日的，须相应延后投标截止时间。</w:t>
      </w:r>
    </w:p>
    <w:p w14:paraId="74D3C5F8">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85" w:name="_Toc293756850"/>
      <w:bookmarkStart w:id="186" w:name="_Toc18491"/>
      <w:bookmarkStart w:id="187" w:name="_Toc25781"/>
      <w:r>
        <w:rPr>
          <w:rFonts w:hint="eastAsia" w:ascii="宋体" w:hAnsi="宋体" w:eastAsia="宋体" w:cs="宋体"/>
          <w:color w:val="auto"/>
          <w:sz w:val="21"/>
          <w:szCs w:val="21"/>
          <w:highlight w:val="none"/>
        </w:rPr>
        <w:t>2.3比选文件的修改</w:t>
      </w:r>
      <w:bookmarkEnd w:id="185"/>
      <w:bookmarkEnd w:id="186"/>
      <w:bookmarkEnd w:id="187"/>
    </w:p>
    <w:p w14:paraId="54AA029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按照本章2.2</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文件的澄清相关内容及方式执行。</w:t>
      </w:r>
    </w:p>
    <w:p w14:paraId="53015B35">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88" w:name="_Toc293756851"/>
      <w:bookmarkStart w:id="189" w:name="_Toc17803"/>
      <w:bookmarkStart w:id="190" w:name="_Toc13298"/>
      <w:r>
        <w:rPr>
          <w:rFonts w:hint="eastAsia" w:ascii="宋体" w:hAnsi="宋体" w:eastAsia="宋体" w:cs="宋体"/>
          <w:color w:val="auto"/>
          <w:sz w:val="21"/>
          <w:szCs w:val="21"/>
          <w:highlight w:val="none"/>
        </w:rPr>
        <w:t xml:space="preserve">3. </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w:t>
      </w:r>
      <w:bookmarkEnd w:id="188"/>
      <w:bookmarkEnd w:id="189"/>
      <w:bookmarkEnd w:id="190"/>
    </w:p>
    <w:p w14:paraId="0D6C07A8">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91" w:name="_Toc10706"/>
      <w:bookmarkStart w:id="192" w:name="_Toc293756852"/>
      <w:bookmarkStart w:id="193" w:name="_Toc27406"/>
      <w:r>
        <w:rPr>
          <w:rFonts w:hint="eastAsia" w:ascii="宋体" w:hAnsi="宋体" w:eastAsia="宋体" w:cs="宋体"/>
          <w:color w:val="auto"/>
          <w:sz w:val="21"/>
          <w:szCs w:val="21"/>
          <w:highlight w:val="none"/>
        </w:rPr>
        <w:t xml:space="preserve">3.1 </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文件的组成</w:t>
      </w:r>
      <w:bookmarkEnd w:id="191"/>
      <w:bookmarkEnd w:id="192"/>
      <w:bookmarkEnd w:id="193"/>
    </w:p>
    <w:p w14:paraId="1166BA71">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3.1.1 </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文件应包括下列内容：</w:t>
      </w:r>
    </w:p>
    <w:p w14:paraId="01982C0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）竞选函</w:t>
      </w:r>
      <w:r>
        <w:rPr>
          <w:rFonts w:hint="eastAsia" w:ascii="宋体" w:hAnsi="宋体" w:cs="宋体"/>
          <w:color w:val="auto"/>
          <w:sz w:val="21"/>
          <w:szCs w:val="21"/>
          <w:highlight w:val="none"/>
          <w:lang w:eastAsia="zh-CN"/>
        </w:rPr>
        <w:t>；</w:t>
      </w:r>
    </w:p>
    <w:p w14:paraId="44EC03B2">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）法定代表人身份证明或附有法定代表人身份证明的授权委托书</w:t>
      </w:r>
      <w:r>
        <w:rPr>
          <w:rFonts w:hint="eastAsia" w:ascii="宋体" w:hAnsi="宋体" w:cs="宋体"/>
          <w:color w:val="auto"/>
          <w:sz w:val="21"/>
          <w:szCs w:val="21"/>
          <w:highlight w:val="none"/>
          <w:lang w:eastAsia="zh-CN"/>
        </w:rPr>
        <w:t>；</w:t>
      </w:r>
    </w:p>
    <w:p w14:paraId="62DB94FE">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）类似项目情况表</w:t>
      </w:r>
      <w:r>
        <w:rPr>
          <w:rFonts w:hint="eastAsia" w:ascii="宋体" w:hAnsi="宋体" w:cs="宋体"/>
          <w:color w:val="auto"/>
          <w:sz w:val="21"/>
          <w:szCs w:val="21"/>
          <w:highlight w:val="none"/>
          <w:lang w:eastAsia="zh-CN"/>
        </w:rPr>
        <w:t>；</w:t>
      </w:r>
    </w:p>
    <w:p w14:paraId="0719B798">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）承诺</w:t>
      </w:r>
      <w:r>
        <w:rPr>
          <w:rFonts w:hint="eastAsia" w:ascii="宋体" w:hAnsi="宋体" w:cs="宋体"/>
          <w:color w:val="auto"/>
          <w:sz w:val="21"/>
          <w:szCs w:val="21"/>
          <w:highlight w:val="none"/>
          <w:lang w:eastAsia="zh-CN"/>
        </w:rPr>
        <w:t>；</w:t>
      </w:r>
    </w:p>
    <w:p w14:paraId="3BBF939E">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）技术方案</w:t>
      </w:r>
      <w:r>
        <w:rPr>
          <w:rFonts w:hint="eastAsia" w:ascii="宋体" w:hAnsi="宋体" w:cs="宋体"/>
          <w:color w:val="auto"/>
          <w:sz w:val="21"/>
          <w:szCs w:val="21"/>
          <w:highlight w:val="none"/>
          <w:lang w:eastAsia="zh-CN"/>
        </w:rPr>
        <w:t>；</w:t>
      </w:r>
    </w:p>
    <w:p w14:paraId="210A86B0">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）其他资料；</w:t>
      </w:r>
    </w:p>
    <w:p w14:paraId="493FF72C">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）投标人须知前附表规定的其他材料。</w:t>
      </w:r>
    </w:p>
    <w:p w14:paraId="13C463A9">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  投标人须知前附表规定不接受联合体投标的，或投标人没有组成联合体的，投标文件不包括本章第3.1.1（3）目所指的联合体协议书。</w:t>
      </w:r>
    </w:p>
    <w:p w14:paraId="62C6E13A">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94" w:name="_Toc31235"/>
      <w:bookmarkStart w:id="195" w:name="_Toc18735"/>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en-US" w:eastAsia="zh-CN"/>
        </w:rPr>
        <w:t xml:space="preserve"> 比选</w:t>
      </w:r>
      <w:r>
        <w:rPr>
          <w:rFonts w:hint="eastAsia" w:ascii="宋体" w:hAnsi="宋体" w:eastAsia="宋体" w:cs="宋体"/>
          <w:color w:val="auto"/>
          <w:sz w:val="21"/>
          <w:szCs w:val="21"/>
          <w:highlight w:val="none"/>
        </w:rPr>
        <w:t>报价</w:t>
      </w:r>
      <w:bookmarkEnd w:id="194"/>
      <w:bookmarkEnd w:id="195"/>
    </w:p>
    <w:p w14:paraId="5EAC4D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  投标人应按</w:t>
      </w:r>
      <w:r>
        <w:rPr>
          <w:rFonts w:hint="eastAsia" w:ascii="宋体" w:hAnsi="宋体" w:cs="宋体"/>
          <w:color w:val="auto"/>
          <w:sz w:val="21"/>
          <w:szCs w:val="21"/>
          <w:highlight w:val="none"/>
          <w:lang w:val="en-US" w:eastAsia="zh-CN"/>
        </w:rPr>
        <w:t>比选文件</w:t>
      </w:r>
      <w:r>
        <w:rPr>
          <w:rFonts w:hint="eastAsia" w:ascii="宋体" w:hAnsi="宋体" w:eastAsia="宋体" w:cs="宋体"/>
          <w:color w:val="auto"/>
          <w:sz w:val="21"/>
          <w:szCs w:val="21"/>
          <w:highlight w:val="none"/>
        </w:rPr>
        <w:t>要求填写相应表格。</w:t>
      </w:r>
    </w:p>
    <w:p w14:paraId="4E8526AF">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lang w:val="en-US" w:eastAsia="zh-CN"/>
        </w:rPr>
      </w:pPr>
      <w:bookmarkStart w:id="196" w:name="_Toc3741"/>
      <w:bookmarkStart w:id="197" w:name="_Toc7504"/>
      <w:r>
        <w:rPr>
          <w:rFonts w:hint="eastAsia" w:ascii="宋体" w:hAnsi="宋体" w:eastAsia="宋体" w:cs="宋体"/>
          <w:color w:val="auto"/>
          <w:sz w:val="21"/>
          <w:szCs w:val="21"/>
          <w:highlight w:val="none"/>
          <w:lang w:val="en-US" w:eastAsia="zh-CN"/>
        </w:rPr>
        <w:t>3.3  投标有效期</w:t>
      </w:r>
      <w:bookmarkEnd w:id="196"/>
      <w:bookmarkEnd w:id="197"/>
    </w:p>
    <w:p w14:paraId="56F331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在投标人须知前附表规定的投标有效期内，投标人不得要求撤销或修改其投标文件。</w:t>
      </w:r>
    </w:p>
    <w:p w14:paraId="2B696D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  出现特殊情况需要延长投标有效期的，</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344E332B">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98" w:name="_Toc8270"/>
      <w:bookmarkStart w:id="199" w:name="_Toc293756853"/>
      <w:bookmarkStart w:id="200" w:name="_Toc5887"/>
      <w:r>
        <w:rPr>
          <w:rFonts w:hint="eastAsia" w:ascii="宋体" w:hAnsi="宋体" w:eastAsia="宋体" w:cs="宋体"/>
          <w:color w:val="auto"/>
          <w:sz w:val="21"/>
          <w:szCs w:val="21"/>
          <w:highlight w:val="none"/>
        </w:rPr>
        <w:t>3.4 比选保证金</w:t>
      </w:r>
      <w:bookmarkEnd w:id="198"/>
      <w:bookmarkEnd w:id="199"/>
      <w:bookmarkEnd w:id="200"/>
    </w:p>
    <w:p w14:paraId="13F30B10">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3.4.1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人在递交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文件的同时，应按</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人须知前附表规定的比选保证金金额、比选保证金缴纳形式及要求，缴纳比选保证金，并作为其</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文件的组成部分。</w:t>
      </w:r>
    </w:p>
    <w:p w14:paraId="50421FEE">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3.4.2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人不按本章第3.4.1 项要求提交比选保证金的，其</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文件作</w:t>
      </w:r>
      <w:r>
        <w:rPr>
          <w:rFonts w:hint="eastAsia" w:ascii="宋体" w:hAnsi="宋体" w:cs="宋体"/>
          <w:color w:val="auto"/>
          <w:sz w:val="21"/>
          <w:szCs w:val="21"/>
          <w:highlight w:val="none"/>
          <w:lang w:val="en-US" w:eastAsia="zh-CN"/>
        </w:rPr>
        <w:t>否决投标</w:t>
      </w:r>
      <w:r>
        <w:rPr>
          <w:rFonts w:hint="eastAsia" w:ascii="宋体" w:hAnsi="宋体" w:eastAsia="宋体" w:cs="宋体"/>
          <w:color w:val="auto"/>
          <w:sz w:val="21"/>
          <w:szCs w:val="21"/>
          <w:highlight w:val="none"/>
        </w:rPr>
        <w:t>处理。</w:t>
      </w:r>
    </w:p>
    <w:p w14:paraId="68EC8D99">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3.4.3 投标保证金退还：见投标人须知前附表。</w:t>
      </w:r>
    </w:p>
    <w:p w14:paraId="4380D8E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（1）投标人在规定的投标有效期内撤销或修改其投标文件；</w:t>
      </w:r>
    </w:p>
    <w:p w14:paraId="44575BE8">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（2）中标人在收到中标通知书后，无正当理由拒签合同协议书或未按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文件规定提交履约担保；</w:t>
      </w:r>
    </w:p>
    <w:p w14:paraId="6DA72355">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（3）违反本章9.2条对投标人的纪律要求的；</w:t>
      </w:r>
    </w:p>
    <w:p w14:paraId="217ADD40">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（4）法律法规和本</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文件规定的其他情形。</w:t>
      </w:r>
    </w:p>
    <w:p w14:paraId="42CC3CC8">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3.4.5（1）投标保证金为无条件担保；</w:t>
      </w:r>
    </w:p>
    <w:p w14:paraId="287390A2">
      <w:pPr>
        <w:pageBreakBefore w:val="0"/>
        <w:kinsoku/>
        <w:wordWrap/>
        <w:overflowPunct/>
        <w:topLinePunct w:val="0"/>
        <w:bidi w:val="0"/>
        <w:spacing w:line="360" w:lineRule="auto"/>
        <w:ind w:firstLine="1050" w:firstLineChars="5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（2）投标保证金的受益人为</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w:t>
      </w:r>
    </w:p>
    <w:p w14:paraId="3B61B312">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201" w:name="_Toc250"/>
      <w:bookmarkStart w:id="202" w:name="_Toc293756854"/>
      <w:bookmarkStart w:id="203" w:name="_Toc24991"/>
      <w:r>
        <w:rPr>
          <w:rFonts w:hint="eastAsia" w:ascii="宋体" w:hAnsi="宋体" w:eastAsia="宋体" w:cs="宋体"/>
          <w:color w:val="auto"/>
          <w:sz w:val="21"/>
          <w:szCs w:val="21"/>
          <w:highlight w:val="none"/>
        </w:rPr>
        <w:t>3.5 资格审查资料</w:t>
      </w:r>
      <w:bookmarkEnd w:id="201"/>
      <w:bookmarkEnd w:id="202"/>
      <w:bookmarkEnd w:id="203"/>
    </w:p>
    <w:p w14:paraId="1F219D5C">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投标人须在</w:t>
      </w:r>
      <w:r>
        <w:rPr>
          <w:rFonts w:hint="eastAsia" w:ascii="宋体" w:hAnsi="宋体" w:cs="宋体"/>
          <w:color w:val="auto"/>
          <w:sz w:val="21"/>
          <w:szCs w:val="21"/>
          <w:highlight w:val="none"/>
          <w:lang w:val="en-US" w:eastAsia="zh-CN"/>
        </w:rPr>
        <w:t>递交投标文件的同时</w:t>
      </w:r>
      <w:r>
        <w:rPr>
          <w:rFonts w:hint="eastAsia" w:ascii="宋体" w:hAnsi="宋体" w:eastAsia="宋体" w:cs="宋体"/>
          <w:color w:val="auto"/>
          <w:sz w:val="21"/>
          <w:szCs w:val="21"/>
          <w:highlight w:val="none"/>
        </w:rPr>
        <w:t>将投标人须知前附表1.4.1中要求的原件一次性提交，评标委员会审查时必须对有关证明和证件的原件核查，若经审查复印件与原件不一致，或未提交原件的，则投标文件作否决投标处理。</w:t>
      </w:r>
    </w:p>
    <w:p w14:paraId="397A984F">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联合体投标的，详见投标人须知前附表联合体投标相关内容。</w:t>
      </w:r>
    </w:p>
    <w:p w14:paraId="27434020">
      <w:pPr>
        <w:pageBreakBefore w:val="0"/>
        <w:kinsoku/>
        <w:wordWrap/>
        <w:overflowPunct/>
        <w:topLinePunct w:val="0"/>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3.6 备选</w:t>
      </w:r>
      <w:r>
        <w:rPr>
          <w:rFonts w:hint="eastAsia" w:ascii="宋体" w:hAnsi="宋体" w:eastAsia="宋体" w:cs="宋体"/>
          <w:b/>
          <w:color w:val="auto"/>
          <w:sz w:val="21"/>
          <w:szCs w:val="21"/>
          <w:highlight w:val="none"/>
          <w:lang w:val="en-US" w:eastAsia="zh-CN"/>
        </w:rPr>
        <w:t>比选</w:t>
      </w:r>
      <w:r>
        <w:rPr>
          <w:rFonts w:hint="eastAsia" w:ascii="宋体" w:hAnsi="宋体" w:eastAsia="宋体" w:cs="宋体"/>
          <w:b/>
          <w:color w:val="auto"/>
          <w:sz w:val="21"/>
          <w:szCs w:val="21"/>
          <w:highlight w:val="none"/>
        </w:rPr>
        <w:t>方案</w:t>
      </w:r>
    </w:p>
    <w:p w14:paraId="5969618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除投标人须知前附表另有规定外，投标人不得递交备选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方案。允许投标人递交备选投标方案的，只有中标人所递交的备选投标方案方可予以考虑。评标委员会认为中标人的备选投标方案优于其按照</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文件要求编制的投标方案的，</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人可以接受该备选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方案</w:t>
      </w:r>
      <w:r>
        <w:rPr>
          <w:rFonts w:hint="eastAsia" w:ascii="宋体" w:hAnsi="宋体" w:eastAsia="宋体" w:cs="宋体"/>
          <w:color w:val="auto"/>
          <w:sz w:val="21"/>
          <w:szCs w:val="21"/>
          <w:highlight w:val="none"/>
          <w:lang w:eastAsia="zh-CN"/>
        </w:rPr>
        <w:t>。</w:t>
      </w:r>
    </w:p>
    <w:p w14:paraId="4ABF758B">
      <w:pPr>
        <w:pageBreakBefore w:val="0"/>
        <w:kinsoku/>
        <w:wordWrap/>
        <w:overflowPunct/>
        <w:topLinePunct w:val="0"/>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3.7 </w:t>
      </w:r>
      <w:r>
        <w:rPr>
          <w:rFonts w:hint="eastAsia" w:ascii="宋体" w:hAnsi="宋体" w:eastAsia="宋体" w:cs="宋体"/>
          <w:b/>
          <w:color w:val="auto"/>
          <w:sz w:val="21"/>
          <w:szCs w:val="21"/>
          <w:highlight w:val="none"/>
          <w:lang w:eastAsia="zh-CN"/>
        </w:rPr>
        <w:t>投标</w:t>
      </w:r>
      <w:r>
        <w:rPr>
          <w:rFonts w:hint="eastAsia" w:ascii="宋体" w:hAnsi="宋体" w:eastAsia="宋体" w:cs="宋体"/>
          <w:b/>
          <w:color w:val="auto"/>
          <w:sz w:val="21"/>
          <w:szCs w:val="21"/>
          <w:highlight w:val="none"/>
        </w:rPr>
        <w:t>文件的编制</w:t>
      </w:r>
    </w:p>
    <w:p w14:paraId="7E3F91DF">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bookmarkStart w:id="204" w:name="_Toc293756855"/>
      <w:r>
        <w:rPr>
          <w:rFonts w:hint="eastAsia" w:ascii="宋体" w:hAnsi="宋体" w:eastAsia="宋体" w:cs="宋体"/>
          <w:color w:val="auto"/>
          <w:sz w:val="21"/>
          <w:szCs w:val="21"/>
          <w:highlight w:val="none"/>
        </w:rPr>
        <w:t>3.7.1  投标文件应按第</w:t>
      </w:r>
      <w:r>
        <w:rPr>
          <w:rFonts w:hint="eastAsia" w:ascii="宋体" w:hAnsi="宋体" w:cs="宋体"/>
          <w:color w:val="auto"/>
          <w:sz w:val="21"/>
          <w:szCs w:val="21"/>
          <w:highlight w:val="none"/>
          <w:lang w:val="en-US" w:eastAsia="zh-CN"/>
        </w:rPr>
        <w:t>六</w:t>
      </w:r>
      <w:r>
        <w:rPr>
          <w:rFonts w:hint="eastAsia" w:ascii="宋体" w:hAnsi="宋体" w:eastAsia="宋体" w:cs="宋体"/>
          <w:color w:val="auto"/>
          <w:sz w:val="21"/>
          <w:szCs w:val="21"/>
          <w:highlight w:val="none"/>
        </w:rPr>
        <w:t>章“投标文件格式”进行编写，如有必要，可以增加附页，作为投标文件的组成部分。其中，投标函附录在满足</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文件实质性要求的基础上，可以提出比</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文件要求更有利于</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的承诺。</w:t>
      </w:r>
    </w:p>
    <w:p w14:paraId="4CE447E7">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3.7.2  投标文件应当对</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文件有关工期、投标有效期、质量要求、技术标准和要求、</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范围等实质性内容做出响应。</w:t>
      </w:r>
    </w:p>
    <w:p w14:paraId="23ACFF0A">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  投标文件的签字盖章要求：按本章投标人须知前附表第3.7.3项执行。</w:t>
      </w:r>
    </w:p>
    <w:p w14:paraId="368D3BD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3.7.4  投标文件的份数见投标人须知前附表。《技术部分》不分正副本，正本和副本的封面上应清楚地标记“正本”或“副本”的字样，正本和副本封面均须加盖单位法人章，否则作否决投标处理。当副本和正本不一致时，以正本为准。</w:t>
      </w:r>
    </w:p>
    <w:p w14:paraId="27C4739A">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3.7.5  投标文件的正本与副本应分别装订成册，并编制目录，具体装订要求见投标人须知前附表规定。</w:t>
      </w:r>
    </w:p>
    <w:p w14:paraId="0C11366F">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205" w:name="_Toc10924"/>
      <w:bookmarkStart w:id="206" w:name="_Toc29539"/>
      <w:r>
        <w:rPr>
          <w:rFonts w:hint="eastAsia" w:ascii="宋体" w:hAnsi="宋体" w:eastAsia="宋体" w:cs="宋体"/>
          <w:color w:val="auto"/>
          <w:sz w:val="21"/>
          <w:szCs w:val="21"/>
          <w:highlight w:val="none"/>
        </w:rPr>
        <w:t xml:space="preserve">4. </w:t>
      </w:r>
      <w:bookmarkEnd w:id="204"/>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文件的递交等</w:t>
      </w:r>
      <w:bookmarkEnd w:id="205"/>
      <w:bookmarkEnd w:id="206"/>
    </w:p>
    <w:p w14:paraId="5AE8FF11">
      <w:pPr>
        <w:pStyle w:val="4"/>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07" w:name="_Toc25512"/>
      <w:bookmarkStart w:id="208" w:name="_Toc293756856"/>
      <w:bookmarkStart w:id="209" w:name="_Toc24345"/>
      <w:r>
        <w:rPr>
          <w:rFonts w:hint="eastAsia" w:ascii="宋体" w:hAnsi="宋体" w:eastAsia="宋体" w:cs="宋体"/>
          <w:color w:val="auto"/>
          <w:sz w:val="21"/>
          <w:szCs w:val="21"/>
          <w:highlight w:val="none"/>
        </w:rPr>
        <w:t xml:space="preserve">4.1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文件的密封和标记</w:t>
      </w:r>
      <w:bookmarkEnd w:id="207"/>
      <w:bookmarkEnd w:id="208"/>
      <w:bookmarkEnd w:id="209"/>
    </w:p>
    <w:p w14:paraId="30F875FF">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文件的正本与副本密封见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11D1E142">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文件的封套上应写明的内容见投标人须知前附表。</w:t>
      </w:r>
    </w:p>
    <w:p w14:paraId="389AC328">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4.1.3  未按本章第 4.</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项要求密封的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文件，比选人不予受理。</w:t>
      </w:r>
    </w:p>
    <w:p w14:paraId="10A8C194">
      <w:pPr>
        <w:pStyle w:val="4"/>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10" w:name="_Toc5921"/>
      <w:bookmarkStart w:id="211" w:name="_Toc2798"/>
      <w:bookmarkStart w:id="212" w:name="_Toc293756857"/>
      <w:r>
        <w:rPr>
          <w:rFonts w:hint="eastAsia" w:ascii="宋体" w:hAnsi="宋体" w:eastAsia="宋体" w:cs="宋体"/>
          <w:color w:val="auto"/>
          <w:sz w:val="21"/>
          <w:szCs w:val="21"/>
          <w:highlight w:val="none"/>
        </w:rPr>
        <w:t xml:space="preserve">4.2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文件的递交</w:t>
      </w:r>
      <w:bookmarkEnd w:id="210"/>
      <w:bookmarkEnd w:id="211"/>
      <w:bookmarkEnd w:id="212"/>
    </w:p>
    <w:p w14:paraId="7CD6D52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4.2.1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人应按本章</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人须知前附表第</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项规定的时间递交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w:t>
      </w:r>
    </w:p>
    <w:p w14:paraId="14380647">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4.2.2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文件的地点：见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7E52CECA">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 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人须知前附表另有规定外，</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人所递交的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文件不予退还。</w:t>
      </w:r>
    </w:p>
    <w:p w14:paraId="2101E17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4.2.4 逾期送达的或者未送达指定地点的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文件，比选人不予受理。</w:t>
      </w:r>
    </w:p>
    <w:p w14:paraId="294DE83D">
      <w:pPr>
        <w:pStyle w:val="4"/>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13" w:name="_Toc293756858"/>
      <w:bookmarkStart w:id="214" w:name="_Toc288"/>
      <w:bookmarkStart w:id="215" w:name="_Toc8954"/>
      <w:r>
        <w:rPr>
          <w:rFonts w:hint="eastAsia" w:ascii="宋体" w:hAnsi="宋体" w:eastAsia="宋体" w:cs="宋体"/>
          <w:color w:val="auto"/>
          <w:sz w:val="21"/>
          <w:szCs w:val="21"/>
          <w:highlight w:val="none"/>
        </w:rPr>
        <w:t xml:space="preserve">4.3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文件的修改与撤回</w:t>
      </w:r>
      <w:bookmarkEnd w:id="213"/>
      <w:bookmarkEnd w:id="214"/>
      <w:bookmarkEnd w:id="215"/>
    </w:p>
    <w:p w14:paraId="35D931E7">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4.3.1 在本章</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人须知前附表第</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项规定的比选截止时间前，</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人可以修改或撤回已递交的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文件，但应以书面形式通知比选人。</w:t>
      </w:r>
    </w:p>
    <w:p w14:paraId="6498E2A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4.3.2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人修改或撤回已递交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文件的书面通知应按照本章第3.7.3 项的要求签字或盖章。比选人收到书面通知后，向</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人出具签收凭证。</w:t>
      </w:r>
    </w:p>
    <w:p w14:paraId="053088D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4.3.3 修改的内容为</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文件的组成部分。修改的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文件应按照本章第3 条、第4 条规定进行编制、密封、标记和递交，并标明“修改”字样。</w:t>
      </w:r>
    </w:p>
    <w:p w14:paraId="2300BC8D">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216" w:name="_Toc293756859"/>
      <w:bookmarkStart w:id="217" w:name="_Toc13137"/>
      <w:bookmarkStart w:id="218" w:name="_Toc29290"/>
      <w:r>
        <w:rPr>
          <w:rFonts w:hint="eastAsia" w:ascii="宋体" w:hAnsi="宋体" w:eastAsia="宋体" w:cs="宋体"/>
          <w:color w:val="auto"/>
          <w:sz w:val="21"/>
          <w:szCs w:val="21"/>
          <w:highlight w:val="none"/>
        </w:rPr>
        <w:t xml:space="preserve">5. </w:t>
      </w:r>
      <w:bookmarkEnd w:id="216"/>
      <w:r>
        <w:rPr>
          <w:rFonts w:hint="eastAsia" w:ascii="宋体" w:hAnsi="宋体" w:eastAsia="宋体" w:cs="宋体"/>
          <w:color w:val="auto"/>
          <w:sz w:val="21"/>
          <w:szCs w:val="21"/>
          <w:highlight w:val="none"/>
        </w:rPr>
        <w:t>比选</w:t>
      </w:r>
      <w:bookmarkEnd w:id="217"/>
      <w:bookmarkEnd w:id="218"/>
    </w:p>
    <w:p w14:paraId="554BFBA9">
      <w:pPr>
        <w:pStyle w:val="4"/>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19" w:name="_Toc6939"/>
      <w:bookmarkStart w:id="220" w:name="_Toc14237"/>
      <w:bookmarkStart w:id="221" w:name="_Toc293756860"/>
      <w:r>
        <w:rPr>
          <w:rFonts w:hint="eastAsia" w:ascii="宋体" w:hAnsi="宋体" w:eastAsia="宋体" w:cs="宋体"/>
          <w:color w:val="auto"/>
          <w:sz w:val="21"/>
          <w:szCs w:val="21"/>
          <w:highlight w:val="none"/>
        </w:rPr>
        <w:t>5.1 比选时间和地点</w:t>
      </w:r>
      <w:bookmarkEnd w:id="219"/>
      <w:bookmarkEnd w:id="220"/>
      <w:bookmarkEnd w:id="221"/>
    </w:p>
    <w:p w14:paraId="3976B860">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在投标人须知前附表第 2.2.2 项规定的投标截止时间（开标时间）和投标人须知前附表规定的地点公开开标，并邀请所有投标人的法定代表人或其委托代理人准时参加。</w:t>
      </w:r>
    </w:p>
    <w:p w14:paraId="2C6A53DC">
      <w:pPr>
        <w:pStyle w:val="4"/>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22" w:name="_Toc293756861"/>
      <w:bookmarkStart w:id="223" w:name="_Toc716"/>
      <w:bookmarkStart w:id="224" w:name="_Toc22516"/>
      <w:r>
        <w:rPr>
          <w:rFonts w:hint="eastAsia" w:ascii="宋体" w:hAnsi="宋体" w:eastAsia="宋体" w:cs="宋体"/>
          <w:color w:val="auto"/>
          <w:sz w:val="21"/>
          <w:szCs w:val="21"/>
          <w:highlight w:val="none"/>
        </w:rPr>
        <w:t>5.2 比选程序</w:t>
      </w:r>
      <w:bookmarkEnd w:id="222"/>
      <w:bookmarkEnd w:id="223"/>
      <w:bookmarkEnd w:id="224"/>
    </w:p>
    <w:p w14:paraId="383A125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bookmarkStart w:id="225" w:name="_Toc293756862"/>
      <w:r>
        <w:rPr>
          <w:rFonts w:hint="eastAsia" w:ascii="宋体" w:hAnsi="宋体" w:eastAsia="宋体" w:cs="宋体"/>
          <w:color w:val="auto"/>
          <w:sz w:val="21"/>
          <w:szCs w:val="21"/>
          <w:highlight w:val="none"/>
        </w:rPr>
        <w:t>详见投标人须知前附表5.2开标程序</w:t>
      </w:r>
      <w:r>
        <w:rPr>
          <w:rFonts w:hint="eastAsia" w:ascii="宋体" w:hAnsi="宋体" w:eastAsia="宋体" w:cs="宋体"/>
          <w:color w:val="auto"/>
          <w:sz w:val="21"/>
          <w:szCs w:val="21"/>
          <w:highlight w:val="none"/>
          <w:lang w:eastAsia="zh-CN"/>
        </w:rPr>
        <w:t>。</w:t>
      </w:r>
    </w:p>
    <w:p w14:paraId="269F17E8">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226" w:name="_Toc24607"/>
      <w:bookmarkStart w:id="227" w:name="_Toc18348"/>
      <w:r>
        <w:rPr>
          <w:rFonts w:hint="eastAsia" w:ascii="宋体" w:hAnsi="宋体" w:eastAsia="宋体" w:cs="宋体"/>
          <w:color w:val="auto"/>
          <w:sz w:val="21"/>
          <w:szCs w:val="21"/>
          <w:highlight w:val="none"/>
        </w:rPr>
        <w:t>6. 评</w:t>
      </w:r>
      <w:bookmarkEnd w:id="225"/>
      <w:r>
        <w:rPr>
          <w:rFonts w:hint="eastAsia" w:ascii="宋体" w:hAnsi="宋体" w:eastAsia="宋体" w:cs="宋体"/>
          <w:color w:val="auto"/>
          <w:sz w:val="21"/>
          <w:szCs w:val="21"/>
          <w:highlight w:val="none"/>
        </w:rPr>
        <w:t>审</w:t>
      </w:r>
      <w:bookmarkEnd w:id="226"/>
      <w:bookmarkEnd w:id="227"/>
    </w:p>
    <w:p w14:paraId="61AE85EF">
      <w:pPr>
        <w:keepNext w:val="0"/>
        <w:keepLines w:val="0"/>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28" w:name="_Toc287620720"/>
      <w:bookmarkStart w:id="229" w:name="_Toc7646"/>
      <w:bookmarkStart w:id="230" w:name="_Toc430530470"/>
      <w:bookmarkStart w:id="231" w:name="_Toc15611"/>
      <w:bookmarkStart w:id="232" w:name="_Toc287607781"/>
      <w:bookmarkStart w:id="233" w:name="_Toc224103352"/>
      <w:bookmarkStart w:id="234" w:name="_Toc277082587"/>
      <w:bookmarkStart w:id="235" w:name="_Toc509218745"/>
      <w:bookmarkStart w:id="236" w:name="_Toc200513161"/>
      <w:bookmarkStart w:id="237" w:name="_Toc293756866"/>
      <w:r>
        <w:rPr>
          <w:rFonts w:hint="eastAsia" w:ascii="宋体" w:hAnsi="宋体" w:eastAsia="宋体" w:cs="宋体"/>
          <w:b w:val="0"/>
          <w:bCs/>
          <w:snapToGrid w:val="0"/>
          <w:color w:val="auto"/>
          <w:kern w:val="2"/>
          <w:sz w:val="21"/>
          <w:szCs w:val="21"/>
          <w:highlight w:val="none"/>
          <w:lang w:val="en-US" w:eastAsia="zh-CN" w:bidi="ar-SA"/>
        </w:rPr>
        <w:t>6.1  评标委员会</w:t>
      </w:r>
      <w:bookmarkEnd w:id="228"/>
      <w:bookmarkEnd w:id="229"/>
      <w:bookmarkEnd w:id="230"/>
      <w:bookmarkEnd w:id="231"/>
      <w:bookmarkEnd w:id="232"/>
      <w:bookmarkEnd w:id="233"/>
      <w:bookmarkEnd w:id="234"/>
      <w:bookmarkEnd w:id="235"/>
      <w:bookmarkEnd w:id="236"/>
    </w:p>
    <w:p w14:paraId="25A8BD9B">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6.1.1  评标由</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人依据法律法规和相关规范性文件组建的评标委员会负责。</w:t>
      </w:r>
    </w:p>
    <w:p w14:paraId="62566AB7">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6.1.2  评标委员会成员有下列情形之一的，应当回避：</w:t>
      </w:r>
    </w:p>
    <w:p w14:paraId="0225872B">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238" w:name="_Toc11164"/>
      <w:bookmarkStart w:id="239" w:name="_Toc27306"/>
      <w:bookmarkStart w:id="240" w:name="_Toc287607782"/>
      <w:bookmarkStart w:id="241" w:name="_Toc277082588"/>
      <w:bookmarkStart w:id="242" w:name="_Toc509218746"/>
      <w:bookmarkStart w:id="243" w:name="_Toc224103353"/>
      <w:bookmarkStart w:id="244" w:name="_Toc200513162"/>
      <w:bookmarkStart w:id="245" w:name="_Toc430530471"/>
      <w:bookmarkStart w:id="246" w:name="_Toc287620721"/>
      <w:r>
        <w:rPr>
          <w:rFonts w:hint="eastAsia" w:ascii="宋体" w:hAnsi="宋体" w:eastAsia="宋体" w:cs="宋体"/>
          <w:snapToGrid w:val="0"/>
          <w:color w:val="auto"/>
          <w:kern w:val="0"/>
          <w:sz w:val="21"/>
          <w:szCs w:val="21"/>
          <w:highlight w:val="none"/>
        </w:rPr>
        <w:t>（1）投标人或投标人的主要负责人的近亲属；</w:t>
      </w:r>
      <w:bookmarkEnd w:id="238"/>
      <w:bookmarkEnd w:id="239"/>
    </w:p>
    <w:p w14:paraId="12C58145">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247" w:name="_Toc7327"/>
      <w:bookmarkStart w:id="248" w:name="_Toc24641"/>
      <w:r>
        <w:rPr>
          <w:rFonts w:hint="eastAsia" w:ascii="宋体" w:hAnsi="宋体" w:eastAsia="宋体" w:cs="宋体"/>
          <w:snapToGrid w:val="0"/>
          <w:color w:val="auto"/>
          <w:kern w:val="0"/>
          <w:sz w:val="21"/>
          <w:szCs w:val="21"/>
          <w:highlight w:val="none"/>
        </w:rPr>
        <w:t>（2）项目主管部门或者项目行政监督部门的人员；</w:t>
      </w:r>
      <w:bookmarkEnd w:id="247"/>
      <w:bookmarkEnd w:id="248"/>
    </w:p>
    <w:p w14:paraId="03166225">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249" w:name="_Toc15401"/>
      <w:bookmarkStart w:id="250" w:name="_Toc32357"/>
      <w:r>
        <w:rPr>
          <w:rFonts w:hint="eastAsia" w:ascii="宋体" w:hAnsi="宋体" w:eastAsia="宋体" w:cs="宋体"/>
          <w:snapToGrid w:val="0"/>
          <w:color w:val="auto"/>
          <w:kern w:val="0"/>
          <w:sz w:val="21"/>
          <w:szCs w:val="21"/>
          <w:highlight w:val="none"/>
        </w:rPr>
        <w:t>（3）与投标人有利害关系，可能影响对投标公正评审的；</w:t>
      </w:r>
      <w:bookmarkEnd w:id="249"/>
      <w:bookmarkEnd w:id="250"/>
    </w:p>
    <w:p w14:paraId="74E07E6A">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251" w:name="_Toc2203"/>
      <w:bookmarkStart w:id="252" w:name="_Toc28689"/>
      <w:r>
        <w:rPr>
          <w:rFonts w:hint="eastAsia" w:ascii="宋体" w:hAnsi="宋体" w:eastAsia="宋体" w:cs="宋体"/>
          <w:snapToGrid w:val="0"/>
          <w:color w:val="auto"/>
          <w:kern w:val="0"/>
          <w:sz w:val="21"/>
          <w:szCs w:val="21"/>
          <w:highlight w:val="none"/>
        </w:rPr>
        <w:t>（4）曾因在招标、评标以及其他与招标投标有关活动中从事违法行为而受过行政处罚或刑事处罚的；</w:t>
      </w:r>
      <w:bookmarkEnd w:id="251"/>
      <w:bookmarkEnd w:id="252"/>
    </w:p>
    <w:p w14:paraId="17E23CA5">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253" w:name="_Toc22969"/>
      <w:bookmarkStart w:id="254" w:name="_Toc7240"/>
      <w:r>
        <w:rPr>
          <w:rFonts w:hint="eastAsia" w:ascii="宋体" w:hAnsi="宋体" w:eastAsia="宋体" w:cs="宋体"/>
          <w:snapToGrid w:val="0"/>
          <w:color w:val="auto"/>
          <w:kern w:val="0"/>
          <w:sz w:val="21"/>
          <w:szCs w:val="21"/>
          <w:highlight w:val="none"/>
        </w:rPr>
        <w:t>（5）法律法规规定的其他情形。</w:t>
      </w:r>
      <w:bookmarkEnd w:id="253"/>
      <w:bookmarkEnd w:id="254"/>
    </w:p>
    <w:p w14:paraId="09A9BD52">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6.1.3  评标过程中，评标委员会成员有回避事由、擅离职守或者因健康等原因不能继续评标的，应当及时更换。被更换的评标委员会成员作出的评审结论无效，由更换后的评标委员会成员重新进行评审。</w:t>
      </w:r>
    </w:p>
    <w:p w14:paraId="4E665983">
      <w:pPr>
        <w:pStyle w:val="4"/>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lang w:val="en-US" w:eastAsia="zh-CN"/>
        </w:rPr>
      </w:pPr>
      <w:bookmarkStart w:id="255" w:name="_Toc32302"/>
      <w:bookmarkStart w:id="256" w:name="_Toc349"/>
      <w:r>
        <w:rPr>
          <w:rFonts w:hint="eastAsia" w:ascii="宋体" w:hAnsi="宋体" w:eastAsia="宋体" w:cs="宋体"/>
          <w:color w:val="auto"/>
          <w:sz w:val="21"/>
          <w:szCs w:val="21"/>
          <w:highlight w:val="none"/>
          <w:lang w:val="en-US" w:eastAsia="zh-CN"/>
        </w:rPr>
        <w:t>6.2  评标原则</w:t>
      </w:r>
      <w:bookmarkEnd w:id="240"/>
      <w:bookmarkEnd w:id="241"/>
      <w:bookmarkEnd w:id="242"/>
      <w:bookmarkEnd w:id="243"/>
      <w:bookmarkEnd w:id="244"/>
      <w:bookmarkEnd w:id="245"/>
      <w:bookmarkEnd w:id="246"/>
      <w:bookmarkEnd w:id="255"/>
      <w:bookmarkEnd w:id="256"/>
    </w:p>
    <w:p w14:paraId="23A6003E">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评标活动遵循公平、公正、科学和择优的原则。</w:t>
      </w:r>
    </w:p>
    <w:p w14:paraId="0793E1F9">
      <w:pPr>
        <w:pStyle w:val="4"/>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lang w:val="en-US" w:eastAsia="zh-CN"/>
        </w:rPr>
      </w:pPr>
      <w:bookmarkStart w:id="257" w:name="_Toc277082589"/>
      <w:bookmarkStart w:id="258" w:name="_Toc430530472"/>
      <w:bookmarkStart w:id="259" w:name="_Toc200513163"/>
      <w:bookmarkStart w:id="260" w:name="_Toc3231"/>
      <w:bookmarkStart w:id="261" w:name="_Toc22477"/>
      <w:bookmarkStart w:id="262" w:name="_Toc509218747"/>
      <w:bookmarkStart w:id="263" w:name="_Toc287620722"/>
      <w:bookmarkStart w:id="264" w:name="_Toc287607783"/>
      <w:bookmarkStart w:id="265" w:name="_Toc224103354"/>
      <w:r>
        <w:rPr>
          <w:rFonts w:hint="eastAsia" w:ascii="宋体" w:hAnsi="宋体" w:eastAsia="宋体" w:cs="宋体"/>
          <w:color w:val="auto"/>
          <w:sz w:val="21"/>
          <w:szCs w:val="21"/>
          <w:highlight w:val="none"/>
          <w:lang w:val="en-US" w:eastAsia="zh-CN"/>
        </w:rPr>
        <w:t>6.3  评标</w:t>
      </w:r>
      <w:bookmarkEnd w:id="257"/>
      <w:bookmarkEnd w:id="258"/>
      <w:bookmarkEnd w:id="259"/>
      <w:bookmarkEnd w:id="260"/>
      <w:bookmarkEnd w:id="261"/>
      <w:bookmarkEnd w:id="262"/>
      <w:bookmarkEnd w:id="263"/>
      <w:bookmarkEnd w:id="264"/>
      <w:bookmarkEnd w:id="265"/>
    </w:p>
    <w:p w14:paraId="768C7ECA">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评标委员会按照第三章“评标办法”规定的方法、评审因素、标准和程序对投标文件进行评审。第三章“评标办法”没有规定的方法、评审因素和标准，不得作为评标依据。</w:t>
      </w:r>
    </w:p>
    <w:p w14:paraId="7333ABDD">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266" w:name="_Toc2729"/>
      <w:bookmarkStart w:id="267" w:name="_Toc5190"/>
      <w:r>
        <w:rPr>
          <w:rFonts w:hint="eastAsia" w:ascii="宋体" w:hAnsi="宋体" w:eastAsia="宋体" w:cs="宋体"/>
          <w:color w:val="auto"/>
          <w:sz w:val="21"/>
          <w:szCs w:val="21"/>
          <w:highlight w:val="none"/>
        </w:rPr>
        <w:t>7. 合同授予</w:t>
      </w:r>
      <w:bookmarkEnd w:id="237"/>
      <w:bookmarkEnd w:id="266"/>
      <w:bookmarkEnd w:id="267"/>
    </w:p>
    <w:p w14:paraId="627A67EB">
      <w:pPr>
        <w:pStyle w:val="4"/>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68" w:name="_Toc293756867"/>
      <w:bookmarkStart w:id="269" w:name="_Toc13535"/>
      <w:bookmarkStart w:id="270" w:name="_Toc13886"/>
      <w:r>
        <w:rPr>
          <w:rFonts w:hint="eastAsia" w:ascii="宋体" w:hAnsi="宋体" w:eastAsia="宋体" w:cs="宋体"/>
          <w:color w:val="auto"/>
          <w:sz w:val="21"/>
          <w:szCs w:val="21"/>
          <w:highlight w:val="none"/>
        </w:rPr>
        <w:t>7.1 定选方式</w:t>
      </w:r>
      <w:bookmarkEnd w:id="268"/>
      <w:bookmarkEnd w:id="269"/>
      <w:bookmarkEnd w:id="270"/>
    </w:p>
    <w:p w14:paraId="4D9815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人应当确定排名第一的中标候选人为中标人。排名第一的中标候选人放弃中标、因不可抗力不能履行合同、不按照</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文件要求提交履约保证金，或者被查实存在影响中标结果的违法行为等情形，不符合中标条件的，</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人可以按照评标委员会提出的中标候选人名单排序依次确定其他中标候选人为中标人，也可以重新招标。</w:t>
      </w:r>
    </w:p>
    <w:p w14:paraId="634E77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评标委员会推荐中标候选人的人数见投标人须知前附表。</w:t>
      </w:r>
    </w:p>
    <w:p w14:paraId="2CCECCA2">
      <w:pPr>
        <w:pStyle w:val="4"/>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71" w:name="_Toc17919"/>
      <w:bookmarkStart w:id="272" w:name="_Toc10258"/>
      <w:bookmarkStart w:id="273" w:name="_Toc293756868"/>
      <w:r>
        <w:rPr>
          <w:rFonts w:hint="eastAsia" w:ascii="宋体" w:hAnsi="宋体" w:eastAsia="宋体" w:cs="宋体"/>
          <w:color w:val="auto"/>
          <w:sz w:val="21"/>
          <w:szCs w:val="21"/>
          <w:highlight w:val="none"/>
        </w:rPr>
        <w:t>7.2 中</w:t>
      </w:r>
      <w:r>
        <w:rPr>
          <w:rFonts w:hint="eastAsia" w:ascii="宋体" w:hAnsi="宋体" w:eastAsia="宋体" w:cs="宋体"/>
          <w:color w:val="auto"/>
          <w:sz w:val="21"/>
          <w:szCs w:val="21"/>
          <w:highlight w:val="none"/>
          <w:lang w:val="en-US" w:eastAsia="zh-CN"/>
        </w:rPr>
        <w:t>标</w:t>
      </w:r>
      <w:r>
        <w:rPr>
          <w:rFonts w:hint="eastAsia" w:ascii="宋体" w:hAnsi="宋体" w:eastAsia="宋体" w:cs="宋体"/>
          <w:color w:val="auto"/>
          <w:sz w:val="21"/>
          <w:szCs w:val="21"/>
          <w:highlight w:val="none"/>
        </w:rPr>
        <w:t>通知</w:t>
      </w:r>
      <w:bookmarkEnd w:id="271"/>
      <w:bookmarkEnd w:id="272"/>
      <w:bookmarkEnd w:id="273"/>
    </w:p>
    <w:p w14:paraId="2FECAB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bookmarkStart w:id="274" w:name="_Toc293756869"/>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在收到评标报告之日起3日内公示中标候选人，</w:t>
      </w:r>
      <w:r>
        <w:rPr>
          <w:rFonts w:hint="eastAsia" w:ascii="宋体" w:hAnsi="宋体" w:cs="宋体"/>
          <w:color w:val="auto"/>
          <w:szCs w:val="21"/>
          <w:highlight w:val="none"/>
        </w:rPr>
        <w:t>公示期为</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日</w:t>
      </w:r>
      <w:r>
        <w:rPr>
          <w:rFonts w:hint="eastAsia" w:ascii="宋体" w:hAnsi="宋体" w:eastAsia="宋体" w:cs="宋体"/>
          <w:color w:val="auto"/>
          <w:sz w:val="21"/>
          <w:szCs w:val="21"/>
          <w:highlight w:val="none"/>
        </w:rPr>
        <w:t>。</w:t>
      </w:r>
    </w:p>
    <w:p w14:paraId="01FA00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在本章第 3.3 款规定的投标有效期内，且未有投标人的异议与投诉，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人以书面形式向中标人发出中标通知书。</w:t>
      </w:r>
    </w:p>
    <w:p w14:paraId="29CC6DD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7.3 履约担保</w:t>
      </w:r>
      <w:bookmarkEnd w:id="274"/>
    </w:p>
    <w:p w14:paraId="0B896F12">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7.3.1 在签订合同前，中标人应按投标人须知前附表规定的金额、担保形式和</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文件第四章“合同条款及格式”规定的履约担保格式向</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人提交履约担保。</w:t>
      </w:r>
    </w:p>
    <w:p w14:paraId="33799B0A">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7.3.2 中选人不能按本章第7.3.1 项要求提交履约担保的，视为放弃中选，其比选保证金不予退还，给比选人造成的损失超过比选保证金数额的，中选人还应当对超过部分予以赔偿。</w:t>
      </w:r>
    </w:p>
    <w:p w14:paraId="4C3FCAFE">
      <w:pPr>
        <w:pStyle w:val="4"/>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75" w:name="_Toc293756870"/>
      <w:bookmarkStart w:id="276" w:name="_Toc5235"/>
      <w:bookmarkStart w:id="277" w:name="_Toc2662"/>
      <w:r>
        <w:rPr>
          <w:rFonts w:hint="eastAsia" w:ascii="宋体" w:hAnsi="宋体" w:eastAsia="宋体" w:cs="宋体"/>
          <w:color w:val="auto"/>
          <w:sz w:val="21"/>
          <w:szCs w:val="21"/>
          <w:highlight w:val="none"/>
        </w:rPr>
        <w:t>7.4 签订合同</w:t>
      </w:r>
      <w:bookmarkEnd w:id="275"/>
      <w:bookmarkEnd w:id="276"/>
      <w:bookmarkEnd w:id="277"/>
    </w:p>
    <w:p w14:paraId="1F942B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7.4.1 </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人和中标人应当自中标通知书发出之日起</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天内，根据</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文件和中标人的投标文件订立书面合同。中标人放弃中标项目，无正当理由不与</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人签订合同，在签订合同时向</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人提出附加条件或者更改合同实质性内容的，</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人取消其中标资格，其投标保证金不予退还；给</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人造成的损失超过投标保证金数额的，中标人还应当对超过部分予以赔偿。</w:t>
      </w:r>
    </w:p>
    <w:p w14:paraId="067A3A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7.4.2 发出中选通知书后，比选人无正当理由拒签合同的，比选人应向中选人退还比选保证金；给中选人造成损失的，还应当赔偿损失。</w:t>
      </w:r>
    </w:p>
    <w:p w14:paraId="72C868E1">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278" w:name="_Toc293756871"/>
      <w:bookmarkStart w:id="279" w:name="_Toc15182"/>
      <w:bookmarkStart w:id="280" w:name="_Toc21469"/>
      <w:r>
        <w:rPr>
          <w:rFonts w:hint="eastAsia" w:ascii="宋体" w:hAnsi="宋体" w:eastAsia="宋体" w:cs="宋体"/>
          <w:color w:val="auto"/>
          <w:sz w:val="21"/>
          <w:szCs w:val="21"/>
          <w:highlight w:val="none"/>
        </w:rPr>
        <w:t>8. 重新比选和不再比选</w:t>
      </w:r>
      <w:bookmarkEnd w:id="278"/>
      <w:bookmarkEnd w:id="279"/>
      <w:bookmarkEnd w:id="280"/>
    </w:p>
    <w:p w14:paraId="3E516537">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81" w:name="_Toc224103361"/>
      <w:bookmarkStart w:id="282" w:name="_Toc287607790"/>
      <w:bookmarkStart w:id="283" w:name="_Toc509218754"/>
      <w:bookmarkStart w:id="284" w:name="_Toc287620729"/>
      <w:bookmarkStart w:id="285" w:name="_Toc277082596"/>
      <w:bookmarkStart w:id="286" w:name="_Toc430530479"/>
      <w:bookmarkStart w:id="287" w:name="_Toc200513170"/>
      <w:bookmarkStart w:id="288" w:name="_Toc15837"/>
      <w:bookmarkStart w:id="289" w:name="_Toc27002"/>
      <w:bookmarkStart w:id="290" w:name="_Toc284231394"/>
      <w:bookmarkStart w:id="291" w:name="_Toc293756873"/>
      <w:r>
        <w:rPr>
          <w:rFonts w:hint="eastAsia" w:ascii="宋体" w:hAnsi="宋体" w:eastAsia="宋体" w:cs="宋体"/>
          <w:b w:val="0"/>
          <w:bCs/>
          <w:snapToGrid w:val="0"/>
          <w:color w:val="auto"/>
          <w:kern w:val="2"/>
          <w:sz w:val="21"/>
          <w:szCs w:val="21"/>
          <w:highlight w:val="none"/>
          <w:lang w:val="en-US" w:eastAsia="zh-CN" w:bidi="ar-SA"/>
        </w:rPr>
        <w:t>8.1  重新</w:t>
      </w:r>
      <w:bookmarkEnd w:id="281"/>
      <w:bookmarkEnd w:id="282"/>
      <w:bookmarkEnd w:id="283"/>
      <w:bookmarkEnd w:id="284"/>
      <w:bookmarkEnd w:id="285"/>
      <w:bookmarkEnd w:id="286"/>
      <w:bookmarkEnd w:id="287"/>
      <w:r>
        <w:rPr>
          <w:rFonts w:hint="eastAsia" w:ascii="宋体" w:hAnsi="宋体" w:eastAsia="宋体" w:cs="宋体"/>
          <w:b w:val="0"/>
          <w:bCs/>
          <w:snapToGrid w:val="0"/>
          <w:color w:val="auto"/>
          <w:kern w:val="2"/>
          <w:sz w:val="21"/>
          <w:szCs w:val="21"/>
          <w:highlight w:val="none"/>
          <w:lang w:val="en-US" w:eastAsia="zh-CN" w:bidi="ar-SA"/>
        </w:rPr>
        <w:t>比选</w:t>
      </w:r>
      <w:bookmarkEnd w:id="288"/>
      <w:bookmarkEnd w:id="289"/>
    </w:p>
    <w:p w14:paraId="28394215">
      <w:pPr>
        <w:pageBreakBefore w:val="0"/>
        <w:kinsoku/>
        <w:wordWrap/>
        <w:overflowPunct/>
        <w:topLinePunct w:val="0"/>
        <w:autoSpaceDE w:val="0"/>
        <w:autoSpaceDN w:val="0"/>
        <w:bidi w:val="0"/>
        <w:adjustRightInd w:val="0"/>
        <w:snapToGrid w:val="0"/>
        <w:spacing w:line="360" w:lineRule="auto"/>
        <w:ind w:left="359" w:leftChars="171"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有下列情形之一的，</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人将重新</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w:t>
      </w:r>
    </w:p>
    <w:p w14:paraId="1914BB88">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（1）投标截止时间止，投标人少于 3 个的；</w:t>
      </w:r>
    </w:p>
    <w:p w14:paraId="503ABE8A">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（2）经评标委员会评审后否决所有投标的；</w:t>
      </w:r>
    </w:p>
    <w:p w14:paraId="4D862570">
      <w:pPr>
        <w:pageBreakBefore w:val="0"/>
        <w:widowControl/>
        <w:kinsoku/>
        <w:wordWrap/>
        <w:overflowPunct/>
        <w:topLinePunct w:val="0"/>
        <w:bidi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（3）经评标委员会评审后部分投标被否决，导致有效投标人不足三个的，评标委员会应当否决所有投标。但是有效投标人的经济、技术等指标仍然具有市场竞争力，能够满足</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文件要求的，评标委员会可以继续评标并确定中标候选人。</w:t>
      </w:r>
    </w:p>
    <w:p w14:paraId="6348C51E">
      <w:pPr>
        <w:pageBreakBefore w:val="0"/>
        <w:widowControl/>
        <w:kinsoku/>
        <w:wordWrap/>
        <w:overflowPunct/>
        <w:topLinePunct w:val="0"/>
        <w:bidi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（4）法律法规规定的其他情形。</w:t>
      </w:r>
    </w:p>
    <w:p w14:paraId="09D4F2B6">
      <w:pPr>
        <w:pStyle w:val="4"/>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92" w:name="_Toc24456"/>
      <w:bookmarkStart w:id="293" w:name="_Toc28804"/>
      <w:r>
        <w:rPr>
          <w:rFonts w:hint="eastAsia" w:ascii="宋体" w:hAnsi="宋体" w:eastAsia="宋体" w:cs="宋体"/>
          <w:color w:val="auto"/>
          <w:sz w:val="21"/>
          <w:szCs w:val="21"/>
          <w:highlight w:val="none"/>
        </w:rPr>
        <w:t>8.2 不再</w:t>
      </w:r>
      <w:bookmarkEnd w:id="290"/>
      <w:bookmarkEnd w:id="291"/>
      <w:r>
        <w:rPr>
          <w:rFonts w:hint="eastAsia" w:ascii="宋体" w:hAnsi="宋体" w:eastAsia="宋体" w:cs="宋体"/>
          <w:color w:val="auto"/>
          <w:sz w:val="21"/>
          <w:szCs w:val="21"/>
          <w:highlight w:val="none"/>
        </w:rPr>
        <w:t>比选</w:t>
      </w:r>
      <w:bookmarkEnd w:id="292"/>
      <w:bookmarkEnd w:id="293"/>
    </w:p>
    <w:p w14:paraId="194A3C88">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bookmarkStart w:id="294" w:name="_Toc284159360"/>
      <w:bookmarkStart w:id="295" w:name="_Toc288052291"/>
      <w:bookmarkStart w:id="296" w:name="_Toc288046541"/>
      <w:bookmarkStart w:id="297" w:name="_Toc284231395"/>
      <w:bookmarkStart w:id="298" w:name="_Toc288045280"/>
      <w:bookmarkStart w:id="299" w:name="_Toc288046894"/>
      <w:bookmarkStart w:id="300" w:name="_Toc284158539"/>
      <w:bookmarkStart w:id="301" w:name="_Toc284158456"/>
      <w:bookmarkStart w:id="302" w:name="_Toc284159224"/>
      <w:bookmarkStart w:id="303" w:name="_Toc293756874"/>
      <w:r>
        <w:rPr>
          <w:rFonts w:hint="eastAsia" w:ascii="宋体" w:hAnsi="宋体" w:eastAsia="宋体" w:cs="宋体"/>
          <w:color w:val="auto"/>
          <w:sz w:val="21"/>
          <w:szCs w:val="21"/>
          <w:highlight w:val="none"/>
        </w:rPr>
        <w:t>重新比选后</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人仍少于三个的，按法定程序开展比选和评审，确定中选人。经评审无合格</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人，属于审批或核准项目的，报经原审批部门批准可以不再比选。</w:t>
      </w:r>
      <w:bookmarkEnd w:id="294"/>
      <w:bookmarkEnd w:id="295"/>
      <w:bookmarkEnd w:id="296"/>
      <w:bookmarkEnd w:id="297"/>
      <w:bookmarkEnd w:id="298"/>
      <w:bookmarkEnd w:id="299"/>
      <w:bookmarkEnd w:id="300"/>
      <w:bookmarkEnd w:id="301"/>
      <w:bookmarkEnd w:id="302"/>
      <w:bookmarkEnd w:id="303"/>
    </w:p>
    <w:p w14:paraId="5BD2C57C">
      <w:pPr>
        <w:pStyle w:val="4"/>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304" w:name="_Toc755"/>
      <w:bookmarkStart w:id="305" w:name="_Toc509218756"/>
      <w:bookmarkStart w:id="306" w:name="_Toc287607792"/>
      <w:bookmarkStart w:id="307" w:name="_Toc287620731"/>
      <w:bookmarkStart w:id="308" w:name="_Toc200513172"/>
      <w:bookmarkStart w:id="309" w:name="_Toc31090"/>
      <w:bookmarkStart w:id="310" w:name="_Toc224103363"/>
      <w:bookmarkStart w:id="311" w:name="_Toc36043737"/>
      <w:bookmarkStart w:id="312" w:name="_Toc277082598"/>
      <w:bookmarkStart w:id="313" w:name="_Toc430530481"/>
      <w:r>
        <w:rPr>
          <w:rFonts w:hint="eastAsia" w:ascii="宋体" w:hAnsi="宋体" w:eastAsia="宋体" w:cs="宋体"/>
          <w:color w:val="auto"/>
          <w:sz w:val="21"/>
          <w:szCs w:val="21"/>
          <w:highlight w:val="none"/>
        </w:rPr>
        <w:t>9.  纪律和监督</w:t>
      </w:r>
      <w:bookmarkEnd w:id="304"/>
      <w:bookmarkEnd w:id="305"/>
      <w:bookmarkEnd w:id="306"/>
      <w:bookmarkEnd w:id="307"/>
      <w:bookmarkEnd w:id="308"/>
      <w:bookmarkEnd w:id="309"/>
      <w:bookmarkEnd w:id="310"/>
      <w:bookmarkEnd w:id="311"/>
      <w:bookmarkEnd w:id="312"/>
      <w:bookmarkEnd w:id="313"/>
    </w:p>
    <w:p w14:paraId="779690B3">
      <w:pPr>
        <w:keepNext/>
        <w:keepLines/>
        <w:pageBreakBefore w:val="0"/>
        <w:widowControl w:val="0"/>
        <w:kinsoku/>
        <w:wordWrap/>
        <w:overflowPunct/>
        <w:topLinePunct w:val="0"/>
        <w:bidi w:val="0"/>
        <w:snapToGrid w:val="0"/>
        <w:spacing w:before="0" w:after="0" w:line="360" w:lineRule="auto"/>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314" w:name="_Toc224103364"/>
      <w:bookmarkStart w:id="315" w:name="_Toc287607793"/>
      <w:bookmarkStart w:id="316" w:name="_Toc12829"/>
      <w:bookmarkStart w:id="317" w:name="_Toc509218757"/>
      <w:bookmarkStart w:id="318" w:name="_Toc200513173"/>
      <w:bookmarkStart w:id="319" w:name="_Toc25463"/>
      <w:bookmarkStart w:id="320" w:name="_Toc277082599"/>
      <w:bookmarkStart w:id="321" w:name="_Toc287620732"/>
      <w:bookmarkStart w:id="322" w:name="_Toc430530482"/>
      <w:r>
        <w:rPr>
          <w:rFonts w:hint="eastAsia" w:ascii="宋体" w:hAnsi="宋体" w:eastAsia="宋体" w:cs="宋体"/>
          <w:b w:val="0"/>
          <w:bCs/>
          <w:snapToGrid w:val="0"/>
          <w:color w:val="auto"/>
          <w:kern w:val="2"/>
          <w:sz w:val="21"/>
          <w:szCs w:val="21"/>
          <w:highlight w:val="none"/>
          <w:lang w:val="en-US" w:eastAsia="zh-CN" w:bidi="ar-SA"/>
        </w:rPr>
        <w:t>9.1  对比选人的纪律要求</w:t>
      </w:r>
      <w:bookmarkEnd w:id="314"/>
      <w:bookmarkEnd w:id="315"/>
      <w:bookmarkEnd w:id="316"/>
      <w:bookmarkEnd w:id="317"/>
      <w:bookmarkEnd w:id="318"/>
      <w:bookmarkEnd w:id="319"/>
      <w:bookmarkEnd w:id="320"/>
      <w:bookmarkEnd w:id="321"/>
      <w:bookmarkEnd w:id="322"/>
    </w:p>
    <w:p w14:paraId="50DD2000">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人不得泄漏招标投标活动中应当保密的情况和资料，不得与投标人串通损害国家利 益、社会公共利益或者他人合法权益，</w:t>
      </w:r>
      <w:r>
        <w:rPr>
          <w:rFonts w:hint="eastAsia" w:ascii="宋体" w:hAnsi="宋体" w:eastAsia="宋体" w:cs="宋体"/>
          <w:color w:val="auto"/>
          <w:sz w:val="21"/>
          <w:szCs w:val="21"/>
          <w:highlight w:val="none"/>
        </w:rPr>
        <w:t>禁止</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与投标人串通投标。</w:t>
      </w:r>
    </w:p>
    <w:p w14:paraId="45FB9CB9">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有下列情形之一的，属于</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人与投标人串通投标：</w:t>
      </w:r>
    </w:p>
    <w:p w14:paraId="06E7A9A1">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人在开标前开启投标文件并将有关信息泄露给其他投标人；</w:t>
      </w:r>
    </w:p>
    <w:p w14:paraId="4F38B483">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人直接或者间接向投标人泄露标底、评标委员会成员等信息；</w:t>
      </w:r>
    </w:p>
    <w:p w14:paraId="30593952">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人明示或者暗示投标人压低或者抬高投标报价；</w:t>
      </w:r>
    </w:p>
    <w:p w14:paraId="3C2BADD7">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人授意投标人撤换、修改投标文件；</w:t>
      </w:r>
    </w:p>
    <w:p w14:paraId="02320AAD">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人明示或者暗示投标人为特定投标人中标提供方便；</w:t>
      </w:r>
    </w:p>
    <w:p w14:paraId="7954ACEC">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人与投标人为谋求特定投标人中标而采取的其他串通行为。</w:t>
      </w:r>
    </w:p>
    <w:p w14:paraId="3DDA82D6">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323" w:name="_Toc287620733"/>
      <w:bookmarkStart w:id="324" w:name="_Toc83"/>
      <w:bookmarkStart w:id="325" w:name="_Toc509218758"/>
      <w:bookmarkStart w:id="326" w:name="_Toc14890"/>
      <w:bookmarkStart w:id="327" w:name="_Toc200513174"/>
      <w:bookmarkStart w:id="328" w:name="_Toc287607794"/>
      <w:bookmarkStart w:id="329" w:name="_Toc277082600"/>
      <w:bookmarkStart w:id="330" w:name="_Toc430530483"/>
      <w:bookmarkStart w:id="331" w:name="_Toc224103365"/>
      <w:r>
        <w:rPr>
          <w:rFonts w:hint="eastAsia" w:ascii="宋体" w:hAnsi="宋体" w:eastAsia="宋体" w:cs="宋体"/>
          <w:b w:val="0"/>
          <w:bCs/>
          <w:snapToGrid w:val="0"/>
          <w:color w:val="auto"/>
          <w:kern w:val="2"/>
          <w:sz w:val="21"/>
          <w:szCs w:val="21"/>
          <w:highlight w:val="none"/>
          <w:lang w:val="en-US" w:eastAsia="zh-CN" w:bidi="ar-SA"/>
        </w:rPr>
        <w:t>9.2  对投标人的纪律要求</w:t>
      </w:r>
      <w:bookmarkEnd w:id="323"/>
      <w:bookmarkEnd w:id="324"/>
      <w:bookmarkEnd w:id="325"/>
      <w:bookmarkEnd w:id="326"/>
      <w:bookmarkEnd w:id="327"/>
      <w:bookmarkEnd w:id="328"/>
      <w:bookmarkEnd w:id="329"/>
      <w:bookmarkEnd w:id="330"/>
      <w:bookmarkEnd w:id="331"/>
    </w:p>
    <w:p w14:paraId="7F8CAD6C">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投标人不得相互串通投标或者与</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串通投标，不得向</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或者评标委员会成员行贿谋取中标，不得以他人名义投标或者以其他方式弄虚作假骗取中标；投标人不得以任何方式干扰、影响评标工作。</w:t>
      </w:r>
      <w:r>
        <w:rPr>
          <w:rFonts w:hint="eastAsia" w:ascii="宋体" w:hAnsi="宋体" w:eastAsia="宋体" w:cs="宋体"/>
          <w:color w:val="auto"/>
          <w:sz w:val="21"/>
          <w:szCs w:val="21"/>
          <w:highlight w:val="none"/>
        </w:rPr>
        <w:t>有下列情形之一的，属于投标人相互串通投标：</w:t>
      </w:r>
    </w:p>
    <w:p w14:paraId="40C1966A">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（1）投标人之间协商投标报价等投标文件的实质性内容；</w:t>
      </w:r>
    </w:p>
    <w:p w14:paraId="210A969A">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（2）投标人之间约定中标人；</w:t>
      </w:r>
    </w:p>
    <w:p w14:paraId="34683338">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（3）投标人之间约定部分投标人放弃投标或者中标；</w:t>
      </w:r>
    </w:p>
    <w:p w14:paraId="76B487F5">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（4）属于同一集团、协会、商会等组织成员的投标人按照该组织要求协同投标；</w:t>
      </w:r>
    </w:p>
    <w:p w14:paraId="77A2C856">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（5）投标人之间为谋取中标或者排斥特定投标人而采取的其他联合行动。</w:t>
      </w:r>
    </w:p>
    <w:p w14:paraId="2C712F30">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有下列情形之一的，视为投标人相互串通投标：</w:t>
      </w:r>
    </w:p>
    <w:p w14:paraId="7A84AE54">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（1）不同投标人的投标文件由同一单位或者个人编制；</w:t>
      </w:r>
    </w:p>
    <w:p w14:paraId="027E5336">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（2）不同投标人委托同一单位或者个人办理投标事宜；</w:t>
      </w:r>
    </w:p>
    <w:p w14:paraId="73AF16ED">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（3）不同投标人的投标文件载明的项目管理成员为同一人；</w:t>
      </w:r>
    </w:p>
    <w:p w14:paraId="1D4084A6">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（4）不同投标人的投标文件异常一致或者投标报价呈规律性差异；</w:t>
      </w:r>
    </w:p>
    <w:p w14:paraId="2EC19CCE">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（5）不同投标人的投标文件相互混装；</w:t>
      </w:r>
    </w:p>
    <w:p w14:paraId="0369C77F">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（6）不同投标人的投标保证金从同一单位或者个人的账户转出。</w:t>
      </w:r>
    </w:p>
    <w:p w14:paraId="31B04182">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使用通过受让或者租借等方式获取的资格、资质证书投标的，属于以他人名义投标。</w:t>
      </w:r>
    </w:p>
    <w:p w14:paraId="70DAA534">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投标人有下列情形之一的，属于以其他方式弄虚作假的行为：</w:t>
      </w:r>
    </w:p>
    <w:p w14:paraId="66D96AF2">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（一）使用伪造、变造的许可证件；</w:t>
      </w:r>
    </w:p>
    <w:p w14:paraId="5B2C20D5">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（二）提供虚假的财务状况或者业绩；</w:t>
      </w:r>
    </w:p>
    <w:p w14:paraId="418EDB38">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（三）提供虚假的项目负责人或者主要技术人员简历、劳动关系证明；</w:t>
      </w:r>
    </w:p>
    <w:p w14:paraId="140393C1">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（四）提供虚假的信用状况；</w:t>
      </w:r>
    </w:p>
    <w:p w14:paraId="48347EC5">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（五）其他弄虚作假的行为。</w:t>
      </w:r>
    </w:p>
    <w:p w14:paraId="32097923">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332" w:name="_Toc20024"/>
      <w:bookmarkStart w:id="333" w:name="_Toc287620734"/>
      <w:bookmarkStart w:id="334" w:name="_Toc277082601"/>
      <w:bookmarkStart w:id="335" w:name="_Toc287607795"/>
      <w:bookmarkStart w:id="336" w:name="_Toc430530484"/>
      <w:bookmarkStart w:id="337" w:name="_Toc19139"/>
      <w:bookmarkStart w:id="338" w:name="_Toc200513175"/>
      <w:bookmarkStart w:id="339" w:name="_Toc509218759"/>
      <w:bookmarkStart w:id="340" w:name="_Toc224103366"/>
      <w:r>
        <w:rPr>
          <w:rFonts w:hint="eastAsia" w:ascii="宋体" w:hAnsi="宋体" w:eastAsia="宋体" w:cs="宋体"/>
          <w:b w:val="0"/>
          <w:bCs/>
          <w:snapToGrid w:val="0"/>
          <w:color w:val="auto"/>
          <w:kern w:val="2"/>
          <w:sz w:val="21"/>
          <w:szCs w:val="21"/>
          <w:highlight w:val="none"/>
          <w:lang w:val="en-US" w:eastAsia="zh-CN" w:bidi="ar-SA"/>
        </w:rPr>
        <w:t>9.3  对评标委员会成员的纪律要求</w:t>
      </w:r>
      <w:bookmarkEnd w:id="332"/>
      <w:bookmarkEnd w:id="333"/>
      <w:bookmarkEnd w:id="334"/>
      <w:bookmarkEnd w:id="335"/>
      <w:bookmarkEnd w:id="336"/>
      <w:bookmarkEnd w:id="337"/>
      <w:bookmarkEnd w:id="338"/>
      <w:bookmarkEnd w:id="339"/>
      <w:bookmarkEnd w:id="340"/>
    </w:p>
    <w:p w14:paraId="29645F26">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7AB93447">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341" w:name="_Toc509218760"/>
      <w:bookmarkStart w:id="342" w:name="_Toc430530485"/>
      <w:bookmarkStart w:id="343" w:name="_Toc277082602"/>
      <w:bookmarkStart w:id="344" w:name="_Toc13227"/>
      <w:bookmarkStart w:id="345" w:name="_Toc200513176"/>
      <w:bookmarkStart w:id="346" w:name="_Toc224103367"/>
      <w:bookmarkStart w:id="347" w:name="_Toc287620735"/>
      <w:bookmarkStart w:id="348" w:name="_Toc1608"/>
      <w:bookmarkStart w:id="349" w:name="_Toc287607796"/>
      <w:r>
        <w:rPr>
          <w:rFonts w:hint="eastAsia" w:ascii="宋体" w:hAnsi="宋体" w:eastAsia="宋体" w:cs="宋体"/>
          <w:b w:val="0"/>
          <w:bCs/>
          <w:snapToGrid w:val="0"/>
          <w:color w:val="auto"/>
          <w:kern w:val="2"/>
          <w:sz w:val="21"/>
          <w:szCs w:val="21"/>
          <w:highlight w:val="none"/>
          <w:lang w:val="en-US" w:eastAsia="zh-CN" w:bidi="ar-SA"/>
        </w:rPr>
        <w:t>9.4  对与评标活动有关的工作人员的纪律要求</w:t>
      </w:r>
      <w:bookmarkEnd w:id="341"/>
      <w:bookmarkEnd w:id="342"/>
      <w:bookmarkEnd w:id="343"/>
      <w:bookmarkEnd w:id="344"/>
      <w:bookmarkEnd w:id="345"/>
      <w:bookmarkEnd w:id="346"/>
      <w:bookmarkEnd w:id="347"/>
      <w:bookmarkEnd w:id="348"/>
      <w:bookmarkEnd w:id="349"/>
    </w:p>
    <w:p w14:paraId="0C582615">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14:paraId="52B8DD11">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350" w:name="_Toc10750"/>
      <w:bookmarkStart w:id="351" w:name="_Toc200513177"/>
      <w:bookmarkStart w:id="352" w:name="_Toc277082603"/>
      <w:bookmarkStart w:id="353" w:name="_Toc287620736"/>
      <w:bookmarkStart w:id="354" w:name="_Toc509218761"/>
      <w:bookmarkStart w:id="355" w:name="_Toc430530486"/>
      <w:bookmarkStart w:id="356" w:name="_Toc287607797"/>
      <w:bookmarkStart w:id="357" w:name="_Toc2907"/>
      <w:bookmarkStart w:id="358" w:name="_Toc224103368"/>
      <w:r>
        <w:rPr>
          <w:rFonts w:hint="eastAsia" w:ascii="宋体" w:hAnsi="宋体" w:eastAsia="宋体" w:cs="宋体"/>
          <w:b w:val="0"/>
          <w:bCs/>
          <w:snapToGrid w:val="0"/>
          <w:color w:val="auto"/>
          <w:kern w:val="2"/>
          <w:sz w:val="21"/>
          <w:szCs w:val="21"/>
          <w:highlight w:val="none"/>
          <w:lang w:val="en-US" w:eastAsia="zh-CN" w:bidi="ar-SA"/>
        </w:rPr>
        <w:t>9.5  投诉</w:t>
      </w:r>
      <w:bookmarkEnd w:id="350"/>
      <w:bookmarkEnd w:id="351"/>
      <w:bookmarkEnd w:id="352"/>
      <w:bookmarkEnd w:id="353"/>
      <w:bookmarkEnd w:id="354"/>
      <w:bookmarkEnd w:id="355"/>
      <w:bookmarkEnd w:id="356"/>
      <w:bookmarkEnd w:id="357"/>
      <w:bookmarkEnd w:id="358"/>
    </w:p>
    <w:p w14:paraId="2EED7C89">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投标人和其他利害关系人认为本次招标活动违反法律、法规和规章规定的，有权向有关行政监督部门投诉。</w:t>
      </w:r>
    </w:p>
    <w:p w14:paraId="3384DC94">
      <w:pPr>
        <w:keepNext/>
        <w:keepLines/>
        <w:pageBreakBefore w:val="0"/>
        <w:widowControl w:val="0"/>
        <w:kinsoku/>
        <w:wordWrap/>
        <w:overflowPunct/>
        <w:topLinePunct w:val="0"/>
        <w:bidi w:val="0"/>
        <w:spacing w:before="0" w:after="0" w:line="360" w:lineRule="auto"/>
        <w:ind w:firstLine="420" w:firstLineChars="200"/>
        <w:jc w:val="both"/>
        <w:textAlignment w:val="auto"/>
        <w:outlineLvl w:val="9"/>
        <w:rPr>
          <w:rFonts w:hint="eastAsia" w:ascii="宋体" w:hAnsi="宋体" w:eastAsia="宋体" w:cs="宋体"/>
          <w:b w:val="0"/>
          <w:bCs/>
          <w:snapToGrid w:val="0"/>
          <w:color w:val="auto"/>
          <w:kern w:val="2"/>
          <w:sz w:val="21"/>
          <w:szCs w:val="21"/>
          <w:highlight w:val="none"/>
          <w:lang w:val="en-US" w:eastAsia="zh-CN" w:bidi="ar-SA"/>
        </w:rPr>
      </w:pPr>
      <w:bookmarkStart w:id="359" w:name="_Toc287607798"/>
      <w:bookmarkStart w:id="360" w:name="_Toc430530487"/>
      <w:bookmarkStart w:id="361" w:name="_Toc200513178"/>
      <w:bookmarkStart w:id="362" w:name="_Toc224103369"/>
      <w:bookmarkStart w:id="363" w:name="_Toc509218762"/>
      <w:bookmarkStart w:id="364" w:name="_Toc277082604"/>
      <w:bookmarkStart w:id="365" w:name="_Toc287620737"/>
      <w:bookmarkStart w:id="366" w:name="_Toc36043738"/>
      <w:r>
        <w:rPr>
          <w:rFonts w:hint="eastAsia" w:ascii="宋体" w:hAnsi="宋体" w:eastAsia="宋体" w:cs="宋体"/>
          <w:b w:val="0"/>
          <w:bCs/>
          <w:snapToGrid w:val="0"/>
          <w:color w:val="auto"/>
          <w:kern w:val="2"/>
          <w:sz w:val="21"/>
          <w:szCs w:val="21"/>
          <w:highlight w:val="none"/>
          <w:lang w:val="en-US" w:eastAsia="zh-CN" w:bidi="ar-SA"/>
        </w:rPr>
        <w:t>10. 需要补充的其他内容</w:t>
      </w:r>
      <w:bookmarkEnd w:id="359"/>
      <w:bookmarkEnd w:id="360"/>
      <w:bookmarkEnd w:id="361"/>
      <w:bookmarkEnd w:id="362"/>
      <w:bookmarkEnd w:id="363"/>
      <w:bookmarkEnd w:id="364"/>
      <w:bookmarkEnd w:id="365"/>
      <w:bookmarkEnd w:id="366"/>
    </w:p>
    <w:p w14:paraId="631D44B9">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需要补充的其他内容：见投标人须知前附表。</w:t>
      </w:r>
    </w:p>
    <w:p w14:paraId="5245ACA8">
      <w:pPr>
        <w:spacing w:line="360" w:lineRule="auto"/>
        <w:ind w:firstLine="240" w:firstLineChars="100"/>
        <w:rPr>
          <w:rFonts w:ascii="宋体" w:hAnsi="宋体" w:eastAsia="宋体" w:cs="宋体"/>
          <w:color w:val="auto"/>
          <w:sz w:val="24"/>
          <w:highlight w:val="none"/>
        </w:rPr>
        <w:sectPr>
          <w:footerReference r:id="rId7" w:type="first"/>
          <w:footerReference r:id="rId6" w:type="default"/>
          <w:pgSz w:w="11906" w:h="16838"/>
          <w:pgMar w:top="1134" w:right="1418" w:bottom="1134" w:left="1418" w:header="851" w:footer="992" w:gutter="0"/>
          <w:cols w:space="720" w:num="1"/>
          <w:docGrid w:type="lines" w:linePitch="312" w:charSpace="0"/>
        </w:sectPr>
      </w:pPr>
    </w:p>
    <w:p w14:paraId="67F617F2">
      <w:pPr>
        <w:keepNext/>
        <w:keepLines/>
        <w:widowControl w:val="0"/>
        <w:spacing w:before="340" w:after="330" w:line="360" w:lineRule="auto"/>
        <w:ind w:firstLine="883" w:firstLineChars="200"/>
        <w:jc w:val="center"/>
        <w:outlineLvl w:val="0"/>
        <w:rPr>
          <w:rFonts w:ascii="宋体" w:hAnsi="宋体" w:eastAsia="宋体" w:cs="Times New Roman"/>
          <w:b/>
          <w:bCs/>
          <w:color w:val="auto"/>
          <w:kern w:val="44"/>
          <w:sz w:val="44"/>
          <w:szCs w:val="44"/>
          <w:highlight w:val="none"/>
          <w:lang w:val="en-US" w:eastAsia="zh-CN" w:bidi="ar-SA"/>
        </w:rPr>
      </w:pPr>
      <w:r>
        <w:rPr>
          <w:rFonts w:ascii="宋体" w:hAnsi="宋体" w:eastAsia="宋体" w:cs="Times New Roman"/>
          <w:b/>
          <w:bCs/>
          <w:color w:val="auto"/>
          <w:kern w:val="44"/>
          <w:sz w:val="44"/>
          <w:szCs w:val="44"/>
          <w:highlight w:val="none"/>
          <w:lang w:val="en-US" w:eastAsia="zh-CN" w:bidi="ar-SA"/>
        </w:rPr>
        <w:t xml:space="preserve">第三章 </w:t>
      </w:r>
      <w:r>
        <w:rPr>
          <w:rFonts w:hint="eastAsia" w:ascii="宋体" w:hAnsi="宋体" w:eastAsia="宋体" w:cs="Times New Roman"/>
          <w:b/>
          <w:bCs/>
          <w:color w:val="auto"/>
          <w:kern w:val="44"/>
          <w:sz w:val="44"/>
          <w:szCs w:val="44"/>
          <w:highlight w:val="none"/>
          <w:lang w:val="en-US" w:eastAsia="zh-CN" w:bidi="ar-SA"/>
        </w:rPr>
        <w:t xml:space="preserve"> </w:t>
      </w:r>
      <w:r>
        <w:rPr>
          <w:rFonts w:ascii="宋体" w:hAnsi="宋体" w:eastAsia="宋体" w:cs="Times New Roman"/>
          <w:b/>
          <w:bCs/>
          <w:color w:val="auto"/>
          <w:kern w:val="44"/>
          <w:sz w:val="44"/>
          <w:szCs w:val="44"/>
          <w:highlight w:val="none"/>
          <w:lang w:val="en-US" w:eastAsia="zh-CN" w:bidi="ar-SA"/>
        </w:rPr>
        <w:t>评标办法（综合评估法）</w:t>
      </w:r>
      <w:bookmarkEnd w:id="138"/>
      <w:bookmarkEnd w:id="139"/>
      <w:bookmarkEnd w:id="140"/>
      <w:bookmarkStart w:id="367" w:name="_Toc287620750"/>
      <w:bookmarkStart w:id="368" w:name="_Toc430530499"/>
      <w:bookmarkStart w:id="369" w:name="_Toc277082617"/>
      <w:bookmarkStart w:id="370" w:name="_Toc224103383"/>
      <w:bookmarkStart w:id="371" w:name="_Toc287607811"/>
    </w:p>
    <w:p w14:paraId="57EE3292">
      <w:pPr>
        <w:keepNext/>
        <w:keepLines/>
        <w:widowControl w:val="0"/>
        <w:spacing w:before="100" w:after="100" w:line="360" w:lineRule="auto"/>
        <w:jc w:val="both"/>
        <w:outlineLvl w:val="1"/>
        <w:rPr>
          <w:rFonts w:hint="eastAsia" w:ascii="宋体" w:hAnsi="宋体" w:eastAsia="宋体" w:cs="Times New Roman"/>
          <w:b/>
          <w:bCs/>
          <w:color w:val="auto"/>
          <w:kern w:val="2"/>
          <w:sz w:val="32"/>
          <w:szCs w:val="32"/>
          <w:highlight w:val="none"/>
          <w:lang w:val="en-US" w:eastAsia="zh-CN" w:bidi="ar-SA"/>
        </w:rPr>
      </w:pPr>
      <w:bookmarkStart w:id="372" w:name="_Toc27983299"/>
      <w:bookmarkStart w:id="373" w:name="_Toc509218775"/>
      <w:bookmarkStart w:id="374" w:name="_Toc30753"/>
      <w:r>
        <w:rPr>
          <w:rFonts w:hint="eastAsia" w:ascii="宋体" w:hAnsi="宋体" w:eastAsia="宋体" w:cs="Times New Roman"/>
          <w:b/>
          <w:bCs/>
          <w:color w:val="auto"/>
          <w:kern w:val="2"/>
          <w:sz w:val="32"/>
          <w:szCs w:val="32"/>
          <w:highlight w:val="none"/>
          <w:lang w:val="en-US" w:eastAsia="zh-CN" w:bidi="ar-SA"/>
        </w:rPr>
        <w:t>评标办法前附表</w:t>
      </w:r>
      <w:bookmarkEnd w:id="372"/>
      <w:bookmarkEnd w:id="373"/>
      <w:bookmarkEnd w:id="374"/>
    </w:p>
    <w:p w14:paraId="573ECB95">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评标办法前附表中的评审内容必须和</w:t>
      </w:r>
      <w:r>
        <w:rPr>
          <w:rFonts w:hint="eastAsia" w:ascii="Times New Roman" w:hAnsi="Times New Roman" w:eastAsia="宋体" w:cs="Times New Roman"/>
          <w:color w:val="auto"/>
          <w:szCs w:val="21"/>
          <w:highlight w:val="none"/>
          <w:lang w:eastAsia="zh-CN"/>
        </w:rPr>
        <w:t>竞标</w:t>
      </w:r>
      <w:r>
        <w:rPr>
          <w:rFonts w:ascii="Times New Roman" w:hAnsi="Times New Roman" w:eastAsia="宋体" w:cs="Times New Roman"/>
          <w:color w:val="auto"/>
          <w:szCs w:val="21"/>
          <w:highlight w:val="none"/>
        </w:rPr>
        <w:t>人须知前附表中的对应内容一致，若</w:t>
      </w:r>
      <w:r>
        <w:rPr>
          <w:rFonts w:hint="eastAsia" w:ascii="Times New Roman" w:hAnsi="Times New Roman" w:eastAsia="宋体" w:cs="Times New Roman"/>
          <w:color w:val="auto"/>
          <w:szCs w:val="21"/>
          <w:highlight w:val="none"/>
          <w:lang w:eastAsia="zh-CN"/>
        </w:rPr>
        <w:t>竞标</w:t>
      </w:r>
      <w:r>
        <w:rPr>
          <w:rFonts w:ascii="Times New Roman" w:hAnsi="Times New Roman" w:eastAsia="宋体" w:cs="Times New Roman"/>
          <w:color w:val="auto"/>
          <w:szCs w:val="21"/>
          <w:highlight w:val="none"/>
        </w:rPr>
        <w:t>人须知前附表中未作要求的内容，不得列入评标办法前附表作为评定依据。</w:t>
      </w:r>
    </w:p>
    <w:tbl>
      <w:tblPr>
        <w:tblStyle w:val="46"/>
        <w:tblW w:w="0" w:type="auto"/>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752"/>
        <w:gridCol w:w="666"/>
        <w:gridCol w:w="709"/>
        <w:gridCol w:w="837"/>
        <w:gridCol w:w="1012"/>
        <w:gridCol w:w="5493"/>
      </w:tblGrid>
      <w:tr w14:paraId="588DFB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2"/>
            <w:noWrap w:val="0"/>
            <w:vAlign w:val="center"/>
          </w:tcPr>
          <w:p w14:paraId="700875D7">
            <w:pPr>
              <w:spacing w:line="400" w:lineRule="exact"/>
              <w:jc w:val="center"/>
              <w:rPr>
                <w:rFonts w:ascii="宋体" w:hAnsi="宋体" w:eastAsia="宋体" w:cs="Times New Roman"/>
                <w:b/>
                <w:color w:val="auto"/>
                <w:kern w:val="0"/>
                <w:highlight w:val="none"/>
              </w:rPr>
            </w:pPr>
            <w:r>
              <w:rPr>
                <w:rFonts w:ascii="宋体" w:hAnsi="宋体" w:eastAsia="宋体" w:cs="Times New Roman"/>
                <w:b/>
                <w:color w:val="auto"/>
                <w:kern w:val="0"/>
                <w:highlight w:val="none"/>
              </w:rPr>
              <w:t>条款号</w:t>
            </w:r>
          </w:p>
        </w:tc>
        <w:tc>
          <w:tcPr>
            <w:tcW w:w="2558" w:type="dxa"/>
            <w:gridSpan w:val="3"/>
            <w:noWrap w:val="0"/>
            <w:vAlign w:val="center"/>
          </w:tcPr>
          <w:p w14:paraId="3E8DE041">
            <w:pPr>
              <w:spacing w:line="400" w:lineRule="exact"/>
              <w:jc w:val="center"/>
              <w:rPr>
                <w:rFonts w:ascii="宋体" w:hAnsi="宋体" w:eastAsia="宋体" w:cs="Times New Roman"/>
                <w:b/>
                <w:color w:val="auto"/>
                <w:kern w:val="0"/>
                <w:highlight w:val="none"/>
              </w:rPr>
            </w:pPr>
            <w:r>
              <w:rPr>
                <w:rFonts w:ascii="宋体" w:hAnsi="宋体" w:eastAsia="宋体" w:cs="Times New Roman"/>
                <w:b/>
                <w:color w:val="auto"/>
                <w:kern w:val="0"/>
                <w:highlight w:val="none"/>
              </w:rPr>
              <w:t>评审因素</w:t>
            </w:r>
          </w:p>
        </w:tc>
        <w:tc>
          <w:tcPr>
            <w:tcW w:w="5493" w:type="dxa"/>
            <w:noWrap w:val="0"/>
            <w:vAlign w:val="center"/>
          </w:tcPr>
          <w:p w14:paraId="7A89368D">
            <w:pPr>
              <w:spacing w:line="400" w:lineRule="exact"/>
              <w:jc w:val="center"/>
              <w:rPr>
                <w:rFonts w:ascii="宋体" w:hAnsi="宋体" w:eastAsia="宋体" w:cs="Times New Roman"/>
                <w:b/>
                <w:color w:val="auto"/>
                <w:kern w:val="0"/>
                <w:highlight w:val="none"/>
              </w:rPr>
            </w:pPr>
            <w:r>
              <w:rPr>
                <w:rFonts w:ascii="宋体" w:hAnsi="宋体" w:eastAsia="宋体" w:cs="Times New Roman"/>
                <w:b/>
                <w:color w:val="auto"/>
                <w:kern w:val="0"/>
                <w:highlight w:val="none"/>
              </w:rPr>
              <w:t>评审标准</w:t>
            </w:r>
          </w:p>
        </w:tc>
      </w:tr>
      <w:tr w14:paraId="5057AD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418" w:type="dxa"/>
            <w:gridSpan w:val="2"/>
            <w:noWrap w:val="0"/>
            <w:vAlign w:val="center"/>
          </w:tcPr>
          <w:p w14:paraId="53B710ED">
            <w:pPr>
              <w:spacing w:line="400" w:lineRule="exact"/>
              <w:jc w:val="center"/>
              <w:rPr>
                <w:rFonts w:ascii="宋体" w:hAnsi="宋体" w:eastAsia="宋体" w:cs="Times New Roman"/>
                <w:color w:val="auto"/>
                <w:kern w:val="0"/>
                <w:highlight w:val="none"/>
              </w:rPr>
            </w:pPr>
            <w:r>
              <w:rPr>
                <w:rFonts w:hint="eastAsia" w:ascii="宋体" w:hAnsi="宋体" w:eastAsia="宋体" w:cs="Times New Roman"/>
                <w:color w:val="auto"/>
                <w:kern w:val="0"/>
                <w:highlight w:val="none"/>
              </w:rPr>
              <w:t>1</w:t>
            </w:r>
          </w:p>
        </w:tc>
        <w:tc>
          <w:tcPr>
            <w:tcW w:w="2558" w:type="dxa"/>
            <w:gridSpan w:val="3"/>
            <w:noWrap w:val="0"/>
            <w:vAlign w:val="center"/>
          </w:tcPr>
          <w:p w14:paraId="1D475B90">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评标办法</w:t>
            </w:r>
          </w:p>
        </w:tc>
        <w:tc>
          <w:tcPr>
            <w:tcW w:w="5493" w:type="dxa"/>
            <w:noWrap w:val="0"/>
            <w:vAlign w:val="center"/>
          </w:tcPr>
          <w:p w14:paraId="1EFF1E7A">
            <w:pPr>
              <w:spacing w:line="400" w:lineRule="exact"/>
              <w:ind w:firstLine="420" w:firstLineChars="200"/>
              <w:jc w:val="left"/>
              <w:rPr>
                <w:rFonts w:ascii="宋体" w:hAnsi="宋体" w:eastAsia="宋体" w:cs="Times New Roman"/>
                <w:color w:val="auto"/>
                <w:kern w:val="0"/>
                <w:highlight w:val="none"/>
              </w:rPr>
            </w:pPr>
            <w:r>
              <w:rPr>
                <w:rFonts w:ascii="宋体" w:hAnsi="宋体" w:eastAsia="宋体" w:cs="Times New Roman"/>
                <w:color w:val="auto"/>
                <w:kern w:val="0"/>
                <w:szCs w:val="21"/>
                <w:highlight w:val="none"/>
              </w:rPr>
              <w:t>本次评标采用综合评估法</w:t>
            </w:r>
            <w:r>
              <w:rPr>
                <w:rFonts w:ascii="宋体" w:hAnsi="宋体" w:eastAsia="宋体" w:cs="Times New Roman"/>
                <w:color w:val="auto"/>
                <w:spacing w:val="-47"/>
                <w:kern w:val="0"/>
                <w:szCs w:val="21"/>
                <w:highlight w:val="none"/>
              </w:rPr>
              <w:t>。</w:t>
            </w:r>
            <w:r>
              <w:rPr>
                <w:rFonts w:hint="eastAsia" w:ascii="宋体" w:hAnsi="宋体" w:eastAsia="宋体" w:cs="Times New Roman"/>
                <w:color w:val="auto"/>
                <w:kern w:val="0"/>
                <w:szCs w:val="21"/>
                <w:highlight w:val="none"/>
                <w:lang w:eastAsia="zh-CN"/>
              </w:rPr>
              <w:t>评审小组</w:t>
            </w:r>
            <w:r>
              <w:rPr>
                <w:rFonts w:ascii="宋体" w:hAnsi="宋体" w:eastAsia="宋体" w:cs="Times New Roman"/>
                <w:color w:val="auto"/>
                <w:kern w:val="0"/>
                <w:szCs w:val="21"/>
                <w:highlight w:val="none"/>
              </w:rPr>
              <w:t xml:space="preserve">按照本章第 </w:t>
            </w:r>
            <w:r>
              <w:rPr>
                <w:rFonts w:ascii="宋体" w:hAnsi="宋体" w:eastAsia="宋体" w:cs="Times New Roman"/>
                <w:color w:val="auto"/>
                <w:spacing w:val="1"/>
                <w:kern w:val="0"/>
                <w:szCs w:val="21"/>
                <w:highlight w:val="none"/>
              </w:rPr>
              <w:t>2</w:t>
            </w:r>
            <w:r>
              <w:rPr>
                <w:rFonts w:ascii="宋体" w:hAnsi="宋体" w:eastAsia="宋体" w:cs="Times New Roman"/>
                <w:color w:val="auto"/>
                <w:spacing w:val="-1"/>
                <w:kern w:val="0"/>
                <w:szCs w:val="21"/>
                <w:highlight w:val="none"/>
              </w:rPr>
              <w:t>.</w:t>
            </w:r>
            <w:r>
              <w:rPr>
                <w:rFonts w:ascii="宋体" w:hAnsi="宋体" w:eastAsia="宋体" w:cs="Times New Roman"/>
                <w:color w:val="auto"/>
                <w:kern w:val="0"/>
                <w:szCs w:val="21"/>
                <w:highlight w:val="none"/>
              </w:rPr>
              <w:t>2</w:t>
            </w:r>
            <w:r>
              <w:rPr>
                <w:rFonts w:ascii="宋体" w:hAnsi="宋体" w:eastAsia="宋体" w:cs="Times New Roman"/>
                <w:color w:val="auto"/>
                <w:spacing w:val="1"/>
                <w:kern w:val="0"/>
                <w:szCs w:val="21"/>
                <w:highlight w:val="none"/>
              </w:rPr>
              <w:t xml:space="preserve"> </w:t>
            </w:r>
            <w:r>
              <w:rPr>
                <w:rFonts w:ascii="宋体" w:hAnsi="宋体" w:eastAsia="宋体" w:cs="Times New Roman"/>
                <w:color w:val="auto"/>
                <w:kern w:val="0"/>
                <w:szCs w:val="21"/>
                <w:highlight w:val="none"/>
              </w:rPr>
              <w:t>款</w:t>
            </w:r>
            <w:r>
              <w:rPr>
                <w:rFonts w:ascii="宋体" w:hAnsi="宋体" w:eastAsia="宋体" w:cs="Times New Roman"/>
                <w:color w:val="auto"/>
                <w:spacing w:val="-1"/>
                <w:kern w:val="0"/>
                <w:szCs w:val="21"/>
                <w:highlight w:val="none"/>
              </w:rPr>
              <w:t>规</w:t>
            </w:r>
            <w:r>
              <w:rPr>
                <w:rFonts w:ascii="宋体" w:hAnsi="宋体" w:eastAsia="宋体" w:cs="Times New Roman"/>
                <w:color w:val="auto"/>
                <w:kern w:val="0"/>
                <w:szCs w:val="21"/>
                <w:highlight w:val="none"/>
              </w:rPr>
              <w:t>定的评分标准进行打分，按得分由高到低顺序推荐中标候选人</w:t>
            </w:r>
            <w:r>
              <w:rPr>
                <w:rFonts w:ascii="宋体" w:hAnsi="宋体" w:eastAsia="宋体" w:cs="Times New Roman"/>
                <w:color w:val="auto"/>
                <w:spacing w:val="-20"/>
                <w:kern w:val="0"/>
                <w:szCs w:val="21"/>
                <w:highlight w:val="none"/>
              </w:rPr>
              <w:t>，</w:t>
            </w:r>
            <w:r>
              <w:rPr>
                <w:rFonts w:ascii="宋体" w:hAnsi="宋体" w:eastAsia="宋体" w:cs="Times New Roman"/>
                <w:color w:val="auto"/>
                <w:kern w:val="0"/>
                <w:szCs w:val="21"/>
                <w:highlight w:val="none"/>
              </w:rPr>
              <w:t>或根据</w:t>
            </w:r>
            <w:r>
              <w:rPr>
                <w:rFonts w:hint="eastAsia" w:ascii="宋体" w:hAnsi="宋体" w:eastAsia="宋体" w:cs="Times New Roman"/>
                <w:color w:val="auto"/>
                <w:kern w:val="0"/>
                <w:szCs w:val="21"/>
                <w:highlight w:val="none"/>
                <w:lang w:eastAsia="zh-CN"/>
              </w:rPr>
              <w:t>比选人</w:t>
            </w:r>
            <w:r>
              <w:rPr>
                <w:rFonts w:ascii="宋体" w:hAnsi="宋体" w:eastAsia="宋体" w:cs="Times New Roman"/>
                <w:color w:val="auto"/>
                <w:kern w:val="0"/>
                <w:szCs w:val="21"/>
                <w:highlight w:val="none"/>
              </w:rPr>
              <w:t>授权直接确定中标人</w:t>
            </w:r>
            <w:r>
              <w:rPr>
                <w:rFonts w:ascii="宋体" w:hAnsi="宋体" w:eastAsia="宋体" w:cs="Times New Roman"/>
                <w:color w:val="auto"/>
                <w:spacing w:val="-31"/>
                <w:kern w:val="0"/>
                <w:szCs w:val="21"/>
                <w:highlight w:val="none"/>
              </w:rPr>
              <w:t>。</w:t>
            </w:r>
            <w:r>
              <w:rPr>
                <w:rFonts w:ascii="宋体" w:hAnsi="宋体" w:eastAsia="宋体" w:cs="Times New Roman"/>
                <w:color w:val="auto"/>
                <w:kern w:val="0"/>
                <w:szCs w:val="21"/>
                <w:highlight w:val="none"/>
              </w:rPr>
              <w:t>综合评分相等时</w:t>
            </w:r>
            <w:r>
              <w:rPr>
                <w:rFonts w:ascii="宋体" w:hAnsi="宋体" w:eastAsia="宋体" w:cs="Times New Roman"/>
                <w:color w:val="auto"/>
                <w:spacing w:val="-31"/>
                <w:kern w:val="0"/>
                <w:szCs w:val="21"/>
                <w:highlight w:val="none"/>
              </w:rPr>
              <w:t>，</w:t>
            </w:r>
            <w:r>
              <w:rPr>
                <w:rFonts w:ascii="宋体" w:hAnsi="宋体" w:eastAsia="宋体" w:cs="Times New Roman"/>
                <w:color w:val="auto"/>
                <w:kern w:val="0"/>
                <w:szCs w:val="21"/>
                <w:highlight w:val="none"/>
              </w:rPr>
              <w:t>以</w:t>
            </w:r>
            <w:r>
              <w:rPr>
                <w:rFonts w:hint="eastAsia" w:ascii="宋体" w:hAnsi="宋体" w:eastAsia="宋体" w:cs="Times New Roman"/>
                <w:color w:val="auto"/>
                <w:kern w:val="0"/>
                <w:szCs w:val="21"/>
                <w:highlight w:val="none"/>
                <w:lang w:eastAsia="zh-CN"/>
              </w:rPr>
              <w:t>竞标报价</w:t>
            </w:r>
            <w:r>
              <w:rPr>
                <w:rFonts w:ascii="宋体" w:hAnsi="宋体" w:eastAsia="宋体" w:cs="Times New Roman"/>
                <w:color w:val="auto"/>
                <w:kern w:val="0"/>
                <w:szCs w:val="21"/>
                <w:highlight w:val="none"/>
              </w:rPr>
              <w:t>低的优先；</w:t>
            </w:r>
            <w:r>
              <w:rPr>
                <w:rFonts w:hint="eastAsia" w:ascii="宋体" w:hAnsi="宋体" w:eastAsia="宋体" w:cs="Times New Roman"/>
                <w:color w:val="auto"/>
                <w:kern w:val="0"/>
                <w:szCs w:val="21"/>
                <w:highlight w:val="none"/>
                <w:lang w:eastAsia="zh-CN"/>
              </w:rPr>
              <w:t>竞标报价</w:t>
            </w:r>
            <w:r>
              <w:rPr>
                <w:rFonts w:ascii="宋体" w:hAnsi="宋体" w:eastAsia="宋体" w:cs="Times New Roman"/>
                <w:color w:val="auto"/>
                <w:kern w:val="0"/>
                <w:szCs w:val="21"/>
                <w:highlight w:val="none"/>
              </w:rPr>
              <w:t>相等的</w:t>
            </w:r>
            <w:r>
              <w:rPr>
                <w:rFonts w:hint="eastAsia" w:ascii="宋体" w:hAnsi="宋体" w:eastAsia="宋体" w:cs="Times New Roman"/>
                <w:color w:val="auto"/>
                <w:kern w:val="0"/>
                <w:szCs w:val="21"/>
                <w:highlight w:val="none"/>
              </w:rPr>
              <w:t>，由</w:t>
            </w:r>
            <w:r>
              <w:rPr>
                <w:rFonts w:hint="eastAsia" w:ascii="宋体" w:hAnsi="宋体" w:eastAsia="宋体" w:cs="Times New Roman"/>
                <w:color w:val="auto"/>
                <w:kern w:val="0"/>
                <w:szCs w:val="21"/>
                <w:highlight w:val="none"/>
                <w:lang w:eastAsia="zh-CN"/>
              </w:rPr>
              <w:t>评审小组</w:t>
            </w:r>
            <w:r>
              <w:rPr>
                <w:rFonts w:hint="eastAsia" w:ascii="宋体" w:hAnsi="宋体" w:eastAsia="宋体" w:cs="Times New Roman"/>
                <w:color w:val="auto"/>
                <w:kern w:val="0"/>
                <w:szCs w:val="21"/>
                <w:highlight w:val="none"/>
              </w:rPr>
              <w:t>按照</w:t>
            </w:r>
            <w:r>
              <w:rPr>
                <w:rFonts w:hint="eastAsia" w:ascii="宋体" w:hAnsi="宋体" w:eastAsia="宋体" w:cs="Times New Roman"/>
                <w:color w:val="auto"/>
                <w:kern w:val="0"/>
                <w:szCs w:val="21"/>
                <w:highlight w:val="none"/>
                <w:u w:val="single"/>
                <w:lang w:val="en-US" w:eastAsia="zh-CN"/>
              </w:rPr>
              <w:t>技术方案得分高的优先</w:t>
            </w:r>
            <w:r>
              <w:rPr>
                <w:rFonts w:hint="eastAsia" w:ascii="宋体" w:hAnsi="宋体" w:eastAsia="宋体" w:cs="Times New Roman"/>
                <w:color w:val="auto"/>
                <w:kern w:val="0"/>
                <w:szCs w:val="21"/>
                <w:highlight w:val="none"/>
              </w:rPr>
              <w:t>原则排序。</w:t>
            </w:r>
          </w:p>
        </w:tc>
      </w:tr>
      <w:tr w14:paraId="3EC826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restart"/>
            <w:noWrap w:val="0"/>
            <w:vAlign w:val="center"/>
          </w:tcPr>
          <w:p w14:paraId="296366AF">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2.1.1</w:t>
            </w:r>
          </w:p>
        </w:tc>
        <w:tc>
          <w:tcPr>
            <w:tcW w:w="666" w:type="dxa"/>
            <w:vMerge w:val="restart"/>
            <w:noWrap w:val="0"/>
            <w:vAlign w:val="center"/>
          </w:tcPr>
          <w:p w14:paraId="7155037B">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形式评审标准</w:t>
            </w:r>
          </w:p>
        </w:tc>
        <w:tc>
          <w:tcPr>
            <w:tcW w:w="2558" w:type="dxa"/>
            <w:gridSpan w:val="3"/>
            <w:noWrap w:val="0"/>
            <w:vAlign w:val="center"/>
          </w:tcPr>
          <w:p w14:paraId="66FC74CA">
            <w:pPr>
              <w:spacing w:line="400" w:lineRule="exact"/>
              <w:jc w:val="center"/>
              <w:rPr>
                <w:rFonts w:ascii="宋体" w:hAnsi="宋体" w:eastAsia="宋体" w:cs="Times New Roman"/>
                <w:color w:val="auto"/>
                <w:kern w:val="0"/>
                <w:highlight w:val="none"/>
              </w:rPr>
            </w:pPr>
            <w:r>
              <w:rPr>
                <w:rFonts w:hint="eastAsia" w:ascii="宋体" w:hAnsi="宋体" w:eastAsia="宋体" w:cs="Times New Roman"/>
                <w:color w:val="auto"/>
                <w:kern w:val="0"/>
                <w:highlight w:val="none"/>
                <w:lang w:eastAsia="zh-CN"/>
              </w:rPr>
              <w:t>竞标</w:t>
            </w:r>
            <w:r>
              <w:rPr>
                <w:rFonts w:ascii="宋体" w:hAnsi="宋体" w:eastAsia="宋体" w:cs="Times New Roman"/>
                <w:color w:val="auto"/>
                <w:kern w:val="0"/>
                <w:highlight w:val="none"/>
              </w:rPr>
              <w:t>人名称</w:t>
            </w:r>
          </w:p>
        </w:tc>
        <w:tc>
          <w:tcPr>
            <w:tcW w:w="5493" w:type="dxa"/>
            <w:noWrap w:val="0"/>
            <w:vAlign w:val="center"/>
          </w:tcPr>
          <w:p w14:paraId="281B4F18">
            <w:pPr>
              <w:spacing w:line="400" w:lineRule="exact"/>
              <w:ind w:firstLine="420" w:firstLineChars="200"/>
              <w:rPr>
                <w:rFonts w:ascii="宋体" w:hAnsi="宋体" w:eastAsia="宋体" w:cs="Times New Roman"/>
                <w:color w:val="auto"/>
                <w:kern w:val="0"/>
                <w:highlight w:val="none"/>
              </w:rPr>
            </w:pPr>
            <w:r>
              <w:rPr>
                <w:rFonts w:ascii="宋体" w:hAnsi="宋体" w:eastAsia="宋体" w:cs="Times New Roman"/>
                <w:color w:val="auto"/>
                <w:kern w:val="0"/>
                <w:highlight w:val="none"/>
              </w:rPr>
              <w:t>与营业执照一致。</w:t>
            </w:r>
          </w:p>
        </w:tc>
      </w:tr>
      <w:tr w14:paraId="36FEC5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noWrap w:val="0"/>
            <w:vAlign w:val="top"/>
          </w:tcPr>
          <w:p w14:paraId="27B7254A">
            <w:pPr>
              <w:spacing w:line="400" w:lineRule="exact"/>
              <w:rPr>
                <w:rFonts w:ascii="宋体" w:hAnsi="宋体" w:eastAsia="宋体" w:cs="Times New Roman"/>
                <w:color w:val="auto"/>
                <w:highlight w:val="none"/>
              </w:rPr>
            </w:pPr>
          </w:p>
        </w:tc>
        <w:tc>
          <w:tcPr>
            <w:tcW w:w="666" w:type="dxa"/>
            <w:vMerge w:val="continue"/>
            <w:noWrap w:val="0"/>
            <w:vAlign w:val="top"/>
          </w:tcPr>
          <w:p w14:paraId="65C271ED">
            <w:pPr>
              <w:spacing w:line="400" w:lineRule="exact"/>
              <w:rPr>
                <w:rFonts w:ascii="宋体" w:hAnsi="宋体" w:eastAsia="宋体" w:cs="Times New Roman"/>
                <w:color w:val="auto"/>
                <w:highlight w:val="none"/>
              </w:rPr>
            </w:pPr>
          </w:p>
        </w:tc>
        <w:tc>
          <w:tcPr>
            <w:tcW w:w="2558" w:type="dxa"/>
            <w:gridSpan w:val="3"/>
            <w:noWrap w:val="0"/>
            <w:vAlign w:val="center"/>
          </w:tcPr>
          <w:p w14:paraId="456543CE">
            <w:pPr>
              <w:spacing w:line="400" w:lineRule="exact"/>
              <w:jc w:val="center"/>
              <w:rPr>
                <w:rFonts w:ascii="宋体" w:hAnsi="宋体" w:eastAsia="宋体" w:cs="Times New Roman"/>
                <w:color w:val="auto"/>
                <w:kern w:val="0"/>
                <w:highlight w:val="none"/>
              </w:rPr>
            </w:pPr>
            <w:r>
              <w:rPr>
                <w:rFonts w:hint="eastAsia" w:ascii="宋体" w:hAnsi="宋体" w:eastAsia="宋体" w:cs="Times New Roman"/>
                <w:color w:val="auto"/>
                <w:kern w:val="0"/>
                <w:highlight w:val="none"/>
                <w:lang w:eastAsia="zh-CN"/>
              </w:rPr>
              <w:t>竞标函</w:t>
            </w:r>
            <w:r>
              <w:rPr>
                <w:rFonts w:ascii="宋体" w:hAnsi="宋体" w:eastAsia="宋体" w:cs="Times New Roman"/>
                <w:color w:val="auto"/>
                <w:kern w:val="0"/>
                <w:highlight w:val="none"/>
              </w:rPr>
              <w:t>签字盖章</w:t>
            </w:r>
          </w:p>
        </w:tc>
        <w:tc>
          <w:tcPr>
            <w:tcW w:w="5493" w:type="dxa"/>
            <w:noWrap w:val="0"/>
            <w:vAlign w:val="center"/>
          </w:tcPr>
          <w:p w14:paraId="235DACD0">
            <w:pPr>
              <w:spacing w:line="400" w:lineRule="exact"/>
              <w:ind w:firstLine="420" w:firstLineChars="200"/>
              <w:rPr>
                <w:rFonts w:ascii="宋体" w:hAnsi="宋体" w:eastAsia="宋体" w:cs="Times New Roman"/>
                <w:color w:val="auto"/>
                <w:kern w:val="0"/>
                <w:highlight w:val="none"/>
              </w:rPr>
            </w:pPr>
            <w:r>
              <w:rPr>
                <w:rFonts w:ascii="宋体" w:hAnsi="宋体" w:eastAsia="宋体" w:cs="Times New Roman"/>
                <w:color w:val="auto"/>
                <w:kern w:val="0"/>
                <w:highlight w:val="none"/>
              </w:rPr>
              <w:t>有法定代表人或其委托代理人签字（或盖章）、加盖单位法人章。</w:t>
            </w:r>
          </w:p>
        </w:tc>
      </w:tr>
      <w:tr w14:paraId="4E8117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noWrap w:val="0"/>
            <w:vAlign w:val="top"/>
          </w:tcPr>
          <w:p w14:paraId="724176EF">
            <w:pPr>
              <w:spacing w:line="400" w:lineRule="exact"/>
              <w:rPr>
                <w:rFonts w:ascii="宋体" w:hAnsi="宋体" w:eastAsia="宋体" w:cs="Times New Roman"/>
                <w:color w:val="auto"/>
                <w:highlight w:val="none"/>
              </w:rPr>
            </w:pPr>
          </w:p>
        </w:tc>
        <w:tc>
          <w:tcPr>
            <w:tcW w:w="666" w:type="dxa"/>
            <w:vMerge w:val="continue"/>
            <w:noWrap w:val="0"/>
            <w:vAlign w:val="top"/>
          </w:tcPr>
          <w:p w14:paraId="0F2722FC">
            <w:pPr>
              <w:spacing w:line="400" w:lineRule="exact"/>
              <w:rPr>
                <w:rFonts w:ascii="宋体" w:hAnsi="宋体" w:eastAsia="宋体" w:cs="Times New Roman"/>
                <w:color w:val="auto"/>
                <w:highlight w:val="none"/>
              </w:rPr>
            </w:pPr>
          </w:p>
        </w:tc>
        <w:tc>
          <w:tcPr>
            <w:tcW w:w="2558" w:type="dxa"/>
            <w:gridSpan w:val="3"/>
            <w:noWrap w:val="0"/>
            <w:vAlign w:val="center"/>
          </w:tcPr>
          <w:p w14:paraId="1CC0B815">
            <w:pPr>
              <w:spacing w:line="400" w:lineRule="exact"/>
              <w:jc w:val="center"/>
              <w:rPr>
                <w:rFonts w:ascii="宋体" w:hAnsi="宋体" w:eastAsia="宋体" w:cs="Times New Roman"/>
                <w:color w:val="auto"/>
                <w:kern w:val="0"/>
                <w:highlight w:val="none"/>
              </w:rPr>
            </w:pPr>
            <w:r>
              <w:rPr>
                <w:rFonts w:hint="eastAsia" w:ascii="宋体" w:hAnsi="宋体" w:eastAsia="宋体" w:cs="Times New Roman"/>
                <w:color w:val="auto"/>
                <w:kern w:val="0"/>
                <w:highlight w:val="none"/>
                <w:lang w:eastAsia="zh-CN"/>
              </w:rPr>
              <w:t>竞标文件</w:t>
            </w:r>
            <w:r>
              <w:rPr>
                <w:rFonts w:ascii="宋体" w:hAnsi="宋体" w:eastAsia="宋体" w:cs="Times New Roman"/>
                <w:color w:val="auto"/>
                <w:kern w:val="0"/>
                <w:highlight w:val="none"/>
              </w:rPr>
              <w:t>格式</w:t>
            </w:r>
          </w:p>
        </w:tc>
        <w:tc>
          <w:tcPr>
            <w:tcW w:w="5493" w:type="dxa"/>
            <w:noWrap w:val="0"/>
            <w:vAlign w:val="center"/>
          </w:tcPr>
          <w:p w14:paraId="215F7D5F">
            <w:pPr>
              <w:spacing w:line="400" w:lineRule="exact"/>
              <w:ind w:firstLine="420" w:firstLineChars="200"/>
              <w:rPr>
                <w:rFonts w:ascii="宋体" w:hAnsi="宋体" w:eastAsia="宋体" w:cs="Times New Roman"/>
                <w:color w:val="auto"/>
                <w:kern w:val="0"/>
                <w:highlight w:val="none"/>
              </w:rPr>
            </w:pPr>
            <w:r>
              <w:rPr>
                <w:rFonts w:ascii="宋体" w:hAnsi="宋体" w:eastAsia="宋体" w:cs="Times New Roman"/>
                <w:color w:val="auto"/>
                <w:kern w:val="0"/>
                <w:highlight w:val="none"/>
              </w:rPr>
              <w:t>符合</w:t>
            </w:r>
            <w:r>
              <w:rPr>
                <w:rFonts w:hint="eastAsia" w:ascii="宋体" w:hAnsi="宋体" w:cs="Times New Roman"/>
                <w:color w:val="auto"/>
                <w:kern w:val="0"/>
                <w:highlight w:val="none"/>
                <w:lang w:eastAsia="zh-CN"/>
              </w:rPr>
              <w:t>第六章</w:t>
            </w:r>
            <w:r>
              <w:rPr>
                <w:rFonts w:ascii="宋体" w:hAnsi="宋体" w:eastAsia="宋体" w:cs="Times New Roman"/>
                <w:color w:val="auto"/>
                <w:kern w:val="0"/>
                <w:highlight w:val="none"/>
              </w:rPr>
              <w:t>“</w:t>
            </w:r>
            <w:r>
              <w:rPr>
                <w:rFonts w:hint="eastAsia" w:ascii="宋体" w:hAnsi="宋体" w:eastAsia="宋体" w:cs="Times New Roman"/>
                <w:color w:val="auto"/>
                <w:kern w:val="0"/>
                <w:highlight w:val="none"/>
                <w:lang w:eastAsia="zh-CN"/>
              </w:rPr>
              <w:t>竞标文件</w:t>
            </w:r>
            <w:r>
              <w:rPr>
                <w:rFonts w:ascii="宋体" w:hAnsi="宋体" w:eastAsia="宋体" w:cs="Times New Roman"/>
                <w:color w:val="auto"/>
                <w:kern w:val="0"/>
                <w:highlight w:val="none"/>
              </w:rPr>
              <w:t>格式”的要求。</w:t>
            </w:r>
          </w:p>
        </w:tc>
      </w:tr>
      <w:tr w14:paraId="1EBB3D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noWrap w:val="0"/>
            <w:vAlign w:val="top"/>
          </w:tcPr>
          <w:p w14:paraId="03974351">
            <w:pPr>
              <w:spacing w:line="400" w:lineRule="exact"/>
              <w:rPr>
                <w:rFonts w:ascii="宋体" w:hAnsi="宋体" w:eastAsia="宋体" w:cs="Times New Roman"/>
                <w:color w:val="auto"/>
                <w:highlight w:val="none"/>
              </w:rPr>
            </w:pPr>
          </w:p>
        </w:tc>
        <w:tc>
          <w:tcPr>
            <w:tcW w:w="666" w:type="dxa"/>
            <w:vMerge w:val="continue"/>
            <w:noWrap w:val="0"/>
            <w:vAlign w:val="top"/>
          </w:tcPr>
          <w:p w14:paraId="2A5BCE1D">
            <w:pPr>
              <w:spacing w:line="400" w:lineRule="exact"/>
              <w:rPr>
                <w:rFonts w:ascii="宋体" w:hAnsi="宋体" w:eastAsia="宋体" w:cs="Times New Roman"/>
                <w:color w:val="auto"/>
                <w:highlight w:val="none"/>
              </w:rPr>
            </w:pPr>
          </w:p>
        </w:tc>
        <w:tc>
          <w:tcPr>
            <w:tcW w:w="2558" w:type="dxa"/>
            <w:gridSpan w:val="3"/>
            <w:noWrap w:val="0"/>
            <w:vAlign w:val="center"/>
          </w:tcPr>
          <w:p w14:paraId="4F4EC4FC">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报价唯一</w:t>
            </w:r>
          </w:p>
        </w:tc>
        <w:tc>
          <w:tcPr>
            <w:tcW w:w="5493" w:type="dxa"/>
            <w:noWrap w:val="0"/>
            <w:vAlign w:val="center"/>
          </w:tcPr>
          <w:p w14:paraId="7F12442E">
            <w:pPr>
              <w:spacing w:line="400" w:lineRule="exact"/>
              <w:ind w:firstLine="420" w:firstLineChars="200"/>
              <w:rPr>
                <w:rFonts w:ascii="宋体" w:hAnsi="宋体" w:eastAsia="宋体" w:cs="Times New Roman"/>
                <w:color w:val="auto"/>
                <w:kern w:val="0"/>
                <w:highlight w:val="none"/>
              </w:rPr>
            </w:pPr>
            <w:r>
              <w:rPr>
                <w:rFonts w:ascii="宋体" w:hAnsi="宋体" w:eastAsia="宋体" w:cs="Times New Roman"/>
                <w:color w:val="auto"/>
                <w:kern w:val="0"/>
                <w:highlight w:val="none"/>
              </w:rPr>
              <w:t>只能有一个有效报价，在招标文件没有规定的情况下，不得提交选择性报价。</w:t>
            </w:r>
          </w:p>
        </w:tc>
      </w:tr>
      <w:tr w14:paraId="0CDEECF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noWrap w:val="0"/>
            <w:vAlign w:val="top"/>
          </w:tcPr>
          <w:p w14:paraId="1990E000">
            <w:pPr>
              <w:spacing w:line="400" w:lineRule="exact"/>
              <w:rPr>
                <w:rFonts w:ascii="宋体" w:hAnsi="宋体" w:eastAsia="宋体" w:cs="Times New Roman"/>
                <w:color w:val="auto"/>
                <w:highlight w:val="none"/>
              </w:rPr>
            </w:pPr>
          </w:p>
        </w:tc>
        <w:tc>
          <w:tcPr>
            <w:tcW w:w="666" w:type="dxa"/>
            <w:vMerge w:val="continue"/>
            <w:noWrap w:val="0"/>
            <w:vAlign w:val="top"/>
          </w:tcPr>
          <w:p w14:paraId="4C09F32B">
            <w:pPr>
              <w:spacing w:line="400" w:lineRule="exact"/>
              <w:rPr>
                <w:rFonts w:ascii="宋体" w:hAnsi="宋体" w:eastAsia="宋体" w:cs="Times New Roman"/>
                <w:color w:val="auto"/>
                <w:highlight w:val="none"/>
              </w:rPr>
            </w:pPr>
          </w:p>
        </w:tc>
        <w:tc>
          <w:tcPr>
            <w:tcW w:w="2558" w:type="dxa"/>
            <w:gridSpan w:val="3"/>
            <w:noWrap w:val="0"/>
            <w:vAlign w:val="center"/>
          </w:tcPr>
          <w:p w14:paraId="7727CB6B">
            <w:pPr>
              <w:spacing w:line="400" w:lineRule="exact"/>
              <w:jc w:val="center"/>
              <w:rPr>
                <w:rFonts w:ascii="宋体" w:hAnsi="宋体" w:eastAsia="宋体" w:cs="Times New Roman"/>
                <w:color w:val="auto"/>
                <w:kern w:val="0"/>
                <w:highlight w:val="none"/>
              </w:rPr>
            </w:pPr>
            <w:r>
              <w:rPr>
                <w:rFonts w:hint="eastAsia" w:ascii="宋体" w:hAnsi="宋体" w:eastAsia="宋体" w:cs="Times New Roman"/>
                <w:color w:val="auto"/>
                <w:kern w:val="0"/>
                <w:highlight w:val="none"/>
                <w:lang w:eastAsia="zh-CN"/>
              </w:rPr>
              <w:t>竞标文件</w:t>
            </w:r>
            <w:r>
              <w:rPr>
                <w:rFonts w:ascii="宋体" w:hAnsi="宋体" w:eastAsia="宋体" w:cs="Times New Roman"/>
                <w:color w:val="auto"/>
                <w:kern w:val="0"/>
                <w:highlight w:val="none"/>
              </w:rPr>
              <w:t>的签署</w:t>
            </w:r>
          </w:p>
        </w:tc>
        <w:tc>
          <w:tcPr>
            <w:tcW w:w="5493" w:type="dxa"/>
            <w:noWrap w:val="0"/>
            <w:vAlign w:val="center"/>
          </w:tcPr>
          <w:p w14:paraId="07EFDC12">
            <w:pPr>
              <w:spacing w:line="400" w:lineRule="exact"/>
              <w:ind w:firstLine="420" w:firstLineChars="200"/>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lang w:eastAsia="zh-CN"/>
              </w:rPr>
              <w:t>竞标文件</w:t>
            </w:r>
            <w:r>
              <w:rPr>
                <w:rFonts w:ascii="宋体" w:hAnsi="宋体" w:eastAsia="宋体" w:cs="Times New Roman"/>
                <w:color w:val="auto"/>
                <w:kern w:val="0"/>
                <w:highlight w:val="none"/>
              </w:rPr>
              <w:t>上法定代表人或其委托代理人的签字（或盖章）齐全。</w:t>
            </w:r>
          </w:p>
        </w:tc>
      </w:tr>
      <w:tr w14:paraId="3AF9F16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noWrap w:val="0"/>
            <w:vAlign w:val="top"/>
          </w:tcPr>
          <w:p w14:paraId="6ED80DEF">
            <w:pPr>
              <w:spacing w:line="400" w:lineRule="exact"/>
              <w:rPr>
                <w:rFonts w:ascii="宋体" w:hAnsi="宋体" w:eastAsia="宋体" w:cs="Times New Roman"/>
                <w:color w:val="auto"/>
                <w:highlight w:val="none"/>
              </w:rPr>
            </w:pPr>
          </w:p>
        </w:tc>
        <w:tc>
          <w:tcPr>
            <w:tcW w:w="666" w:type="dxa"/>
            <w:vMerge w:val="continue"/>
            <w:noWrap w:val="0"/>
            <w:vAlign w:val="top"/>
          </w:tcPr>
          <w:p w14:paraId="74D0D849">
            <w:pPr>
              <w:spacing w:line="400" w:lineRule="exact"/>
              <w:rPr>
                <w:rFonts w:ascii="宋体" w:hAnsi="宋体" w:eastAsia="宋体" w:cs="Times New Roman"/>
                <w:color w:val="auto"/>
                <w:highlight w:val="none"/>
              </w:rPr>
            </w:pPr>
          </w:p>
        </w:tc>
        <w:tc>
          <w:tcPr>
            <w:tcW w:w="2558" w:type="dxa"/>
            <w:gridSpan w:val="3"/>
            <w:noWrap w:val="0"/>
            <w:vAlign w:val="center"/>
          </w:tcPr>
          <w:p w14:paraId="13A8B57E">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委托代理人</w:t>
            </w:r>
          </w:p>
        </w:tc>
        <w:tc>
          <w:tcPr>
            <w:tcW w:w="5493" w:type="dxa"/>
            <w:noWrap w:val="0"/>
            <w:vAlign w:val="center"/>
          </w:tcPr>
          <w:p w14:paraId="09141757">
            <w:pPr>
              <w:spacing w:line="400" w:lineRule="exact"/>
              <w:ind w:firstLine="420" w:firstLineChars="200"/>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lang w:eastAsia="zh-CN"/>
              </w:rPr>
              <w:t>竞标</w:t>
            </w:r>
            <w:r>
              <w:rPr>
                <w:rFonts w:ascii="宋体" w:hAnsi="宋体" w:eastAsia="宋体" w:cs="Times New Roman"/>
                <w:color w:val="auto"/>
                <w:kern w:val="0"/>
                <w:highlight w:val="none"/>
              </w:rPr>
              <w:t>人法定代表人的委托代理人有法定代表人签署的授权委托书。</w:t>
            </w:r>
          </w:p>
        </w:tc>
      </w:tr>
      <w:tr w14:paraId="17F915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restart"/>
            <w:noWrap w:val="0"/>
            <w:vAlign w:val="center"/>
          </w:tcPr>
          <w:p w14:paraId="7B7FA8DD">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2.1.2</w:t>
            </w:r>
          </w:p>
        </w:tc>
        <w:tc>
          <w:tcPr>
            <w:tcW w:w="666" w:type="dxa"/>
            <w:vMerge w:val="restart"/>
            <w:noWrap w:val="0"/>
            <w:vAlign w:val="center"/>
          </w:tcPr>
          <w:p w14:paraId="0D70CADC">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资格评审标准</w:t>
            </w:r>
          </w:p>
        </w:tc>
        <w:tc>
          <w:tcPr>
            <w:tcW w:w="2558" w:type="dxa"/>
            <w:gridSpan w:val="3"/>
            <w:tcBorders>
              <w:bottom w:val="single" w:color="auto" w:sz="4" w:space="0"/>
            </w:tcBorders>
            <w:noWrap w:val="0"/>
            <w:vAlign w:val="center"/>
          </w:tcPr>
          <w:p w14:paraId="6CA485D3">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营业执照</w:t>
            </w:r>
          </w:p>
        </w:tc>
        <w:tc>
          <w:tcPr>
            <w:tcW w:w="5493" w:type="dxa"/>
            <w:noWrap w:val="0"/>
            <w:vAlign w:val="center"/>
          </w:tcPr>
          <w:p w14:paraId="6B6919E4">
            <w:pPr>
              <w:spacing w:line="400" w:lineRule="exact"/>
              <w:ind w:firstLine="420" w:firstLineChars="200"/>
              <w:rPr>
                <w:rFonts w:ascii="宋体" w:hAnsi="宋体" w:eastAsia="宋体" w:cs="Times New Roman"/>
                <w:color w:val="auto"/>
                <w:kern w:val="0"/>
                <w:highlight w:val="none"/>
              </w:rPr>
            </w:pPr>
            <w:r>
              <w:rPr>
                <w:rFonts w:ascii="宋体" w:hAnsi="宋体" w:eastAsia="宋体" w:cs="Times New Roman"/>
                <w:color w:val="auto"/>
                <w:kern w:val="0"/>
                <w:highlight w:val="none"/>
              </w:rPr>
              <w:t>符合第二章“</w:t>
            </w:r>
            <w:r>
              <w:rPr>
                <w:rFonts w:hint="eastAsia" w:ascii="宋体" w:hAnsi="宋体" w:eastAsia="宋体" w:cs="Times New Roman"/>
                <w:color w:val="auto"/>
                <w:kern w:val="0"/>
                <w:highlight w:val="none"/>
                <w:lang w:eastAsia="zh-CN"/>
              </w:rPr>
              <w:t>竞标</w:t>
            </w:r>
            <w:r>
              <w:rPr>
                <w:rFonts w:ascii="宋体" w:hAnsi="宋体" w:eastAsia="宋体" w:cs="Times New Roman"/>
                <w:color w:val="auto"/>
                <w:kern w:val="0"/>
                <w:highlight w:val="none"/>
              </w:rPr>
              <w:t>人须知”第1.4.1项规定。</w:t>
            </w:r>
          </w:p>
        </w:tc>
      </w:tr>
      <w:tr w14:paraId="47B6CD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noWrap w:val="0"/>
            <w:vAlign w:val="top"/>
          </w:tcPr>
          <w:p w14:paraId="059A2D67">
            <w:pPr>
              <w:spacing w:line="400" w:lineRule="exact"/>
              <w:rPr>
                <w:rFonts w:ascii="宋体" w:hAnsi="宋体" w:eastAsia="宋体" w:cs="Times New Roman"/>
                <w:color w:val="auto"/>
                <w:highlight w:val="none"/>
              </w:rPr>
            </w:pPr>
          </w:p>
        </w:tc>
        <w:tc>
          <w:tcPr>
            <w:tcW w:w="666" w:type="dxa"/>
            <w:vMerge w:val="continue"/>
            <w:noWrap w:val="0"/>
            <w:vAlign w:val="top"/>
          </w:tcPr>
          <w:p w14:paraId="78B7C0D0">
            <w:pPr>
              <w:spacing w:line="400" w:lineRule="exact"/>
              <w:rPr>
                <w:rFonts w:ascii="宋体" w:hAnsi="宋体" w:eastAsia="宋体" w:cs="Times New Roman"/>
                <w:color w:val="auto"/>
                <w:highlight w:val="none"/>
              </w:rPr>
            </w:pPr>
          </w:p>
        </w:tc>
        <w:tc>
          <w:tcPr>
            <w:tcW w:w="2558" w:type="dxa"/>
            <w:gridSpan w:val="3"/>
            <w:tcBorders>
              <w:top w:val="single" w:color="auto" w:sz="4" w:space="0"/>
              <w:bottom w:val="single" w:color="auto" w:sz="4" w:space="0"/>
            </w:tcBorders>
            <w:noWrap w:val="0"/>
            <w:vAlign w:val="top"/>
          </w:tcPr>
          <w:p w14:paraId="5F907435">
            <w:pPr>
              <w:spacing w:line="400" w:lineRule="exact"/>
              <w:jc w:val="center"/>
              <w:rPr>
                <w:rFonts w:ascii="宋体" w:hAnsi="宋体" w:eastAsia="宋体" w:cs="Times New Roman"/>
                <w:color w:val="auto"/>
                <w:kern w:val="0"/>
                <w:highlight w:val="none"/>
              </w:rPr>
            </w:pPr>
            <w:r>
              <w:rPr>
                <w:rFonts w:hint="eastAsia" w:ascii="宋体" w:hAnsi="宋体" w:eastAsia="宋体" w:cs="Times New Roman"/>
                <w:color w:val="auto"/>
                <w:szCs w:val="21"/>
                <w:highlight w:val="none"/>
                <w:lang w:eastAsia="zh-CN"/>
              </w:rPr>
              <w:t>竞标</w:t>
            </w:r>
            <w:r>
              <w:rPr>
                <w:rFonts w:ascii="宋体" w:hAnsi="宋体" w:eastAsia="宋体" w:cs="Times New Roman"/>
                <w:color w:val="auto"/>
                <w:szCs w:val="21"/>
                <w:highlight w:val="none"/>
              </w:rPr>
              <w:t>截止日</w:t>
            </w:r>
            <w:r>
              <w:rPr>
                <w:rFonts w:hint="eastAsia" w:ascii="宋体" w:hAnsi="宋体" w:eastAsia="宋体" w:cs="Times New Roman"/>
                <w:color w:val="auto"/>
                <w:szCs w:val="21"/>
                <w:highlight w:val="none"/>
                <w:lang w:eastAsia="zh-CN"/>
              </w:rPr>
              <w:t>竞标</w:t>
            </w:r>
            <w:r>
              <w:rPr>
                <w:rFonts w:ascii="宋体" w:hAnsi="宋体" w:eastAsia="宋体" w:cs="Times New Roman"/>
                <w:color w:val="auto"/>
                <w:szCs w:val="21"/>
                <w:highlight w:val="none"/>
              </w:rPr>
              <w:t>资格情况</w:t>
            </w:r>
          </w:p>
        </w:tc>
        <w:tc>
          <w:tcPr>
            <w:tcW w:w="5493" w:type="dxa"/>
            <w:noWrap w:val="0"/>
            <w:vAlign w:val="center"/>
          </w:tcPr>
          <w:p w14:paraId="2ED683CF">
            <w:pPr>
              <w:spacing w:line="400" w:lineRule="exact"/>
              <w:ind w:firstLine="420" w:firstLineChars="200"/>
              <w:rPr>
                <w:rFonts w:ascii="宋体" w:hAnsi="宋体" w:eastAsia="宋体" w:cs="Times New Roman"/>
                <w:color w:val="auto"/>
                <w:kern w:val="0"/>
                <w:highlight w:val="none"/>
              </w:rPr>
            </w:pPr>
            <w:r>
              <w:rPr>
                <w:rFonts w:ascii="宋体" w:hAnsi="宋体" w:eastAsia="宋体" w:cs="Times New Roman"/>
                <w:color w:val="auto"/>
                <w:kern w:val="0"/>
                <w:highlight w:val="none"/>
              </w:rPr>
              <w:t>符合第二章“</w:t>
            </w:r>
            <w:r>
              <w:rPr>
                <w:rFonts w:hint="eastAsia" w:ascii="宋体" w:hAnsi="宋体" w:eastAsia="宋体" w:cs="Times New Roman"/>
                <w:color w:val="auto"/>
                <w:kern w:val="0"/>
                <w:highlight w:val="none"/>
                <w:lang w:eastAsia="zh-CN"/>
              </w:rPr>
              <w:t>竞标</w:t>
            </w:r>
            <w:r>
              <w:rPr>
                <w:rFonts w:ascii="宋体" w:hAnsi="宋体" w:eastAsia="宋体" w:cs="Times New Roman"/>
                <w:color w:val="auto"/>
                <w:kern w:val="0"/>
                <w:highlight w:val="none"/>
              </w:rPr>
              <w:t>人须知”第1.4.1项规定</w:t>
            </w:r>
          </w:p>
        </w:tc>
      </w:tr>
      <w:tr w14:paraId="1255BB4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noWrap w:val="0"/>
            <w:vAlign w:val="top"/>
          </w:tcPr>
          <w:p w14:paraId="7D54CEC7">
            <w:pPr>
              <w:spacing w:line="400" w:lineRule="exact"/>
              <w:rPr>
                <w:rFonts w:ascii="宋体" w:hAnsi="宋体" w:eastAsia="宋体" w:cs="Times New Roman"/>
                <w:color w:val="auto"/>
                <w:highlight w:val="none"/>
              </w:rPr>
            </w:pPr>
          </w:p>
        </w:tc>
        <w:tc>
          <w:tcPr>
            <w:tcW w:w="666" w:type="dxa"/>
            <w:vMerge w:val="continue"/>
            <w:noWrap w:val="0"/>
            <w:vAlign w:val="top"/>
          </w:tcPr>
          <w:p w14:paraId="749E785D">
            <w:pPr>
              <w:spacing w:line="400" w:lineRule="exact"/>
              <w:rPr>
                <w:rFonts w:ascii="宋体" w:hAnsi="宋体" w:eastAsia="宋体" w:cs="Times New Roman"/>
                <w:color w:val="auto"/>
                <w:highlight w:val="none"/>
              </w:rPr>
            </w:pPr>
          </w:p>
        </w:tc>
        <w:tc>
          <w:tcPr>
            <w:tcW w:w="2558" w:type="dxa"/>
            <w:gridSpan w:val="3"/>
            <w:tcBorders>
              <w:top w:val="single" w:color="auto" w:sz="4" w:space="0"/>
              <w:bottom w:val="single" w:color="auto" w:sz="4" w:space="0"/>
            </w:tcBorders>
            <w:noWrap w:val="0"/>
            <w:vAlign w:val="top"/>
          </w:tcPr>
          <w:p w14:paraId="5F03401F">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其他要求</w:t>
            </w:r>
          </w:p>
        </w:tc>
        <w:tc>
          <w:tcPr>
            <w:tcW w:w="5493" w:type="dxa"/>
            <w:noWrap w:val="0"/>
            <w:vAlign w:val="center"/>
          </w:tcPr>
          <w:p w14:paraId="3B0743FD">
            <w:pPr>
              <w:spacing w:line="400" w:lineRule="exact"/>
              <w:ind w:firstLine="420" w:firstLineChars="200"/>
              <w:rPr>
                <w:rFonts w:ascii="宋体" w:hAnsi="宋体" w:eastAsia="宋体" w:cs="Times New Roman"/>
                <w:color w:val="auto"/>
                <w:kern w:val="0"/>
                <w:highlight w:val="none"/>
              </w:rPr>
            </w:pPr>
            <w:r>
              <w:rPr>
                <w:rFonts w:ascii="宋体" w:hAnsi="宋体" w:eastAsia="宋体" w:cs="Times New Roman"/>
                <w:color w:val="auto"/>
                <w:kern w:val="0"/>
                <w:highlight w:val="none"/>
              </w:rPr>
              <w:t>符合第二章“</w:t>
            </w:r>
            <w:r>
              <w:rPr>
                <w:rFonts w:hint="eastAsia" w:ascii="宋体" w:hAnsi="宋体" w:eastAsia="宋体" w:cs="Times New Roman"/>
                <w:color w:val="auto"/>
                <w:kern w:val="0"/>
                <w:highlight w:val="none"/>
                <w:lang w:eastAsia="zh-CN"/>
              </w:rPr>
              <w:t>竞标</w:t>
            </w:r>
            <w:r>
              <w:rPr>
                <w:rFonts w:ascii="宋体" w:hAnsi="宋体" w:eastAsia="宋体" w:cs="Times New Roman"/>
                <w:color w:val="auto"/>
                <w:kern w:val="0"/>
                <w:highlight w:val="none"/>
              </w:rPr>
              <w:t>人须知”第1.4.1项规定</w:t>
            </w:r>
          </w:p>
        </w:tc>
      </w:tr>
      <w:tr w14:paraId="2CBC1F9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restart"/>
            <w:noWrap w:val="0"/>
            <w:vAlign w:val="center"/>
          </w:tcPr>
          <w:p w14:paraId="797B41BA">
            <w:pPr>
              <w:spacing w:line="400" w:lineRule="exact"/>
              <w:jc w:val="center"/>
              <w:rPr>
                <w:rFonts w:ascii="宋体" w:hAnsi="宋体" w:eastAsia="宋体" w:cs="Times New Roman"/>
                <w:color w:val="auto"/>
                <w:highlight w:val="none"/>
              </w:rPr>
            </w:pPr>
            <w:r>
              <w:rPr>
                <w:rFonts w:ascii="宋体" w:hAnsi="宋体" w:eastAsia="宋体" w:cs="Times New Roman"/>
                <w:color w:val="auto"/>
                <w:kern w:val="0"/>
                <w:highlight w:val="none"/>
              </w:rPr>
              <w:t>2.1.3</w:t>
            </w:r>
          </w:p>
        </w:tc>
        <w:tc>
          <w:tcPr>
            <w:tcW w:w="666" w:type="dxa"/>
            <w:vMerge w:val="restart"/>
            <w:noWrap w:val="0"/>
            <w:vAlign w:val="center"/>
          </w:tcPr>
          <w:p w14:paraId="7D80A659">
            <w:pPr>
              <w:spacing w:line="400" w:lineRule="exact"/>
              <w:jc w:val="center"/>
              <w:rPr>
                <w:rFonts w:ascii="宋体" w:hAnsi="宋体" w:eastAsia="宋体" w:cs="Times New Roman"/>
                <w:color w:val="auto"/>
                <w:highlight w:val="none"/>
              </w:rPr>
            </w:pPr>
            <w:r>
              <w:rPr>
                <w:rFonts w:ascii="宋体" w:hAnsi="宋体" w:eastAsia="宋体" w:cs="Times New Roman"/>
                <w:color w:val="auto"/>
                <w:kern w:val="0"/>
                <w:highlight w:val="none"/>
              </w:rPr>
              <w:t>响应性评审标准</w:t>
            </w:r>
          </w:p>
        </w:tc>
        <w:tc>
          <w:tcPr>
            <w:tcW w:w="2558" w:type="dxa"/>
            <w:gridSpan w:val="3"/>
            <w:noWrap w:val="0"/>
            <w:vAlign w:val="center"/>
          </w:tcPr>
          <w:p w14:paraId="1F7C8CCE">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投标总报价</w:t>
            </w:r>
          </w:p>
        </w:tc>
        <w:tc>
          <w:tcPr>
            <w:tcW w:w="5493" w:type="dxa"/>
            <w:noWrap w:val="0"/>
            <w:vAlign w:val="center"/>
          </w:tcPr>
          <w:p w14:paraId="34C65464">
            <w:pPr>
              <w:spacing w:line="400" w:lineRule="exact"/>
              <w:ind w:firstLine="420" w:firstLineChars="200"/>
              <w:rPr>
                <w:rFonts w:ascii="宋体" w:hAnsi="宋体" w:eastAsia="宋体" w:cs="Times New Roman"/>
                <w:color w:val="auto"/>
                <w:kern w:val="0"/>
                <w:highlight w:val="none"/>
              </w:rPr>
            </w:pPr>
            <w:r>
              <w:rPr>
                <w:rFonts w:ascii="宋体" w:hAnsi="宋体" w:eastAsia="宋体" w:cs="Times New Roman"/>
                <w:color w:val="auto"/>
                <w:kern w:val="0"/>
                <w:highlight w:val="none"/>
              </w:rPr>
              <w:t>投标总报价不得高于</w:t>
            </w:r>
            <w:r>
              <w:rPr>
                <w:rFonts w:hint="eastAsia" w:ascii="宋体" w:hAnsi="宋体" w:eastAsia="宋体" w:cs="Times New Roman"/>
                <w:color w:val="auto"/>
                <w:kern w:val="0"/>
                <w:highlight w:val="none"/>
                <w:lang w:eastAsia="zh-CN"/>
              </w:rPr>
              <w:t>比选人</w:t>
            </w:r>
            <w:r>
              <w:rPr>
                <w:rFonts w:ascii="宋体" w:hAnsi="宋体" w:eastAsia="宋体" w:cs="Times New Roman"/>
                <w:color w:val="auto"/>
                <w:kern w:val="0"/>
                <w:highlight w:val="none"/>
              </w:rPr>
              <w:t>公布的投标总报价最高限价</w:t>
            </w:r>
            <w:r>
              <w:rPr>
                <w:rFonts w:hint="eastAsia" w:ascii="宋体" w:hAnsi="宋体" w:eastAsia="宋体" w:cs="Times New Roman"/>
                <w:color w:val="auto"/>
                <w:kern w:val="0"/>
                <w:highlight w:val="none"/>
              </w:rPr>
              <w:t>。</w:t>
            </w:r>
          </w:p>
        </w:tc>
      </w:tr>
      <w:tr w14:paraId="5B1E4B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noWrap w:val="0"/>
            <w:vAlign w:val="center"/>
          </w:tcPr>
          <w:p w14:paraId="69EAC224">
            <w:pPr>
              <w:spacing w:line="400" w:lineRule="exact"/>
              <w:jc w:val="center"/>
              <w:rPr>
                <w:rFonts w:ascii="宋体" w:hAnsi="宋体" w:eastAsia="宋体" w:cs="Times New Roman"/>
                <w:color w:val="auto"/>
                <w:kern w:val="0"/>
                <w:highlight w:val="none"/>
              </w:rPr>
            </w:pPr>
          </w:p>
        </w:tc>
        <w:tc>
          <w:tcPr>
            <w:tcW w:w="666" w:type="dxa"/>
            <w:vMerge w:val="continue"/>
            <w:noWrap w:val="0"/>
            <w:textDirection w:val="tbRlV"/>
            <w:vAlign w:val="center"/>
          </w:tcPr>
          <w:p w14:paraId="44F49106">
            <w:pPr>
              <w:spacing w:line="400" w:lineRule="exact"/>
              <w:jc w:val="center"/>
              <w:rPr>
                <w:rFonts w:ascii="宋体" w:hAnsi="宋体" w:eastAsia="宋体" w:cs="Times New Roman"/>
                <w:color w:val="auto"/>
                <w:kern w:val="0"/>
                <w:highlight w:val="none"/>
              </w:rPr>
            </w:pPr>
          </w:p>
        </w:tc>
        <w:tc>
          <w:tcPr>
            <w:tcW w:w="2558" w:type="dxa"/>
            <w:gridSpan w:val="3"/>
            <w:noWrap w:val="0"/>
            <w:vAlign w:val="center"/>
          </w:tcPr>
          <w:p w14:paraId="3AE96B25">
            <w:pPr>
              <w:spacing w:line="400" w:lineRule="exact"/>
              <w:jc w:val="center"/>
              <w:rPr>
                <w:rFonts w:ascii="宋体" w:hAnsi="宋体" w:eastAsia="宋体" w:cs="Times New Roman"/>
                <w:color w:val="auto"/>
                <w:kern w:val="0"/>
                <w:highlight w:val="none"/>
              </w:rPr>
            </w:pPr>
            <w:r>
              <w:rPr>
                <w:rFonts w:hint="eastAsia" w:ascii="宋体" w:hAnsi="宋体" w:eastAsia="宋体" w:cs="Times New Roman"/>
                <w:color w:val="auto"/>
                <w:kern w:val="0"/>
                <w:highlight w:val="none"/>
                <w:lang w:eastAsia="zh-CN"/>
              </w:rPr>
              <w:t>竞标</w:t>
            </w:r>
            <w:r>
              <w:rPr>
                <w:rFonts w:ascii="宋体" w:hAnsi="宋体" w:eastAsia="宋体" w:cs="Times New Roman"/>
                <w:color w:val="auto"/>
                <w:kern w:val="0"/>
                <w:highlight w:val="none"/>
              </w:rPr>
              <w:t>内容</w:t>
            </w:r>
          </w:p>
        </w:tc>
        <w:tc>
          <w:tcPr>
            <w:tcW w:w="5493" w:type="dxa"/>
            <w:noWrap w:val="0"/>
            <w:vAlign w:val="center"/>
          </w:tcPr>
          <w:p w14:paraId="3701FBD1">
            <w:pPr>
              <w:spacing w:line="400" w:lineRule="exact"/>
              <w:ind w:firstLine="420" w:firstLineChars="200"/>
              <w:jc w:val="left"/>
              <w:rPr>
                <w:rFonts w:ascii="宋体" w:hAnsi="宋体" w:eastAsia="宋体" w:cs="Times New Roman"/>
                <w:color w:val="auto"/>
                <w:kern w:val="0"/>
                <w:highlight w:val="none"/>
              </w:rPr>
            </w:pPr>
            <w:r>
              <w:rPr>
                <w:rFonts w:ascii="宋体" w:hAnsi="宋体" w:eastAsia="宋体" w:cs="Times New Roman"/>
                <w:color w:val="auto"/>
                <w:kern w:val="0"/>
                <w:highlight w:val="none"/>
              </w:rPr>
              <w:t>符合第二章“</w:t>
            </w:r>
            <w:r>
              <w:rPr>
                <w:rFonts w:hint="eastAsia" w:ascii="宋体" w:hAnsi="宋体" w:eastAsia="宋体" w:cs="Times New Roman"/>
                <w:color w:val="auto"/>
                <w:kern w:val="0"/>
                <w:highlight w:val="none"/>
                <w:lang w:eastAsia="zh-CN"/>
              </w:rPr>
              <w:t>竞标</w:t>
            </w:r>
            <w:r>
              <w:rPr>
                <w:rFonts w:ascii="宋体" w:hAnsi="宋体" w:eastAsia="宋体" w:cs="Times New Roman"/>
                <w:color w:val="auto"/>
                <w:kern w:val="0"/>
                <w:highlight w:val="none"/>
              </w:rPr>
              <w:t>人须知”第1.3.1项规定</w:t>
            </w:r>
          </w:p>
        </w:tc>
      </w:tr>
      <w:tr w14:paraId="1046C83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noWrap w:val="0"/>
            <w:vAlign w:val="top"/>
          </w:tcPr>
          <w:p w14:paraId="5205A0F4">
            <w:pPr>
              <w:spacing w:line="400" w:lineRule="exact"/>
              <w:jc w:val="center"/>
              <w:rPr>
                <w:rFonts w:ascii="宋体" w:hAnsi="宋体" w:eastAsia="宋体" w:cs="Times New Roman"/>
                <w:color w:val="auto"/>
                <w:highlight w:val="none"/>
              </w:rPr>
            </w:pPr>
          </w:p>
        </w:tc>
        <w:tc>
          <w:tcPr>
            <w:tcW w:w="666" w:type="dxa"/>
            <w:vMerge w:val="continue"/>
            <w:noWrap w:val="0"/>
            <w:vAlign w:val="top"/>
          </w:tcPr>
          <w:p w14:paraId="3C341DDA">
            <w:pPr>
              <w:spacing w:line="400" w:lineRule="exact"/>
              <w:jc w:val="center"/>
              <w:rPr>
                <w:rFonts w:ascii="宋体" w:hAnsi="宋体" w:eastAsia="宋体" w:cs="Times New Roman"/>
                <w:color w:val="auto"/>
                <w:highlight w:val="none"/>
              </w:rPr>
            </w:pPr>
          </w:p>
        </w:tc>
        <w:tc>
          <w:tcPr>
            <w:tcW w:w="2558" w:type="dxa"/>
            <w:gridSpan w:val="3"/>
            <w:noWrap w:val="0"/>
            <w:vAlign w:val="center"/>
          </w:tcPr>
          <w:p w14:paraId="104AE7A0">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工期</w:t>
            </w:r>
          </w:p>
        </w:tc>
        <w:tc>
          <w:tcPr>
            <w:tcW w:w="5493" w:type="dxa"/>
            <w:noWrap w:val="0"/>
            <w:vAlign w:val="center"/>
          </w:tcPr>
          <w:p w14:paraId="4CE654F4">
            <w:pPr>
              <w:spacing w:line="400" w:lineRule="exact"/>
              <w:ind w:firstLine="420" w:firstLineChars="200"/>
              <w:jc w:val="left"/>
              <w:rPr>
                <w:rFonts w:ascii="宋体" w:hAnsi="宋体" w:eastAsia="宋体" w:cs="Times New Roman"/>
                <w:color w:val="auto"/>
                <w:kern w:val="0"/>
                <w:highlight w:val="none"/>
              </w:rPr>
            </w:pPr>
            <w:r>
              <w:rPr>
                <w:rFonts w:ascii="宋体" w:hAnsi="宋体" w:eastAsia="宋体" w:cs="Times New Roman"/>
                <w:color w:val="auto"/>
                <w:kern w:val="0"/>
                <w:highlight w:val="none"/>
              </w:rPr>
              <w:t>符合第二章“</w:t>
            </w:r>
            <w:r>
              <w:rPr>
                <w:rFonts w:hint="eastAsia" w:ascii="宋体" w:hAnsi="宋体" w:eastAsia="宋体" w:cs="Times New Roman"/>
                <w:color w:val="auto"/>
                <w:kern w:val="0"/>
                <w:highlight w:val="none"/>
                <w:lang w:eastAsia="zh-CN"/>
              </w:rPr>
              <w:t>竞标</w:t>
            </w:r>
            <w:r>
              <w:rPr>
                <w:rFonts w:ascii="宋体" w:hAnsi="宋体" w:eastAsia="宋体" w:cs="Times New Roman"/>
                <w:color w:val="auto"/>
                <w:kern w:val="0"/>
                <w:highlight w:val="none"/>
              </w:rPr>
              <w:t>人须知”第1.3.2项规定</w:t>
            </w:r>
          </w:p>
        </w:tc>
      </w:tr>
      <w:tr w14:paraId="694953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noWrap w:val="0"/>
            <w:vAlign w:val="top"/>
          </w:tcPr>
          <w:p w14:paraId="30AAB8C5">
            <w:pPr>
              <w:spacing w:line="400" w:lineRule="exact"/>
              <w:jc w:val="center"/>
              <w:rPr>
                <w:rFonts w:ascii="宋体" w:hAnsi="宋体" w:eastAsia="宋体" w:cs="Times New Roman"/>
                <w:color w:val="auto"/>
                <w:highlight w:val="none"/>
              </w:rPr>
            </w:pPr>
          </w:p>
        </w:tc>
        <w:tc>
          <w:tcPr>
            <w:tcW w:w="666" w:type="dxa"/>
            <w:vMerge w:val="continue"/>
            <w:noWrap w:val="0"/>
            <w:vAlign w:val="top"/>
          </w:tcPr>
          <w:p w14:paraId="1D7972B5">
            <w:pPr>
              <w:spacing w:line="400" w:lineRule="exact"/>
              <w:jc w:val="center"/>
              <w:rPr>
                <w:rFonts w:ascii="宋体" w:hAnsi="宋体" w:eastAsia="宋体" w:cs="Times New Roman"/>
                <w:color w:val="auto"/>
                <w:highlight w:val="none"/>
              </w:rPr>
            </w:pPr>
          </w:p>
        </w:tc>
        <w:tc>
          <w:tcPr>
            <w:tcW w:w="2558" w:type="dxa"/>
            <w:gridSpan w:val="3"/>
            <w:noWrap w:val="0"/>
            <w:vAlign w:val="center"/>
          </w:tcPr>
          <w:p w14:paraId="55E4FD39">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工程质量</w:t>
            </w:r>
          </w:p>
        </w:tc>
        <w:tc>
          <w:tcPr>
            <w:tcW w:w="5493" w:type="dxa"/>
            <w:noWrap w:val="0"/>
            <w:vAlign w:val="center"/>
          </w:tcPr>
          <w:p w14:paraId="31270933">
            <w:pPr>
              <w:spacing w:line="400" w:lineRule="exact"/>
              <w:ind w:firstLine="420" w:firstLineChars="200"/>
              <w:jc w:val="left"/>
              <w:rPr>
                <w:rFonts w:ascii="宋体" w:hAnsi="宋体" w:eastAsia="宋体" w:cs="Times New Roman"/>
                <w:color w:val="auto"/>
                <w:kern w:val="0"/>
                <w:highlight w:val="none"/>
              </w:rPr>
            </w:pPr>
            <w:r>
              <w:rPr>
                <w:rFonts w:ascii="宋体" w:hAnsi="宋体" w:eastAsia="宋体" w:cs="Times New Roman"/>
                <w:color w:val="auto"/>
                <w:kern w:val="0"/>
                <w:highlight w:val="none"/>
              </w:rPr>
              <w:t>符合第二章“</w:t>
            </w:r>
            <w:r>
              <w:rPr>
                <w:rFonts w:hint="eastAsia" w:ascii="宋体" w:hAnsi="宋体" w:eastAsia="宋体" w:cs="Times New Roman"/>
                <w:color w:val="auto"/>
                <w:kern w:val="0"/>
                <w:highlight w:val="none"/>
                <w:lang w:eastAsia="zh-CN"/>
              </w:rPr>
              <w:t>竞标</w:t>
            </w:r>
            <w:r>
              <w:rPr>
                <w:rFonts w:ascii="宋体" w:hAnsi="宋体" w:eastAsia="宋体" w:cs="Times New Roman"/>
                <w:color w:val="auto"/>
                <w:kern w:val="0"/>
                <w:highlight w:val="none"/>
              </w:rPr>
              <w:t>人须知”第1.3.3项规定</w:t>
            </w:r>
          </w:p>
        </w:tc>
      </w:tr>
      <w:tr w14:paraId="654BAC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noWrap w:val="0"/>
            <w:vAlign w:val="top"/>
          </w:tcPr>
          <w:p w14:paraId="09DC5A68">
            <w:pPr>
              <w:spacing w:line="400" w:lineRule="exact"/>
              <w:jc w:val="center"/>
              <w:rPr>
                <w:rFonts w:ascii="宋体" w:hAnsi="宋体" w:eastAsia="宋体" w:cs="Times New Roman"/>
                <w:color w:val="auto"/>
                <w:highlight w:val="none"/>
              </w:rPr>
            </w:pPr>
          </w:p>
        </w:tc>
        <w:tc>
          <w:tcPr>
            <w:tcW w:w="666" w:type="dxa"/>
            <w:vMerge w:val="continue"/>
            <w:noWrap w:val="0"/>
            <w:vAlign w:val="top"/>
          </w:tcPr>
          <w:p w14:paraId="3ECEC83B">
            <w:pPr>
              <w:spacing w:line="400" w:lineRule="exact"/>
              <w:jc w:val="center"/>
              <w:rPr>
                <w:rFonts w:ascii="宋体" w:hAnsi="宋体" w:eastAsia="宋体" w:cs="Times New Roman"/>
                <w:color w:val="auto"/>
                <w:highlight w:val="none"/>
              </w:rPr>
            </w:pPr>
          </w:p>
        </w:tc>
        <w:tc>
          <w:tcPr>
            <w:tcW w:w="2558" w:type="dxa"/>
            <w:gridSpan w:val="3"/>
            <w:noWrap w:val="0"/>
            <w:vAlign w:val="center"/>
          </w:tcPr>
          <w:p w14:paraId="1D164A2F">
            <w:pPr>
              <w:spacing w:line="400" w:lineRule="exact"/>
              <w:jc w:val="center"/>
              <w:rPr>
                <w:rFonts w:ascii="宋体" w:hAnsi="宋体" w:eastAsia="宋体" w:cs="Times New Roman"/>
                <w:color w:val="auto"/>
                <w:kern w:val="0"/>
                <w:highlight w:val="none"/>
              </w:rPr>
            </w:pPr>
            <w:r>
              <w:rPr>
                <w:rFonts w:hint="eastAsia" w:ascii="宋体" w:hAnsi="宋体" w:eastAsia="宋体" w:cs="Times New Roman"/>
                <w:color w:val="auto"/>
                <w:kern w:val="0"/>
                <w:highlight w:val="none"/>
                <w:lang w:eastAsia="zh-CN"/>
              </w:rPr>
              <w:t>竞标</w:t>
            </w:r>
            <w:r>
              <w:rPr>
                <w:rFonts w:ascii="宋体" w:hAnsi="宋体" w:eastAsia="宋体" w:cs="Times New Roman"/>
                <w:color w:val="auto"/>
                <w:kern w:val="0"/>
                <w:highlight w:val="none"/>
              </w:rPr>
              <w:t>有效期</w:t>
            </w:r>
          </w:p>
        </w:tc>
        <w:tc>
          <w:tcPr>
            <w:tcW w:w="5493" w:type="dxa"/>
            <w:noWrap w:val="0"/>
            <w:vAlign w:val="center"/>
          </w:tcPr>
          <w:p w14:paraId="470C0BFC">
            <w:pPr>
              <w:spacing w:line="400" w:lineRule="exact"/>
              <w:ind w:firstLine="420" w:firstLineChars="200"/>
              <w:jc w:val="left"/>
              <w:rPr>
                <w:rFonts w:ascii="宋体" w:hAnsi="宋体" w:eastAsia="宋体" w:cs="Times New Roman"/>
                <w:color w:val="auto"/>
                <w:kern w:val="0"/>
                <w:highlight w:val="none"/>
              </w:rPr>
            </w:pPr>
            <w:r>
              <w:rPr>
                <w:rFonts w:ascii="宋体" w:hAnsi="宋体" w:eastAsia="宋体" w:cs="Times New Roman"/>
                <w:color w:val="auto"/>
                <w:kern w:val="0"/>
                <w:highlight w:val="none"/>
              </w:rPr>
              <w:t>符合第二章“</w:t>
            </w:r>
            <w:r>
              <w:rPr>
                <w:rFonts w:hint="eastAsia" w:ascii="宋体" w:hAnsi="宋体" w:eastAsia="宋体" w:cs="Times New Roman"/>
                <w:color w:val="auto"/>
                <w:kern w:val="0"/>
                <w:highlight w:val="none"/>
                <w:lang w:eastAsia="zh-CN"/>
              </w:rPr>
              <w:t>竞标</w:t>
            </w:r>
            <w:r>
              <w:rPr>
                <w:rFonts w:ascii="宋体" w:hAnsi="宋体" w:eastAsia="宋体" w:cs="Times New Roman"/>
                <w:color w:val="auto"/>
                <w:kern w:val="0"/>
                <w:highlight w:val="none"/>
              </w:rPr>
              <w:t>人须知”第3.3.1项规定</w:t>
            </w:r>
          </w:p>
        </w:tc>
      </w:tr>
      <w:tr w14:paraId="4FBB6D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noWrap w:val="0"/>
            <w:vAlign w:val="top"/>
          </w:tcPr>
          <w:p w14:paraId="71C9E310">
            <w:pPr>
              <w:spacing w:line="400" w:lineRule="exact"/>
              <w:jc w:val="center"/>
              <w:rPr>
                <w:rFonts w:ascii="宋体" w:hAnsi="宋体" w:eastAsia="宋体" w:cs="Times New Roman"/>
                <w:color w:val="auto"/>
                <w:highlight w:val="none"/>
              </w:rPr>
            </w:pPr>
          </w:p>
        </w:tc>
        <w:tc>
          <w:tcPr>
            <w:tcW w:w="666" w:type="dxa"/>
            <w:vMerge w:val="continue"/>
            <w:noWrap w:val="0"/>
            <w:vAlign w:val="top"/>
          </w:tcPr>
          <w:p w14:paraId="261E4AEB">
            <w:pPr>
              <w:spacing w:line="400" w:lineRule="exact"/>
              <w:jc w:val="center"/>
              <w:rPr>
                <w:rFonts w:ascii="宋体" w:hAnsi="宋体" w:eastAsia="宋体" w:cs="Times New Roman"/>
                <w:color w:val="auto"/>
                <w:highlight w:val="none"/>
              </w:rPr>
            </w:pPr>
          </w:p>
        </w:tc>
        <w:tc>
          <w:tcPr>
            <w:tcW w:w="2558" w:type="dxa"/>
            <w:gridSpan w:val="3"/>
            <w:noWrap w:val="0"/>
            <w:vAlign w:val="center"/>
          </w:tcPr>
          <w:p w14:paraId="098900F2">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投标保证金</w:t>
            </w:r>
          </w:p>
        </w:tc>
        <w:tc>
          <w:tcPr>
            <w:tcW w:w="5493" w:type="dxa"/>
            <w:noWrap w:val="0"/>
            <w:vAlign w:val="center"/>
          </w:tcPr>
          <w:p w14:paraId="784AF272">
            <w:pPr>
              <w:tabs>
                <w:tab w:val="left" w:pos="601"/>
                <w:tab w:val="left" w:pos="669"/>
              </w:tabs>
              <w:snapToGrid w:val="0"/>
              <w:spacing w:line="400" w:lineRule="exact"/>
              <w:ind w:firstLine="420" w:firstLineChars="200"/>
              <w:rPr>
                <w:rFonts w:ascii="宋体" w:hAnsi="宋体" w:eastAsia="宋体" w:cs="Times New Roman"/>
                <w:color w:val="auto"/>
                <w:kern w:val="0"/>
                <w:highlight w:val="none"/>
              </w:rPr>
            </w:pPr>
            <w:r>
              <w:rPr>
                <w:rFonts w:ascii="宋体" w:hAnsi="宋体" w:eastAsia="宋体" w:cs="Times New Roman"/>
                <w:color w:val="auto"/>
                <w:kern w:val="0"/>
                <w:szCs w:val="21"/>
                <w:highlight w:val="none"/>
              </w:rPr>
              <w:t>符合第二章</w:t>
            </w:r>
            <w:r>
              <w:rPr>
                <w:rFonts w:hint="eastAsia" w:ascii="宋体" w:hAnsi="宋体" w:eastAsia="宋体" w:cs="Times New Roman"/>
                <w:color w:val="auto"/>
                <w:kern w:val="0"/>
                <w:szCs w:val="21"/>
                <w:highlight w:val="none"/>
                <w:lang w:eastAsia="zh-CN"/>
              </w:rPr>
              <w:t>竞标人</w:t>
            </w:r>
            <w:r>
              <w:rPr>
                <w:rFonts w:ascii="宋体" w:hAnsi="宋体" w:eastAsia="宋体" w:cs="Times New Roman"/>
                <w:color w:val="auto"/>
                <w:kern w:val="0"/>
                <w:szCs w:val="21"/>
                <w:highlight w:val="none"/>
              </w:rPr>
              <w:t>须知前附表第3.4项</w:t>
            </w:r>
            <w:r>
              <w:rPr>
                <w:rFonts w:ascii="宋体" w:hAnsi="宋体" w:eastAsia="宋体" w:cs="Times New Roman"/>
                <w:color w:val="auto"/>
                <w:kern w:val="0"/>
                <w:highlight w:val="none"/>
              </w:rPr>
              <w:t>规定</w:t>
            </w:r>
          </w:p>
        </w:tc>
      </w:tr>
      <w:tr w14:paraId="3BEA18A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noWrap w:val="0"/>
            <w:vAlign w:val="top"/>
          </w:tcPr>
          <w:p w14:paraId="01F4792F">
            <w:pPr>
              <w:spacing w:line="400" w:lineRule="exact"/>
              <w:jc w:val="center"/>
              <w:rPr>
                <w:rFonts w:ascii="宋体" w:hAnsi="宋体" w:eastAsia="宋体" w:cs="Times New Roman"/>
                <w:color w:val="auto"/>
                <w:highlight w:val="none"/>
              </w:rPr>
            </w:pPr>
          </w:p>
        </w:tc>
        <w:tc>
          <w:tcPr>
            <w:tcW w:w="666" w:type="dxa"/>
            <w:vMerge w:val="continue"/>
            <w:noWrap w:val="0"/>
            <w:vAlign w:val="top"/>
          </w:tcPr>
          <w:p w14:paraId="5830EFB5">
            <w:pPr>
              <w:spacing w:line="400" w:lineRule="exact"/>
              <w:jc w:val="center"/>
              <w:rPr>
                <w:rFonts w:ascii="宋体" w:hAnsi="宋体" w:eastAsia="宋体" w:cs="Times New Roman"/>
                <w:color w:val="auto"/>
                <w:highlight w:val="none"/>
              </w:rPr>
            </w:pPr>
          </w:p>
        </w:tc>
        <w:tc>
          <w:tcPr>
            <w:tcW w:w="2558" w:type="dxa"/>
            <w:gridSpan w:val="3"/>
            <w:noWrap w:val="0"/>
            <w:vAlign w:val="center"/>
          </w:tcPr>
          <w:p w14:paraId="52EA3634">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权利义务</w:t>
            </w:r>
          </w:p>
        </w:tc>
        <w:tc>
          <w:tcPr>
            <w:tcW w:w="5493" w:type="dxa"/>
            <w:noWrap w:val="0"/>
            <w:vAlign w:val="center"/>
          </w:tcPr>
          <w:p w14:paraId="69C6E566">
            <w:pPr>
              <w:spacing w:after="62" w:afterLines="20" w:line="400" w:lineRule="exact"/>
              <w:ind w:firstLine="420" w:firstLineChars="200"/>
              <w:rPr>
                <w:rFonts w:ascii="宋体" w:hAnsi="宋体" w:eastAsia="宋体" w:cs="Times New Roman"/>
                <w:color w:val="auto"/>
                <w:kern w:val="0"/>
                <w:highlight w:val="none"/>
              </w:rPr>
            </w:pPr>
            <w:r>
              <w:rPr>
                <w:rFonts w:ascii="宋体" w:hAnsi="宋体" w:eastAsia="宋体" w:cs="Times New Roman"/>
                <w:color w:val="auto"/>
                <w:kern w:val="0"/>
                <w:highlight w:val="none"/>
              </w:rPr>
              <w:t>符合第四章“合同条款及格式”规定，</w:t>
            </w:r>
            <w:r>
              <w:rPr>
                <w:rFonts w:hint="eastAsia" w:ascii="宋体" w:hAnsi="宋体" w:eastAsia="宋体" w:cs="Times New Roman"/>
                <w:color w:val="auto"/>
                <w:kern w:val="0"/>
                <w:highlight w:val="none"/>
                <w:lang w:eastAsia="zh-CN"/>
              </w:rPr>
              <w:t>竞标文件</w:t>
            </w:r>
            <w:r>
              <w:rPr>
                <w:rFonts w:ascii="宋体" w:hAnsi="宋体" w:eastAsia="宋体" w:cs="Times New Roman"/>
                <w:color w:val="auto"/>
                <w:kern w:val="0"/>
                <w:highlight w:val="none"/>
              </w:rPr>
              <w:t>不应附有</w:t>
            </w:r>
            <w:r>
              <w:rPr>
                <w:rFonts w:hint="eastAsia" w:ascii="宋体" w:hAnsi="宋体" w:eastAsia="宋体" w:cs="Times New Roman"/>
                <w:color w:val="auto"/>
                <w:kern w:val="0"/>
                <w:highlight w:val="none"/>
                <w:lang w:eastAsia="zh-CN"/>
              </w:rPr>
              <w:t>比选人</w:t>
            </w:r>
            <w:r>
              <w:rPr>
                <w:rFonts w:ascii="宋体" w:hAnsi="宋体" w:eastAsia="宋体" w:cs="Times New Roman"/>
                <w:color w:val="auto"/>
                <w:kern w:val="0"/>
                <w:highlight w:val="none"/>
              </w:rPr>
              <w:t>不能接受的条件。</w:t>
            </w:r>
          </w:p>
        </w:tc>
      </w:tr>
      <w:tr w14:paraId="7DDA26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noWrap w:val="0"/>
            <w:vAlign w:val="top"/>
          </w:tcPr>
          <w:p w14:paraId="16506A4D">
            <w:pPr>
              <w:spacing w:line="400" w:lineRule="exact"/>
              <w:rPr>
                <w:rFonts w:ascii="宋体" w:hAnsi="宋体" w:eastAsia="宋体" w:cs="Times New Roman"/>
                <w:color w:val="auto"/>
                <w:highlight w:val="none"/>
              </w:rPr>
            </w:pPr>
          </w:p>
        </w:tc>
        <w:tc>
          <w:tcPr>
            <w:tcW w:w="666" w:type="dxa"/>
            <w:vMerge w:val="continue"/>
            <w:noWrap w:val="0"/>
            <w:vAlign w:val="top"/>
          </w:tcPr>
          <w:p w14:paraId="3F8D55D6">
            <w:pPr>
              <w:spacing w:line="400" w:lineRule="exact"/>
              <w:rPr>
                <w:rFonts w:ascii="宋体" w:hAnsi="宋体" w:eastAsia="宋体" w:cs="Times New Roman"/>
                <w:color w:val="auto"/>
                <w:highlight w:val="none"/>
              </w:rPr>
            </w:pPr>
          </w:p>
        </w:tc>
        <w:tc>
          <w:tcPr>
            <w:tcW w:w="2558" w:type="dxa"/>
            <w:gridSpan w:val="3"/>
            <w:noWrap w:val="0"/>
            <w:vAlign w:val="center"/>
          </w:tcPr>
          <w:p w14:paraId="196ADC05">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技术标准和要求</w:t>
            </w:r>
          </w:p>
        </w:tc>
        <w:tc>
          <w:tcPr>
            <w:tcW w:w="5493" w:type="dxa"/>
            <w:noWrap w:val="0"/>
            <w:vAlign w:val="center"/>
          </w:tcPr>
          <w:p w14:paraId="0BB12291">
            <w:pPr>
              <w:spacing w:line="400" w:lineRule="exact"/>
              <w:ind w:firstLine="420" w:firstLineChars="200"/>
              <w:rPr>
                <w:rFonts w:hint="eastAsia" w:ascii="宋体" w:hAnsi="宋体" w:eastAsia="宋体" w:cs="Times New Roman"/>
                <w:color w:val="auto"/>
                <w:kern w:val="0"/>
                <w:highlight w:val="none"/>
                <w:lang w:eastAsia="zh-CN"/>
              </w:rPr>
            </w:pPr>
            <w:r>
              <w:rPr>
                <w:rFonts w:ascii="宋体" w:hAnsi="宋体" w:eastAsia="宋体" w:cs="Times New Roman"/>
                <w:color w:val="auto"/>
                <w:kern w:val="0"/>
                <w:highlight w:val="none"/>
              </w:rPr>
              <w:t>符合</w:t>
            </w:r>
            <w:r>
              <w:rPr>
                <w:rFonts w:hint="eastAsia" w:ascii="宋体" w:hAnsi="宋体" w:cs="Times New Roman"/>
                <w:color w:val="auto"/>
                <w:kern w:val="0"/>
                <w:highlight w:val="none"/>
                <w:lang w:eastAsia="zh-CN"/>
              </w:rPr>
              <w:t>第五章</w:t>
            </w:r>
            <w:r>
              <w:rPr>
                <w:rFonts w:ascii="宋体" w:hAnsi="宋体" w:eastAsia="宋体" w:cs="Times New Roman"/>
                <w:color w:val="auto"/>
                <w:kern w:val="0"/>
                <w:highlight w:val="none"/>
              </w:rPr>
              <w:t>“技术标准和要求”规定</w:t>
            </w:r>
            <w:r>
              <w:rPr>
                <w:rFonts w:hint="eastAsia" w:ascii="宋体" w:hAnsi="宋体" w:cs="Times New Roman"/>
                <w:color w:val="auto"/>
                <w:kern w:val="0"/>
                <w:highlight w:val="none"/>
                <w:lang w:eastAsia="zh-CN"/>
              </w:rPr>
              <w:t>。</w:t>
            </w:r>
          </w:p>
        </w:tc>
      </w:tr>
      <w:tr w14:paraId="16984D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noWrap w:val="0"/>
            <w:vAlign w:val="top"/>
          </w:tcPr>
          <w:p w14:paraId="6D8C7F0E">
            <w:pPr>
              <w:spacing w:line="400" w:lineRule="exact"/>
              <w:rPr>
                <w:rFonts w:ascii="宋体" w:hAnsi="宋体" w:eastAsia="宋体" w:cs="Times New Roman"/>
                <w:color w:val="auto"/>
                <w:highlight w:val="none"/>
              </w:rPr>
            </w:pPr>
          </w:p>
        </w:tc>
        <w:tc>
          <w:tcPr>
            <w:tcW w:w="666" w:type="dxa"/>
            <w:vMerge w:val="continue"/>
            <w:noWrap w:val="0"/>
            <w:vAlign w:val="top"/>
          </w:tcPr>
          <w:p w14:paraId="4609C7A0">
            <w:pPr>
              <w:spacing w:line="400" w:lineRule="exact"/>
              <w:rPr>
                <w:rFonts w:ascii="宋体" w:hAnsi="宋体" w:eastAsia="宋体" w:cs="Times New Roman"/>
                <w:color w:val="auto"/>
                <w:highlight w:val="none"/>
              </w:rPr>
            </w:pPr>
          </w:p>
        </w:tc>
        <w:tc>
          <w:tcPr>
            <w:tcW w:w="2558" w:type="dxa"/>
            <w:gridSpan w:val="3"/>
            <w:noWrap w:val="0"/>
            <w:vAlign w:val="center"/>
          </w:tcPr>
          <w:p w14:paraId="20902CB2">
            <w:pPr>
              <w:spacing w:line="400" w:lineRule="exact"/>
              <w:jc w:val="center"/>
              <w:rPr>
                <w:rFonts w:ascii="宋体" w:hAnsi="宋体" w:eastAsia="宋体" w:cs="Times New Roman"/>
                <w:color w:val="auto"/>
                <w:kern w:val="0"/>
                <w:highlight w:val="none"/>
              </w:rPr>
            </w:pPr>
            <w:r>
              <w:rPr>
                <w:rFonts w:hint="eastAsia" w:ascii="宋体" w:hAnsi="宋体" w:eastAsia="宋体" w:cs="Times New Roman"/>
                <w:color w:val="auto"/>
                <w:kern w:val="0"/>
                <w:highlight w:val="none"/>
                <w:lang w:eastAsia="zh-CN"/>
              </w:rPr>
              <w:t>竞标报价</w:t>
            </w:r>
            <w:r>
              <w:rPr>
                <w:rFonts w:ascii="宋体" w:hAnsi="宋体" w:eastAsia="宋体" w:cs="Times New Roman"/>
                <w:color w:val="auto"/>
                <w:kern w:val="0"/>
                <w:highlight w:val="none"/>
              </w:rPr>
              <w:t>算术错误修正</w:t>
            </w:r>
          </w:p>
        </w:tc>
        <w:tc>
          <w:tcPr>
            <w:tcW w:w="5493" w:type="dxa"/>
            <w:noWrap w:val="0"/>
            <w:vAlign w:val="center"/>
          </w:tcPr>
          <w:p w14:paraId="28ABD6AF">
            <w:pPr>
              <w:spacing w:line="400" w:lineRule="exact"/>
              <w:ind w:firstLine="420" w:firstLineChars="200"/>
              <w:rPr>
                <w:rFonts w:ascii="宋体" w:hAnsi="宋体" w:eastAsia="宋体" w:cs="Times New Roman"/>
                <w:color w:val="auto"/>
                <w:kern w:val="0"/>
                <w:highlight w:val="none"/>
              </w:rPr>
            </w:pPr>
            <w:r>
              <w:rPr>
                <w:rFonts w:ascii="宋体" w:hAnsi="宋体" w:eastAsia="宋体" w:cs="Times New Roman"/>
                <w:color w:val="auto"/>
                <w:kern w:val="0"/>
                <w:highlight w:val="none"/>
              </w:rPr>
              <w:t>符合第三章3.评标程序第3.1.3项规定。</w:t>
            </w:r>
          </w:p>
        </w:tc>
      </w:tr>
      <w:tr w14:paraId="6EB5C7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noWrap w:val="0"/>
            <w:vAlign w:val="top"/>
          </w:tcPr>
          <w:p w14:paraId="7E1A7B64">
            <w:pPr>
              <w:spacing w:line="400" w:lineRule="exact"/>
              <w:rPr>
                <w:rFonts w:ascii="宋体" w:hAnsi="宋体" w:eastAsia="宋体" w:cs="Times New Roman"/>
                <w:color w:val="auto"/>
                <w:highlight w:val="none"/>
              </w:rPr>
            </w:pPr>
          </w:p>
        </w:tc>
        <w:tc>
          <w:tcPr>
            <w:tcW w:w="666" w:type="dxa"/>
            <w:vMerge w:val="continue"/>
            <w:noWrap w:val="0"/>
            <w:vAlign w:val="top"/>
          </w:tcPr>
          <w:p w14:paraId="00E14911">
            <w:pPr>
              <w:spacing w:line="400" w:lineRule="exact"/>
              <w:rPr>
                <w:rFonts w:ascii="宋体" w:hAnsi="宋体" w:eastAsia="宋体" w:cs="Times New Roman"/>
                <w:color w:val="auto"/>
                <w:highlight w:val="none"/>
              </w:rPr>
            </w:pPr>
          </w:p>
        </w:tc>
        <w:tc>
          <w:tcPr>
            <w:tcW w:w="2558" w:type="dxa"/>
            <w:gridSpan w:val="3"/>
            <w:noWrap w:val="0"/>
            <w:vAlign w:val="center"/>
          </w:tcPr>
          <w:p w14:paraId="515C7C9D">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实质性要求</w:t>
            </w:r>
          </w:p>
        </w:tc>
        <w:tc>
          <w:tcPr>
            <w:tcW w:w="5493" w:type="dxa"/>
            <w:noWrap w:val="0"/>
            <w:vAlign w:val="center"/>
          </w:tcPr>
          <w:p w14:paraId="26C25BE4">
            <w:pPr>
              <w:spacing w:after="62" w:afterLines="20" w:line="400" w:lineRule="exact"/>
              <w:ind w:firstLine="420" w:firstLineChars="200"/>
              <w:rPr>
                <w:rFonts w:ascii="宋体" w:hAnsi="宋体" w:eastAsia="宋体" w:cs="Times New Roman"/>
                <w:color w:val="auto"/>
                <w:kern w:val="0"/>
                <w:highlight w:val="none"/>
              </w:rPr>
            </w:pPr>
            <w:r>
              <w:rPr>
                <w:rFonts w:ascii="宋体" w:hAnsi="宋体" w:eastAsia="宋体" w:cs="Times New Roman"/>
                <w:color w:val="auto"/>
                <w:kern w:val="0"/>
                <w:highlight w:val="none"/>
              </w:rPr>
              <w:t>涉嫌</w:t>
            </w:r>
            <w:r>
              <w:rPr>
                <w:rFonts w:hint="eastAsia" w:ascii="宋体" w:hAnsi="宋体" w:eastAsia="宋体" w:cs="Times New Roman"/>
                <w:color w:val="auto"/>
                <w:kern w:val="0"/>
                <w:highlight w:val="none"/>
              </w:rPr>
              <w:t>串通投标</w:t>
            </w:r>
            <w:r>
              <w:rPr>
                <w:rFonts w:ascii="宋体" w:hAnsi="宋体" w:eastAsia="宋体" w:cs="Times New Roman"/>
                <w:color w:val="auto"/>
                <w:kern w:val="0"/>
                <w:highlight w:val="none"/>
              </w:rPr>
              <w:t>、弄虚作假等其他违反招投标相关法律、法规行为的。</w:t>
            </w:r>
          </w:p>
        </w:tc>
      </w:tr>
      <w:bookmarkEnd w:id="367"/>
      <w:bookmarkEnd w:id="368"/>
      <w:bookmarkEnd w:id="369"/>
      <w:bookmarkEnd w:id="370"/>
      <w:bookmarkEnd w:id="371"/>
      <w:tr w14:paraId="367906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418" w:type="dxa"/>
            <w:gridSpan w:val="2"/>
            <w:noWrap w:val="0"/>
            <w:vAlign w:val="center"/>
          </w:tcPr>
          <w:p w14:paraId="03541DE8">
            <w:pPr>
              <w:spacing w:line="400" w:lineRule="exact"/>
              <w:ind w:firstLine="210" w:firstLineChars="100"/>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2.2.1</w:t>
            </w:r>
          </w:p>
        </w:tc>
        <w:tc>
          <w:tcPr>
            <w:tcW w:w="2558" w:type="dxa"/>
            <w:gridSpan w:val="3"/>
            <w:shd w:val="clear" w:color="auto" w:fill="auto"/>
            <w:noWrap w:val="0"/>
            <w:vAlign w:val="center"/>
          </w:tcPr>
          <w:p w14:paraId="33C118AF">
            <w:pPr>
              <w:tabs>
                <w:tab w:val="left" w:pos="1875"/>
              </w:tabs>
              <w:spacing w:line="400" w:lineRule="exact"/>
              <w:jc w:val="center"/>
              <w:rPr>
                <w:rFonts w:ascii="宋体" w:hAnsi="宋体" w:eastAsia="宋体" w:cs="Times New Roman"/>
                <w:color w:val="auto"/>
                <w:kern w:val="0"/>
                <w:highlight w:val="none"/>
                <w:shd w:val="clear" w:color="auto" w:fill="auto"/>
              </w:rPr>
            </w:pPr>
            <w:r>
              <w:rPr>
                <w:rFonts w:ascii="宋体" w:hAnsi="宋体" w:eastAsia="宋体" w:cs="Times New Roman"/>
                <w:color w:val="auto"/>
                <w:kern w:val="0"/>
                <w:highlight w:val="none"/>
                <w:shd w:val="clear" w:color="auto" w:fill="auto"/>
              </w:rPr>
              <w:t>分值构成 （总分1</w:t>
            </w:r>
            <w:r>
              <w:rPr>
                <w:rFonts w:hint="eastAsia" w:ascii="宋体" w:hAnsi="宋体" w:eastAsia="宋体" w:cs="Times New Roman"/>
                <w:color w:val="auto"/>
                <w:kern w:val="0"/>
                <w:highlight w:val="none"/>
                <w:shd w:val="clear" w:color="auto" w:fill="auto"/>
              </w:rPr>
              <w:t>00</w:t>
            </w:r>
            <w:r>
              <w:rPr>
                <w:rFonts w:ascii="宋体" w:hAnsi="宋体" w:eastAsia="宋体" w:cs="Times New Roman"/>
                <w:color w:val="auto"/>
                <w:kern w:val="0"/>
                <w:highlight w:val="none"/>
                <w:shd w:val="clear" w:color="auto" w:fill="auto"/>
              </w:rPr>
              <w:t>分）</w:t>
            </w:r>
          </w:p>
        </w:tc>
        <w:tc>
          <w:tcPr>
            <w:tcW w:w="5493" w:type="dxa"/>
            <w:shd w:val="clear" w:color="auto" w:fill="auto"/>
            <w:noWrap w:val="0"/>
            <w:vAlign w:val="center"/>
          </w:tcPr>
          <w:p w14:paraId="3CA2ABB9">
            <w:pPr>
              <w:snapToGrid w:val="0"/>
              <w:spacing w:line="400" w:lineRule="exact"/>
              <w:ind w:firstLine="420" w:firstLineChars="200"/>
              <w:rPr>
                <w:rFonts w:hint="eastAsia" w:ascii="宋体" w:hAnsi="宋体" w:eastAsia="宋体" w:cs="Times New Roman"/>
                <w:color w:val="auto"/>
                <w:kern w:val="0"/>
                <w:highlight w:val="none"/>
                <w:shd w:val="clear" w:color="auto" w:fill="auto"/>
              </w:rPr>
            </w:pPr>
            <w:r>
              <w:rPr>
                <w:rFonts w:hint="eastAsia" w:ascii="宋体" w:hAnsi="宋体" w:eastAsia="宋体" w:cs="Times New Roman"/>
                <w:color w:val="auto"/>
                <w:kern w:val="0"/>
                <w:highlight w:val="none"/>
                <w:shd w:val="clear" w:color="auto" w:fill="auto"/>
              </w:rPr>
              <w:t>1</w:t>
            </w:r>
            <w:r>
              <w:rPr>
                <w:rFonts w:ascii="宋体" w:hAnsi="宋体" w:eastAsia="宋体" w:cs="Times New Roman"/>
                <w:color w:val="auto"/>
                <w:kern w:val="0"/>
                <w:highlight w:val="none"/>
                <w:shd w:val="clear" w:color="auto" w:fill="auto"/>
              </w:rPr>
              <w:t>.</w:t>
            </w:r>
            <w:r>
              <w:rPr>
                <w:rFonts w:hint="eastAsia" w:ascii="宋体" w:hAnsi="宋体" w:eastAsia="宋体" w:cs="Times New Roman"/>
                <w:color w:val="auto"/>
                <w:kern w:val="0"/>
                <w:highlight w:val="none"/>
                <w:shd w:val="clear" w:color="auto" w:fill="auto"/>
              </w:rPr>
              <w:t>技术方案</w:t>
            </w:r>
            <w:r>
              <w:rPr>
                <w:rFonts w:hint="eastAsia" w:ascii="宋体" w:hAnsi="宋体" w:cs="Times New Roman"/>
                <w:color w:val="auto"/>
                <w:kern w:val="0"/>
                <w:highlight w:val="none"/>
                <w:u w:val="single"/>
                <w:shd w:val="clear" w:color="auto" w:fill="auto"/>
                <w:lang w:val="en-US" w:eastAsia="zh-CN"/>
              </w:rPr>
              <w:t>3</w:t>
            </w:r>
            <w:r>
              <w:rPr>
                <w:rFonts w:hint="eastAsia" w:ascii="宋体" w:hAnsi="宋体" w:eastAsia="宋体" w:cs="Times New Roman"/>
                <w:color w:val="auto"/>
                <w:kern w:val="0"/>
                <w:highlight w:val="none"/>
                <w:u w:val="single"/>
                <w:shd w:val="clear" w:color="auto" w:fill="auto"/>
                <w:lang w:val="en-US" w:eastAsia="zh-CN"/>
              </w:rPr>
              <w:t>0</w:t>
            </w:r>
            <w:r>
              <w:rPr>
                <w:rFonts w:ascii="宋体" w:hAnsi="宋体" w:eastAsia="宋体" w:cs="Times New Roman"/>
                <w:color w:val="auto"/>
                <w:kern w:val="0"/>
                <w:highlight w:val="none"/>
                <w:shd w:val="clear" w:color="auto" w:fill="auto"/>
              </w:rPr>
              <w:t>分</w:t>
            </w:r>
            <w:r>
              <w:rPr>
                <w:rFonts w:hint="eastAsia" w:ascii="宋体" w:hAnsi="宋体" w:eastAsia="宋体" w:cs="Times New Roman"/>
                <w:color w:val="auto"/>
                <w:kern w:val="0"/>
                <w:highlight w:val="none"/>
                <w:shd w:val="clear" w:color="auto" w:fill="auto"/>
              </w:rPr>
              <w:t>；</w:t>
            </w:r>
          </w:p>
          <w:p w14:paraId="7FD2561A">
            <w:pPr>
              <w:snapToGrid w:val="0"/>
              <w:spacing w:line="400" w:lineRule="exact"/>
              <w:ind w:firstLine="420" w:firstLineChars="200"/>
              <w:rPr>
                <w:rFonts w:ascii="宋体" w:hAnsi="宋体" w:eastAsia="宋体" w:cs="Times New Roman"/>
                <w:i/>
                <w:color w:val="auto"/>
                <w:kern w:val="0"/>
                <w:highlight w:val="none"/>
                <w:shd w:val="clear" w:color="auto" w:fill="auto"/>
              </w:rPr>
            </w:pPr>
            <w:r>
              <w:rPr>
                <w:rFonts w:hint="eastAsia" w:ascii="宋体" w:hAnsi="宋体" w:eastAsia="宋体" w:cs="Times New Roman"/>
                <w:color w:val="auto"/>
                <w:kern w:val="0"/>
                <w:highlight w:val="none"/>
                <w:shd w:val="clear" w:color="auto" w:fill="auto"/>
              </w:rPr>
              <w:t>2.投标总报价</w:t>
            </w:r>
            <w:r>
              <w:rPr>
                <w:rFonts w:hint="eastAsia" w:ascii="宋体" w:hAnsi="宋体" w:cs="Times New Roman"/>
                <w:color w:val="auto"/>
                <w:kern w:val="0"/>
                <w:highlight w:val="none"/>
                <w:u w:val="single"/>
                <w:shd w:val="clear" w:color="auto" w:fill="auto"/>
                <w:lang w:val="en-US" w:eastAsia="zh-CN"/>
              </w:rPr>
              <w:t>7</w:t>
            </w:r>
            <w:r>
              <w:rPr>
                <w:rFonts w:hint="eastAsia" w:ascii="宋体" w:hAnsi="宋体" w:eastAsia="宋体" w:cs="Times New Roman"/>
                <w:color w:val="auto"/>
                <w:kern w:val="0"/>
                <w:highlight w:val="none"/>
                <w:u w:val="single"/>
                <w:shd w:val="clear" w:color="auto" w:fill="auto"/>
                <w:lang w:val="en-US" w:eastAsia="zh-CN"/>
              </w:rPr>
              <w:t>0</w:t>
            </w:r>
            <w:r>
              <w:rPr>
                <w:rFonts w:hint="eastAsia" w:ascii="宋体" w:hAnsi="宋体" w:eastAsia="宋体" w:cs="Times New Roman"/>
                <w:color w:val="auto"/>
                <w:kern w:val="0"/>
                <w:highlight w:val="none"/>
                <w:shd w:val="clear" w:color="auto" w:fill="auto"/>
              </w:rPr>
              <w:t>分.</w:t>
            </w:r>
          </w:p>
        </w:tc>
      </w:tr>
      <w:tr w14:paraId="5A1B91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418" w:type="dxa"/>
            <w:gridSpan w:val="2"/>
            <w:noWrap w:val="0"/>
            <w:vAlign w:val="center"/>
          </w:tcPr>
          <w:p w14:paraId="61EB21BC">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2.2.2</w:t>
            </w:r>
          </w:p>
        </w:tc>
        <w:tc>
          <w:tcPr>
            <w:tcW w:w="1546" w:type="dxa"/>
            <w:gridSpan w:val="2"/>
            <w:noWrap w:val="0"/>
            <w:vAlign w:val="center"/>
          </w:tcPr>
          <w:p w14:paraId="517FEB84">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评标基准价计算方法</w:t>
            </w:r>
          </w:p>
        </w:tc>
        <w:tc>
          <w:tcPr>
            <w:tcW w:w="1012" w:type="dxa"/>
            <w:noWrap w:val="0"/>
            <w:vAlign w:val="center"/>
          </w:tcPr>
          <w:p w14:paraId="09F98291">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投标总报价</w:t>
            </w:r>
          </w:p>
        </w:tc>
        <w:tc>
          <w:tcPr>
            <w:tcW w:w="5493" w:type="dxa"/>
            <w:noWrap w:val="0"/>
            <w:vAlign w:val="top"/>
          </w:tcPr>
          <w:p w14:paraId="2901BC0A">
            <w:pPr>
              <w:snapToGrid w:val="0"/>
              <w:spacing w:line="400" w:lineRule="exact"/>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所有通过初步评审评审合格的投标人的投标总报价中去掉六分之一（不能整除的按小数点前整数取整，不足六家报价则不去掉）的最低价和相同家数的最高价后的算术平均值与本项目最高限价再取平均值，即为本项目投标总报价的评标基准价。</w:t>
            </w:r>
          </w:p>
          <w:p w14:paraId="280068D2">
            <w:pPr>
              <w:snapToGrid w:val="0"/>
              <w:spacing w:line="400" w:lineRule="exact"/>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评标基准价计算的最终</w:t>
            </w:r>
            <w:r>
              <w:rPr>
                <w:rFonts w:ascii="宋体" w:hAnsi="宋体" w:eastAsia="宋体" w:cs="Times New Roman"/>
                <w:color w:val="auto"/>
                <w:kern w:val="0"/>
                <w:szCs w:val="21"/>
                <w:highlight w:val="none"/>
              </w:rPr>
              <w:t>结果取小数点后两位，第三位四舍五入。</w:t>
            </w:r>
          </w:p>
        </w:tc>
      </w:tr>
      <w:tr w14:paraId="605819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2"/>
            <w:vMerge w:val="restart"/>
            <w:noWrap w:val="0"/>
            <w:vAlign w:val="center"/>
          </w:tcPr>
          <w:p w14:paraId="07B41EA5">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 xml:space="preserve">2.2.3 </w:t>
            </w:r>
          </w:p>
        </w:tc>
        <w:tc>
          <w:tcPr>
            <w:tcW w:w="2558" w:type="dxa"/>
            <w:gridSpan w:val="3"/>
            <w:vMerge w:val="restart"/>
            <w:noWrap w:val="0"/>
            <w:vAlign w:val="center"/>
          </w:tcPr>
          <w:p w14:paraId="162388CB">
            <w:pPr>
              <w:spacing w:line="400" w:lineRule="exact"/>
              <w:jc w:val="center"/>
              <w:rPr>
                <w:rFonts w:ascii="宋体" w:hAnsi="宋体" w:eastAsia="宋体" w:cs="Times New Roman"/>
                <w:color w:val="auto"/>
                <w:kern w:val="0"/>
                <w:highlight w:val="none"/>
              </w:rPr>
            </w:pPr>
            <w:r>
              <w:rPr>
                <w:rFonts w:hint="eastAsia" w:ascii="宋体" w:hAnsi="宋体" w:eastAsia="宋体" w:cs="Times New Roman"/>
                <w:color w:val="auto"/>
                <w:kern w:val="0"/>
                <w:highlight w:val="none"/>
              </w:rPr>
              <w:t>允许偏差率</w:t>
            </w:r>
          </w:p>
        </w:tc>
        <w:tc>
          <w:tcPr>
            <w:tcW w:w="5493" w:type="dxa"/>
            <w:noWrap w:val="0"/>
            <w:vAlign w:val="center"/>
          </w:tcPr>
          <w:p w14:paraId="11D3CC98">
            <w:pPr>
              <w:spacing w:line="400" w:lineRule="exact"/>
              <w:ind w:firstLine="420" w:firstLineChars="200"/>
              <w:jc w:val="left"/>
              <w:rPr>
                <w:rFonts w:ascii="宋体" w:hAnsi="宋体" w:eastAsia="宋体" w:cs="Times New Roman"/>
                <w:color w:val="auto"/>
                <w:kern w:val="0"/>
                <w:highlight w:val="none"/>
              </w:rPr>
            </w:pPr>
            <w:r>
              <w:rPr>
                <w:rFonts w:ascii="宋体" w:hAnsi="宋体" w:eastAsia="宋体" w:cs="Times New Roman"/>
                <w:color w:val="auto"/>
                <w:kern w:val="0"/>
                <w:highlight w:val="none"/>
              </w:rPr>
              <w:t>投标总报价的偏差率计算公式</w:t>
            </w:r>
          </w:p>
          <w:p w14:paraId="46758464">
            <w:pPr>
              <w:spacing w:line="400" w:lineRule="exact"/>
              <w:ind w:firstLine="420" w:firstLineChars="200"/>
              <w:jc w:val="left"/>
              <w:rPr>
                <w:rFonts w:ascii="宋体" w:hAnsi="宋体" w:eastAsia="宋体" w:cs="Times New Roman"/>
                <w:color w:val="auto"/>
                <w:kern w:val="0"/>
                <w:highlight w:val="none"/>
              </w:rPr>
            </w:pPr>
            <w:r>
              <w:rPr>
                <w:rFonts w:ascii="宋体" w:hAnsi="宋体" w:eastAsia="宋体" w:cs="Times New Roman"/>
                <w:color w:val="auto"/>
                <w:kern w:val="0"/>
                <w:highlight w:val="none"/>
              </w:rPr>
              <w:t>偏差率</w:t>
            </w:r>
            <w:r>
              <w:rPr>
                <w:rFonts w:ascii="宋体" w:hAnsi="宋体" w:eastAsia="宋体" w:cs="Times New Roman"/>
                <w:color w:val="auto"/>
                <w:kern w:val="0"/>
                <w:sz w:val="28"/>
                <w:szCs w:val="28"/>
                <w:highlight w:val="none"/>
              </w:rPr>
              <w:t>=</w:t>
            </w:r>
            <w:r>
              <w:rPr>
                <w:rFonts w:ascii="宋体" w:hAnsi="宋体" w:eastAsia="宋体" w:cs="Times New Roman"/>
                <w:color w:val="auto"/>
                <w:kern w:val="0"/>
                <w:highlight w:val="none"/>
              </w:rPr>
              <w:t>100％×（</w:t>
            </w:r>
            <w:r>
              <w:rPr>
                <w:rFonts w:hint="eastAsia" w:ascii="宋体" w:hAnsi="宋体" w:eastAsia="宋体" w:cs="Times New Roman"/>
                <w:color w:val="auto"/>
                <w:kern w:val="0"/>
                <w:highlight w:val="none"/>
                <w:lang w:eastAsia="zh-CN"/>
              </w:rPr>
              <w:t>竞标人</w:t>
            </w:r>
            <w:r>
              <w:rPr>
                <w:rFonts w:ascii="宋体" w:hAnsi="宋体" w:eastAsia="宋体" w:cs="Times New Roman"/>
                <w:color w:val="auto"/>
                <w:kern w:val="0"/>
                <w:highlight w:val="none"/>
              </w:rPr>
              <w:t>报价一评标基准价</w:t>
            </w:r>
            <w:r>
              <w:rPr>
                <w:rFonts w:hint="eastAsia" w:ascii="宋体" w:hAnsi="宋体" w:eastAsia="宋体" w:cs="Times New Roman"/>
                <w:color w:val="auto"/>
                <w:kern w:val="0"/>
                <w:highlight w:val="none"/>
                <w:lang w:eastAsia="zh-CN"/>
              </w:rPr>
              <w:t>）</w:t>
            </w:r>
            <w:r>
              <w:rPr>
                <w:rFonts w:ascii="宋体" w:hAnsi="宋体" w:eastAsia="宋体" w:cs="Times New Roman"/>
                <w:color w:val="auto"/>
                <w:kern w:val="0"/>
                <w:highlight w:val="none"/>
              </w:rPr>
              <w:t>／评标基准价</w:t>
            </w:r>
          </w:p>
          <w:p w14:paraId="0218F224">
            <w:pPr>
              <w:spacing w:line="400" w:lineRule="exact"/>
              <w:ind w:firstLine="200"/>
              <w:rPr>
                <w:rFonts w:ascii="宋体" w:hAnsi="宋体" w:eastAsia="宋体" w:cs="Times New Roman"/>
                <w:color w:val="auto"/>
                <w:kern w:val="0"/>
                <w:highlight w:val="none"/>
              </w:rPr>
            </w:pPr>
            <w:r>
              <w:rPr>
                <w:rFonts w:ascii="宋体" w:hAnsi="宋体" w:eastAsia="宋体" w:cs="Times New Roman"/>
                <w:color w:val="auto"/>
                <w:kern w:val="0"/>
                <w:highlight w:val="none"/>
              </w:rPr>
              <w:t xml:space="preserve">    偏差率</w:t>
            </w:r>
            <w:r>
              <w:rPr>
                <w:rFonts w:ascii="宋体" w:hAnsi="宋体" w:eastAsia="宋体" w:cs="Times New Roman"/>
                <w:color w:val="auto"/>
                <w:kern w:val="0"/>
                <w:szCs w:val="21"/>
                <w:highlight w:val="none"/>
              </w:rPr>
              <w:t>计算保留小数点后两位，小数点后第三位“四舍五入”。</w:t>
            </w:r>
          </w:p>
        </w:tc>
      </w:tr>
      <w:tr w14:paraId="09BBB8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2"/>
            <w:vMerge w:val="continue"/>
            <w:noWrap w:val="0"/>
            <w:vAlign w:val="center"/>
          </w:tcPr>
          <w:p w14:paraId="616165D2">
            <w:pPr>
              <w:spacing w:line="400" w:lineRule="exact"/>
              <w:jc w:val="center"/>
              <w:rPr>
                <w:rFonts w:ascii="宋体" w:hAnsi="宋体" w:eastAsia="宋体" w:cs="Times New Roman"/>
                <w:color w:val="auto"/>
                <w:kern w:val="0"/>
                <w:highlight w:val="none"/>
              </w:rPr>
            </w:pPr>
          </w:p>
        </w:tc>
        <w:tc>
          <w:tcPr>
            <w:tcW w:w="2558" w:type="dxa"/>
            <w:gridSpan w:val="3"/>
            <w:vMerge w:val="continue"/>
            <w:noWrap w:val="0"/>
            <w:vAlign w:val="center"/>
          </w:tcPr>
          <w:p w14:paraId="569E8D4A">
            <w:pPr>
              <w:spacing w:line="400" w:lineRule="exact"/>
              <w:jc w:val="center"/>
              <w:rPr>
                <w:rFonts w:ascii="宋体" w:hAnsi="宋体" w:eastAsia="宋体" w:cs="Times New Roman"/>
                <w:color w:val="auto"/>
                <w:kern w:val="0"/>
                <w:highlight w:val="none"/>
              </w:rPr>
            </w:pPr>
          </w:p>
        </w:tc>
        <w:tc>
          <w:tcPr>
            <w:tcW w:w="5493" w:type="dxa"/>
            <w:noWrap w:val="0"/>
            <w:vAlign w:val="center"/>
          </w:tcPr>
          <w:p w14:paraId="616814A9">
            <w:pPr>
              <w:snapToGrid w:val="0"/>
              <w:spacing w:line="400" w:lineRule="exact"/>
              <w:ind w:firstLine="420" w:firstLineChars="200"/>
              <w:jc w:val="left"/>
              <w:rPr>
                <w:rFonts w:ascii="宋体" w:hAnsi="宋体" w:eastAsia="宋体" w:cs="Times New Roman"/>
                <w:i/>
                <w:color w:val="auto"/>
                <w:kern w:val="0"/>
                <w:highlight w:val="none"/>
              </w:rPr>
            </w:pPr>
            <w:r>
              <w:rPr>
                <w:rFonts w:hint="eastAsia" w:ascii="宋体" w:hAnsi="宋体" w:eastAsia="宋体" w:cs="Times New Roman"/>
                <w:color w:val="auto"/>
                <w:kern w:val="0"/>
                <w:highlight w:val="none"/>
                <w:lang w:eastAsia="zh-CN"/>
              </w:rPr>
              <w:t>☑</w:t>
            </w:r>
            <w:r>
              <w:rPr>
                <w:rFonts w:hint="eastAsia" w:ascii="宋体" w:hAnsi="宋体" w:eastAsia="宋体" w:cs="Times New Roman"/>
                <w:color w:val="auto"/>
                <w:kern w:val="0"/>
                <w:highlight w:val="none"/>
              </w:rPr>
              <w:t>不设偏差范围。</w:t>
            </w:r>
          </w:p>
        </w:tc>
      </w:tr>
      <w:tr w14:paraId="3B9C52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restart"/>
            <w:noWrap w:val="0"/>
            <w:vAlign w:val="center"/>
          </w:tcPr>
          <w:p w14:paraId="32952CD1">
            <w:pPr>
              <w:snapToGrid w:val="0"/>
              <w:spacing w:line="400" w:lineRule="exac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2.2.4</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1</w:t>
            </w:r>
            <w:r>
              <w:rPr>
                <w:rFonts w:hint="eastAsia" w:ascii="宋体" w:hAnsi="宋体" w:eastAsia="宋体" w:cs="Times New Roman"/>
                <w:color w:val="auto"/>
                <w:kern w:val="0"/>
                <w:szCs w:val="21"/>
                <w:highlight w:val="none"/>
                <w:lang w:eastAsia="zh-CN"/>
              </w:rPr>
              <w:t>）</w:t>
            </w:r>
            <w:r>
              <w:rPr>
                <w:rFonts w:ascii="宋体" w:hAnsi="宋体" w:eastAsia="宋体" w:cs="Times New Roman"/>
                <w:color w:val="auto"/>
                <w:kern w:val="0"/>
                <w:szCs w:val="21"/>
                <w:highlight w:val="none"/>
              </w:rPr>
              <w:t xml:space="preserve"> </w:t>
            </w:r>
          </w:p>
        </w:tc>
        <w:tc>
          <w:tcPr>
            <w:tcW w:w="666" w:type="dxa"/>
            <w:vMerge w:val="restart"/>
            <w:noWrap w:val="0"/>
            <w:vAlign w:val="center"/>
          </w:tcPr>
          <w:p w14:paraId="126053DC">
            <w:pPr>
              <w:snapToGrid w:val="0"/>
              <w:spacing w:line="400" w:lineRule="exact"/>
              <w:jc w:val="center"/>
              <w:rPr>
                <w:rFonts w:ascii="宋体" w:hAnsi="宋体" w:eastAsia="宋体" w:cs="Times New Roman"/>
                <w:color w:val="auto"/>
                <w:kern w:val="0"/>
                <w:highlight w:val="none"/>
              </w:rPr>
            </w:pPr>
            <w:r>
              <w:rPr>
                <w:rFonts w:hint="eastAsia" w:ascii="宋体" w:hAnsi="宋体" w:eastAsia="宋体" w:cs="Times New Roman"/>
                <w:color w:val="auto"/>
                <w:kern w:val="0"/>
                <w:highlight w:val="none"/>
              </w:rPr>
              <w:t>技术方案</w:t>
            </w:r>
            <w:r>
              <w:rPr>
                <w:rFonts w:ascii="宋体" w:hAnsi="宋体" w:eastAsia="宋体" w:cs="Times New Roman"/>
                <w:color w:val="auto"/>
                <w:kern w:val="0"/>
                <w:highlight w:val="none"/>
              </w:rPr>
              <w:t>评分标准</w:t>
            </w:r>
          </w:p>
        </w:tc>
        <w:tc>
          <w:tcPr>
            <w:tcW w:w="2558" w:type="dxa"/>
            <w:gridSpan w:val="3"/>
            <w:shd w:val="clear" w:color="auto" w:fill="auto"/>
            <w:noWrap w:val="0"/>
            <w:vAlign w:val="center"/>
          </w:tcPr>
          <w:p w14:paraId="0652060D">
            <w:pPr>
              <w:tabs>
                <w:tab w:val="left" w:pos="1875"/>
              </w:tabs>
              <w:spacing w:line="400" w:lineRule="exact"/>
              <w:jc w:val="center"/>
              <w:rPr>
                <w:rFonts w:hint="eastAsia"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组织方案（</w:t>
            </w:r>
            <w:r>
              <w:rPr>
                <w:rFonts w:hint="eastAsia" w:ascii="宋体" w:hAnsi="宋体" w:cs="Times New Roman"/>
                <w:color w:val="auto"/>
                <w:kern w:val="0"/>
                <w:highlight w:val="none"/>
                <w:lang w:val="en-US" w:eastAsia="zh-CN"/>
              </w:rPr>
              <w:t>1</w:t>
            </w:r>
            <w:r>
              <w:rPr>
                <w:rFonts w:hint="eastAsia" w:ascii="宋体" w:hAnsi="宋体" w:eastAsia="宋体" w:cs="Times New Roman"/>
                <w:color w:val="auto"/>
                <w:kern w:val="0"/>
                <w:highlight w:val="none"/>
                <w:lang w:val="en-US" w:eastAsia="zh-CN"/>
              </w:rPr>
              <w:t>0分）</w:t>
            </w:r>
          </w:p>
        </w:tc>
        <w:tc>
          <w:tcPr>
            <w:tcW w:w="5493" w:type="dxa"/>
            <w:shd w:val="clear" w:color="auto" w:fill="auto"/>
            <w:noWrap w:val="0"/>
            <w:vAlign w:val="center"/>
          </w:tcPr>
          <w:p w14:paraId="6C4C9A67">
            <w:pPr>
              <w:tabs>
                <w:tab w:val="left" w:pos="1875"/>
              </w:tabs>
              <w:spacing w:line="400" w:lineRule="exact"/>
              <w:ind w:firstLine="420" w:firstLineChars="200"/>
              <w:jc w:val="left"/>
              <w:rPr>
                <w:rFonts w:hint="eastAsia"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有针对本项目制定管护方案</w:t>
            </w:r>
            <w:r>
              <w:rPr>
                <w:rFonts w:hint="eastAsia" w:ascii="宋体" w:hAnsi="宋体" w:cs="Times New Roman"/>
                <w:color w:val="auto"/>
                <w:kern w:val="0"/>
                <w:highlight w:val="none"/>
                <w:lang w:val="en-US" w:eastAsia="zh-CN"/>
              </w:rPr>
              <w:t>，</w:t>
            </w:r>
            <w:r>
              <w:rPr>
                <w:rFonts w:hint="eastAsia" w:ascii="宋体" w:hAnsi="宋体" w:eastAsia="宋体" w:cs="Times New Roman"/>
                <w:color w:val="auto"/>
                <w:kern w:val="0"/>
                <w:highlight w:val="none"/>
                <w:lang w:val="en-US" w:eastAsia="zh-CN"/>
              </w:rPr>
              <w:t>方案具体全面、突出细节以及重难点</w:t>
            </w:r>
            <w:r>
              <w:rPr>
                <w:rFonts w:hint="eastAsia" w:ascii="宋体" w:hAnsi="宋体" w:cs="Times New Roman"/>
                <w:color w:val="auto"/>
                <w:kern w:val="0"/>
                <w:highlight w:val="none"/>
                <w:lang w:val="en-US" w:eastAsia="zh-CN"/>
              </w:rPr>
              <w:t>，</w:t>
            </w:r>
            <w:r>
              <w:rPr>
                <w:rFonts w:hint="eastAsia" w:ascii="宋体" w:hAnsi="宋体" w:eastAsia="宋体" w:cs="Times New Roman"/>
                <w:color w:val="auto"/>
                <w:kern w:val="0"/>
                <w:highlight w:val="none"/>
                <w:lang w:val="en-US" w:eastAsia="zh-CN"/>
              </w:rPr>
              <w:t>人员配置完善，服务目标明确、主旨清晰。</w:t>
            </w:r>
          </w:p>
          <w:p w14:paraId="57D37718">
            <w:pPr>
              <w:tabs>
                <w:tab w:val="left" w:pos="1875"/>
              </w:tabs>
              <w:spacing w:line="400" w:lineRule="exact"/>
              <w:ind w:firstLine="420" w:firstLineChars="200"/>
              <w:jc w:val="left"/>
              <w:rPr>
                <w:rFonts w:hint="eastAsia"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优得</w:t>
            </w:r>
            <w:r>
              <w:rPr>
                <w:rFonts w:hint="eastAsia" w:ascii="宋体" w:hAnsi="宋体" w:cs="Times New Roman"/>
                <w:color w:val="auto"/>
                <w:kern w:val="0"/>
                <w:highlight w:val="none"/>
                <w:lang w:val="en-US" w:eastAsia="zh-CN"/>
              </w:rPr>
              <w:t>9-10</w:t>
            </w:r>
            <w:r>
              <w:rPr>
                <w:rFonts w:hint="eastAsia" w:ascii="宋体" w:hAnsi="宋体" w:eastAsia="宋体" w:cs="Times New Roman"/>
                <w:color w:val="auto"/>
                <w:kern w:val="0"/>
                <w:highlight w:val="none"/>
                <w:lang w:val="en-US" w:eastAsia="zh-CN"/>
              </w:rPr>
              <w:t>分；良得8-</w:t>
            </w:r>
            <w:r>
              <w:rPr>
                <w:rFonts w:hint="eastAsia" w:ascii="宋体" w:hAnsi="宋体" w:cs="Times New Roman"/>
                <w:color w:val="auto"/>
                <w:kern w:val="0"/>
                <w:highlight w:val="none"/>
                <w:lang w:val="en-US" w:eastAsia="zh-CN"/>
              </w:rPr>
              <w:t>9</w:t>
            </w:r>
            <w:r>
              <w:rPr>
                <w:rFonts w:hint="eastAsia" w:ascii="宋体" w:hAnsi="宋体" w:eastAsia="宋体" w:cs="Times New Roman"/>
                <w:color w:val="auto"/>
                <w:kern w:val="0"/>
                <w:highlight w:val="none"/>
                <w:lang w:val="en-US" w:eastAsia="zh-CN"/>
              </w:rPr>
              <w:t>分</w:t>
            </w:r>
            <w:r>
              <w:rPr>
                <w:rFonts w:hint="eastAsia" w:ascii="宋体" w:hAnsi="宋体" w:cs="Times New Roman"/>
                <w:color w:val="auto"/>
                <w:kern w:val="0"/>
                <w:highlight w:val="none"/>
                <w:lang w:val="en-US" w:eastAsia="zh-CN"/>
              </w:rPr>
              <w:t>（不含）</w:t>
            </w:r>
            <w:r>
              <w:rPr>
                <w:rFonts w:hint="eastAsia" w:ascii="宋体" w:hAnsi="宋体" w:eastAsia="宋体" w:cs="Times New Roman"/>
                <w:color w:val="auto"/>
                <w:kern w:val="0"/>
                <w:highlight w:val="none"/>
                <w:lang w:val="en-US" w:eastAsia="zh-CN"/>
              </w:rPr>
              <w:t>；一般得</w:t>
            </w:r>
            <w:r>
              <w:rPr>
                <w:rFonts w:hint="eastAsia" w:ascii="宋体" w:hAnsi="宋体" w:cs="Times New Roman"/>
                <w:color w:val="auto"/>
                <w:kern w:val="0"/>
                <w:highlight w:val="none"/>
                <w:lang w:val="en-US" w:eastAsia="zh-CN"/>
              </w:rPr>
              <w:t>6</w:t>
            </w:r>
            <w:r>
              <w:rPr>
                <w:rFonts w:hint="eastAsia" w:ascii="宋体" w:hAnsi="宋体" w:eastAsia="宋体" w:cs="Times New Roman"/>
                <w:color w:val="auto"/>
                <w:kern w:val="0"/>
                <w:highlight w:val="none"/>
                <w:lang w:val="en-US" w:eastAsia="zh-CN"/>
              </w:rPr>
              <w:t>-</w:t>
            </w:r>
            <w:r>
              <w:rPr>
                <w:rFonts w:hint="eastAsia" w:ascii="宋体" w:hAnsi="宋体" w:cs="Times New Roman"/>
                <w:color w:val="auto"/>
                <w:kern w:val="0"/>
                <w:highlight w:val="none"/>
                <w:lang w:val="en-US" w:eastAsia="zh-CN"/>
              </w:rPr>
              <w:t>8</w:t>
            </w:r>
            <w:r>
              <w:rPr>
                <w:rFonts w:hint="eastAsia" w:ascii="宋体" w:hAnsi="宋体" w:eastAsia="宋体" w:cs="Times New Roman"/>
                <w:color w:val="auto"/>
                <w:kern w:val="0"/>
                <w:highlight w:val="none"/>
                <w:lang w:val="en-US" w:eastAsia="zh-CN"/>
              </w:rPr>
              <w:t>分</w:t>
            </w:r>
            <w:r>
              <w:rPr>
                <w:rFonts w:hint="eastAsia" w:ascii="宋体" w:hAnsi="宋体" w:cs="Times New Roman"/>
                <w:color w:val="auto"/>
                <w:kern w:val="0"/>
                <w:highlight w:val="none"/>
                <w:lang w:val="en-US" w:eastAsia="zh-CN"/>
              </w:rPr>
              <w:t>（不含）</w:t>
            </w:r>
            <w:r>
              <w:rPr>
                <w:rFonts w:hint="eastAsia" w:ascii="宋体" w:hAnsi="宋体" w:eastAsia="宋体" w:cs="Times New Roman"/>
                <w:color w:val="auto"/>
                <w:kern w:val="0"/>
                <w:highlight w:val="none"/>
                <w:lang w:val="en-US" w:eastAsia="zh-CN"/>
              </w:rPr>
              <w:t>；差得1-</w:t>
            </w:r>
            <w:r>
              <w:rPr>
                <w:rFonts w:hint="eastAsia" w:ascii="宋体" w:hAnsi="宋体" w:cs="Times New Roman"/>
                <w:color w:val="auto"/>
                <w:kern w:val="0"/>
                <w:highlight w:val="none"/>
                <w:lang w:val="en-US" w:eastAsia="zh-CN"/>
              </w:rPr>
              <w:t>6</w:t>
            </w:r>
            <w:r>
              <w:rPr>
                <w:rFonts w:hint="eastAsia" w:ascii="宋体" w:hAnsi="宋体" w:eastAsia="宋体" w:cs="Times New Roman"/>
                <w:color w:val="auto"/>
                <w:kern w:val="0"/>
                <w:highlight w:val="none"/>
                <w:lang w:val="en-US" w:eastAsia="zh-CN"/>
              </w:rPr>
              <w:t>分</w:t>
            </w:r>
            <w:r>
              <w:rPr>
                <w:rFonts w:hint="eastAsia" w:ascii="宋体" w:hAnsi="宋体" w:cs="Times New Roman"/>
                <w:color w:val="auto"/>
                <w:kern w:val="0"/>
                <w:highlight w:val="none"/>
                <w:lang w:val="en-US" w:eastAsia="zh-CN"/>
              </w:rPr>
              <w:t>（分）</w:t>
            </w:r>
            <w:r>
              <w:rPr>
                <w:rFonts w:hint="eastAsia" w:ascii="宋体" w:hAnsi="宋体" w:eastAsia="宋体" w:cs="Times New Roman"/>
                <w:color w:val="auto"/>
                <w:kern w:val="0"/>
                <w:highlight w:val="none"/>
                <w:lang w:val="en-US" w:eastAsia="zh-CN"/>
              </w:rPr>
              <w:t>；未提供不得分。</w:t>
            </w:r>
          </w:p>
        </w:tc>
      </w:tr>
      <w:tr w14:paraId="79397B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noWrap w:val="0"/>
            <w:vAlign w:val="top"/>
          </w:tcPr>
          <w:p w14:paraId="341A9CEC">
            <w:pPr>
              <w:snapToGrid w:val="0"/>
              <w:spacing w:line="400" w:lineRule="exact"/>
              <w:rPr>
                <w:rFonts w:ascii="宋体" w:hAnsi="宋体" w:eastAsia="宋体" w:cs="Times New Roman"/>
                <w:color w:val="auto"/>
                <w:highlight w:val="none"/>
              </w:rPr>
            </w:pPr>
          </w:p>
        </w:tc>
        <w:tc>
          <w:tcPr>
            <w:tcW w:w="666" w:type="dxa"/>
            <w:vMerge w:val="continue"/>
            <w:noWrap w:val="0"/>
            <w:vAlign w:val="top"/>
          </w:tcPr>
          <w:p w14:paraId="161AF49A">
            <w:pPr>
              <w:snapToGrid w:val="0"/>
              <w:spacing w:line="400" w:lineRule="exact"/>
              <w:rPr>
                <w:rFonts w:ascii="宋体" w:hAnsi="宋体" w:eastAsia="宋体" w:cs="Times New Roman"/>
                <w:color w:val="auto"/>
                <w:highlight w:val="none"/>
              </w:rPr>
            </w:pPr>
          </w:p>
        </w:tc>
        <w:tc>
          <w:tcPr>
            <w:tcW w:w="2558" w:type="dxa"/>
            <w:gridSpan w:val="3"/>
            <w:shd w:val="clear" w:color="auto" w:fill="auto"/>
            <w:noWrap w:val="0"/>
            <w:vAlign w:val="center"/>
          </w:tcPr>
          <w:p w14:paraId="30A1642A">
            <w:pPr>
              <w:tabs>
                <w:tab w:val="left" w:pos="1875"/>
              </w:tabs>
              <w:spacing w:line="400" w:lineRule="exact"/>
              <w:jc w:val="center"/>
              <w:rPr>
                <w:rFonts w:hint="eastAsia"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质量控制（</w:t>
            </w:r>
            <w:r>
              <w:rPr>
                <w:rFonts w:hint="eastAsia" w:ascii="宋体" w:hAnsi="宋体" w:cs="Times New Roman"/>
                <w:color w:val="auto"/>
                <w:kern w:val="0"/>
                <w:highlight w:val="none"/>
                <w:lang w:val="en-US" w:eastAsia="zh-CN"/>
              </w:rPr>
              <w:t>15</w:t>
            </w:r>
            <w:r>
              <w:rPr>
                <w:rFonts w:hint="eastAsia" w:ascii="宋体" w:hAnsi="宋体" w:eastAsia="宋体" w:cs="Times New Roman"/>
                <w:color w:val="auto"/>
                <w:kern w:val="0"/>
                <w:highlight w:val="none"/>
                <w:lang w:val="en-US" w:eastAsia="zh-CN"/>
              </w:rPr>
              <w:t>分）</w:t>
            </w:r>
          </w:p>
        </w:tc>
        <w:tc>
          <w:tcPr>
            <w:tcW w:w="5493" w:type="dxa"/>
            <w:shd w:val="clear" w:color="auto" w:fill="auto"/>
            <w:noWrap w:val="0"/>
            <w:vAlign w:val="center"/>
          </w:tcPr>
          <w:p w14:paraId="755B9DAA">
            <w:pPr>
              <w:tabs>
                <w:tab w:val="left" w:pos="1875"/>
              </w:tabs>
              <w:spacing w:line="400" w:lineRule="exact"/>
              <w:ind w:firstLine="420" w:firstLineChars="200"/>
              <w:jc w:val="left"/>
              <w:rPr>
                <w:rFonts w:hint="eastAsia"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有针对本项目制定服务质量控制措施（服务质量控制措施包括但不限于：质量管理目标、质量控制层级、质量巡查制度等。</w:t>
            </w:r>
          </w:p>
          <w:p w14:paraId="4C61D385">
            <w:pPr>
              <w:tabs>
                <w:tab w:val="left" w:pos="1875"/>
              </w:tabs>
              <w:spacing w:line="400" w:lineRule="exact"/>
              <w:ind w:firstLine="420" w:firstLineChars="200"/>
              <w:jc w:val="left"/>
              <w:rPr>
                <w:rFonts w:hint="eastAsia"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优得</w:t>
            </w:r>
            <w:r>
              <w:rPr>
                <w:rFonts w:hint="eastAsia" w:ascii="宋体" w:hAnsi="宋体" w:cs="Times New Roman"/>
                <w:color w:val="auto"/>
                <w:kern w:val="0"/>
                <w:highlight w:val="none"/>
                <w:lang w:val="en-US" w:eastAsia="zh-CN"/>
              </w:rPr>
              <w:t>13.5-15</w:t>
            </w:r>
            <w:r>
              <w:rPr>
                <w:rFonts w:hint="eastAsia" w:ascii="宋体" w:hAnsi="宋体" w:eastAsia="宋体" w:cs="Times New Roman"/>
                <w:color w:val="auto"/>
                <w:kern w:val="0"/>
                <w:highlight w:val="none"/>
                <w:lang w:val="en-US" w:eastAsia="zh-CN"/>
              </w:rPr>
              <w:t>分；良得1</w:t>
            </w:r>
            <w:r>
              <w:rPr>
                <w:rFonts w:hint="eastAsia" w:ascii="宋体" w:hAnsi="宋体" w:cs="Times New Roman"/>
                <w:color w:val="auto"/>
                <w:kern w:val="0"/>
                <w:highlight w:val="none"/>
                <w:lang w:val="en-US" w:eastAsia="zh-CN"/>
              </w:rPr>
              <w:t>2</w:t>
            </w:r>
            <w:r>
              <w:rPr>
                <w:rFonts w:hint="eastAsia" w:ascii="宋体" w:hAnsi="宋体" w:eastAsia="宋体" w:cs="Times New Roman"/>
                <w:color w:val="auto"/>
                <w:kern w:val="0"/>
                <w:highlight w:val="none"/>
                <w:lang w:val="en-US" w:eastAsia="zh-CN"/>
              </w:rPr>
              <w:t>-</w:t>
            </w:r>
            <w:r>
              <w:rPr>
                <w:rFonts w:hint="eastAsia" w:ascii="宋体" w:hAnsi="宋体" w:cs="Times New Roman"/>
                <w:color w:val="auto"/>
                <w:kern w:val="0"/>
                <w:highlight w:val="none"/>
                <w:lang w:val="en-US" w:eastAsia="zh-CN"/>
              </w:rPr>
              <w:t>13.5</w:t>
            </w:r>
            <w:r>
              <w:rPr>
                <w:rFonts w:hint="eastAsia" w:ascii="宋体" w:hAnsi="宋体" w:eastAsia="宋体" w:cs="Times New Roman"/>
                <w:color w:val="auto"/>
                <w:kern w:val="0"/>
                <w:highlight w:val="none"/>
                <w:lang w:val="en-US" w:eastAsia="zh-CN"/>
              </w:rPr>
              <w:t>分</w:t>
            </w:r>
            <w:r>
              <w:rPr>
                <w:rFonts w:hint="eastAsia" w:ascii="宋体" w:hAnsi="宋体" w:cs="Times New Roman"/>
                <w:color w:val="auto"/>
                <w:kern w:val="0"/>
                <w:highlight w:val="none"/>
                <w:lang w:val="en-US" w:eastAsia="zh-CN"/>
              </w:rPr>
              <w:t>（不含）</w:t>
            </w:r>
            <w:r>
              <w:rPr>
                <w:rFonts w:hint="eastAsia" w:ascii="宋体" w:hAnsi="宋体" w:eastAsia="宋体" w:cs="Times New Roman"/>
                <w:color w:val="auto"/>
                <w:kern w:val="0"/>
                <w:highlight w:val="none"/>
                <w:lang w:val="en-US" w:eastAsia="zh-CN"/>
              </w:rPr>
              <w:t>；一般得</w:t>
            </w:r>
            <w:r>
              <w:rPr>
                <w:rFonts w:hint="eastAsia" w:ascii="宋体" w:hAnsi="宋体" w:cs="Times New Roman"/>
                <w:color w:val="auto"/>
                <w:kern w:val="0"/>
                <w:highlight w:val="none"/>
                <w:lang w:val="en-US" w:eastAsia="zh-CN"/>
              </w:rPr>
              <w:t>9-12</w:t>
            </w:r>
            <w:r>
              <w:rPr>
                <w:rFonts w:hint="eastAsia" w:ascii="宋体" w:hAnsi="宋体" w:eastAsia="宋体" w:cs="Times New Roman"/>
                <w:color w:val="auto"/>
                <w:kern w:val="0"/>
                <w:highlight w:val="none"/>
                <w:lang w:val="en-US" w:eastAsia="zh-CN"/>
              </w:rPr>
              <w:t>分</w:t>
            </w:r>
            <w:r>
              <w:rPr>
                <w:rFonts w:hint="eastAsia" w:ascii="宋体" w:hAnsi="宋体" w:cs="Times New Roman"/>
                <w:color w:val="auto"/>
                <w:kern w:val="0"/>
                <w:highlight w:val="none"/>
                <w:lang w:val="en-US" w:eastAsia="zh-CN"/>
              </w:rPr>
              <w:t>（不含）</w:t>
            </w:r>
            <w:r>
              <w:rPr>
                <w:rFonts w:hint="eastAsia" w:ascii="宋体" w:hAnsi="宋体" w:eastAsia="宋体" w:cs="Times New Roman"/>
                <w:color w:val="auto"/>
                <w:kern w:val="0"/>
                <w:highlight w:val="none"/>
                <w:lang w:val="en-US" w:eastAsia="zh-CN"/>
              </w:rPr>
              <w:t>；差得1-</w:t>
            </w:r>
            <w:r>
              <w:rPr>
                <w:rFonts w:hint="eastAsia" w:ascii="宋体" w:hAnsi="宋体" w:cs="Times New Roman"/>
                <w:color w:val="auto"/>
                <w:kern w:val="0"/>
                <w:highlight w:val="none"/>
                <w:lang w:val="en-US" w:eastAsia="zh-CN"/>
              </w:rPr>
              <w:t>9</w:t>
            </w:r>
            <w:r>
              <w:rPr>
                <w:rFonts w:hint="eastAsia" w:ascii="宋体" w:hAnsi="宋体" w:eastAsia="宋体" w:cs="Times New Roman"/>
                <w:color w:val="auto"/>
                <w:kern w:val="0"/>
                <w:highlight w:val="none"/>
                <w:lang w:val="en-US" w:eastAsia="zh-CN"/>
              </w:rPr>
              <w:t>分</w:t>
            </w:r>
            <w:r>
              <w:rPr>
                <w:rFonts w:hint="eastAsia" w:ascii="宋体" w:hAnsi="宋体" w:cs="Times New Roman"/>
                <w:color w:val="auto"/>
                <w:kern w:val="0"/>
                <w:highlight w:val="none"/>
                <w:lang w:val="en-US" w:eastAsia="zh-CN"/>
              </w:rPr>
              <w:t>（不含）</w:t>
            </w:r>
            <w:r>
              <w:rPr>
                <w:rFonts w:hint="eastAsia" w:ascii="宋体" w:hAnsi="宋体" w:eastAsia="宋体" w:cs="Times New Roman"/>
                <w:color w:val="auto"/>
                <w:kern w:val="0"/>
                <w:highlight w:val="none"/>
                <w:lang w:val="en-US" w:eastAsia="zh-CN"/>
              </w:rPr>
              <w:t>；未提供不得分。</w:t>
            </w:r>
          </w:p>
        </w:tc>
      </w:tr>
      <w:tr w14:paraId="1798AA0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noWrap w:val="0"/>
            <w:vAlign w:val="top"/>
          </w:tcPr>
          <w:p w14:paraId="4E6CFBA7">
            <w:pPr>
              <w:snapToGrid w:val="0"/>
              <w:spacing w:line="400" w:lineRule="exact"/>
              <w:rPr>
                <w:rFonts w:ascii="宋体" w:hAnsi="宋体" w:eastAsia="宋体" w:cs="Times New Roman"/>
                <w:color w:val="auto"/>
                <w:highlight w:val="none"/>
              </w:rPr>
            </w:pPr>
          </w:p>
        </w:tc>
        <w:tc>
          <w:tcPr>
            <w:tcW w:w="666" w:type="dxa"/>
            <w:vMerge w:val="continue"/>
            <w:noWrap w:val="0"/>
            <w:vAlign w:val="top"/>
          </w:tcPr>
          <w:p w14:paraId="58ACD43C">
            <w:pPr>
              <w:snapToGrid w:val="0"/>
              <w:spacing w:line="400" w:lineRule="exact"/>
              <w:rPr>
                <w:rFonts w:ascii="宋体" w:hAnsi="宋体" w:eastAsia="宋体" w:cs="Times New Roman"/>
                <w:color w:val="auto"/>
                <w:highlight w:val="none"/>
              </w:rPr>
            </w:pPr>
          </w:p>
        </w:tc>
        <w:tc>
          <w:tcPr>
            <w:tcW w:w="2558" w:type="dxa"/>
            <w:gridSpan w:val="3"/>
            <w:shd w:val="clear" w:color="auto" w:fill="auto"/>
            <w:noWrap w:val="0"/>
            <w:vAlign w:val="center"/>
          </w:tcPr>
          <w:p w14:paraId="561378CB">
            <w:pPr>
              <w:tabs>
                <w:tab w:val="left" w:pos="1875"/>
              </w:tabs>
              <w:spacing w:line="400" w:lineRule="exact"/>
              <w:jc w:val="center"/>
              <w:rPr>
                <w:rFonts w:hint="eastAsia"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应急抢险（</w:t>
            </w:r>
            <w:r>
              <w:rPr>
                <w:rFonts w:hint="eastAsia" w:ascii="宋体" w:hAnsi="宋体" w:cs="Times New Roman"/>
                <w:color w:val="auto"/>
                <w:kern w:val="0"/>
                <w:highlight w:val="none"/>
                <w:lang w:val="en-US" w:eastAsia="zh-CN"/>
              </w:rPr>
              <w:t>5分）</w:t>
            </w:r>
          </w:p>
        </w:tc>
        <w:tc>
          <w:tcPr>
            <w:tcW w:w="5493" w:type="dxa"/>
            <w:shd w:val="clear" w:color="auto" w:fill="auto"/>
            <w:noWrap w:val="0"/>
            <w:vAlign w:val="center"/>
          </w:tcPr>
          <w:p w14:paraId="66EFD460">
            <w:pPr>
              <w:tabs>
                <w:tab w:val="left" w:pos="1875"/>
              </w:tabs>
              <w:spacing w:line="400" w:lineRule="exact"/>
              <w:ind w:firstLine="420" w:firstLineChars="200"/>
              <w:jc w:val="left"/>
              <w:rPr>
                <w:rFonts w:hint="eastAsia"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针对本项目制定应急抢险措施（应急抢险措施包括但不限于：应急抢险处置流程、抢险预案等。</w:t>
            </w:r>
          </w:p>
          <w:p w14:paraId="2371D74E">
            <w:pPr>
              <w:tabs>
                <w:tab w:val="left" w:pos="1875"/>
              </w:tabs>
              <w:spacing w:line="400" w:lineRule="exact"/>
              <w:ind w:firstLine="420" w:firstLineChars="200"/>
              <w:jc w:val="left"/>
              <w:rPr>
                <w:rFonts w:hint="eastAsia"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优得</w:t>
            </w:r>
            <w:r>
              <w:rPr>
                <w:rFonts w:hint="eastAsia" w:ascii="宋体" w:hAnsi="宋体" w:cs="Times New Roman"/>
                <w:color w:val="auto"/>
                <w:kern w:val="0"/>
                <w:highlight w:val="none"/>
                <w:lang w:val="en-US" w:eastAsia="zh-CN"/>
              </w:rPr>
              <w:t>4.5-5</w:t>
            </w:r>
            <w:r>
              <w:rPr>
                <w:rFonts w:hint="eastAsia" w:ascii="宋体" w:hAnsi="宋体" w:eastAsia="宋体" w:cs="Times New Roman"/>
                <w:color w:val="auto"/>
                <w:kern w:val="0"/>
                <w:highlight w:val="none"/>
                <w:lang w:val="en-US" w:eastAsia="zh-CN"/>
              </w:rPr>
              <w:t>分</w:t>
            </w:r>
            <w:r>
              <w:rPr>
                <w:rFonts w:hint="eastAsia" w:ascii="宋体" w:hAnsi="宋体" w:cs="Times New Roman"/>
                <w:color w:val="auto"/>
                <w:kern w:val="0"/>
                <w:highlight w:val="none"/>
                <w:lang w:val="en-US" w:eastAsia="zh-CN"/>
              </w:rPr>
              <w:t>（不含）</w:t>
            </w:r>
            <w:r>
              <w:rPr>
                <w:rFonts w:hint="eastAsia" w:ascii="宋体" w:hAnsi="宋体" w:eastAsia="宋体" w:cs="Times New Roman"/>
                <w:color w:val="auto"/>
                <w:kern w:val="0"/>
                <w:highlight w:val="none"/>
                <w:lang w:val="en-US" w:eastAsia="zh-CN"/>
              </w:rPr>
              <w:t>；良得</w:t>
            </w:r>
            <w:r>
              <w:rPr>
                <w:rFonts w:hint="eastAsia" w:ascii="宋体" w:hAnsi="宋体" w:cs="Times New Roman"/>
                <w:color w:val="auto"/>
                <w:kern w:val="0"/>
                <w:highlight w:val="none"/>
                <w:lang w:val="en-US" w:eastAsia="zh-CN"/>
              </w:rPr>
              <w:t>4-4.5</w:t>
            </w:r>
            <w:r>
              <w:rPr>
                <w:rFonts w:hint="eastAsia" w:ascii="宋体" w:hAnsi="宋体" w:eastAsia="宋体" w:cs="Times New Roman"/>
                <w:color w:val="auto"/>
                <w:kern w:val="0"/>
                <w:highlight w:val="none"/>
                <w:lang w:val="en-US" w:eastAsia="zh-CN"/>
              </w:rPr>
              <w:t>分</w:t>
            </w:r>
            <w:r>
              <w:rPr>
                <w:rFonts w:hint="eastAsia" w:ascii="宋体" w:hAnsi="宋体" w:cs="Times New Roman"/>
                <w:color w:val="auto"/>
                <w:kern w:val="0"/>
                <w:highlight w:val="none"/>
                <w:lang w:val="en-US" w:eastAsia="zh-CN"/>
              </w:rPr>
              <w:t>（不含）</w:t>
            </w:r>
            <w:r>
              <w:rPr>
                <w:rFonts w:hint="eastAsia" w:ascii="宋体" w:hAnsi="宋体" w:eastAsia="宋体" w:cs="Times New Roman"/>
                <w:color w:val="auto"/>
                <w:kern w:val="0"/>
                <w:highlight w:val="none"/>
                <w:lang w:val="en-US" w:eastAsia="zh-CN"/>
              </w:rPr>
              <w:t>；一般得</w:t>
            </w:r>
            <w:r>
              <w:rPr>
                <w:rFonts w:hint="eastAsia" w:ascii="宋体" w:hAnsi="宋体" w:cs="Times New Roman"/>
                <w:color w:val="auto"/>
                <w:kern w:val="0"/>
                <w:highlight w:val="none"/>
                <w:lang w:val="en-US" w:eastAsia="zh-CN"/>
              </w:rPr>
              <w:t>3-4</w:t>
            </w:r>
            <w:r>
              <w:rPr>
                <w:rFonts w:hint="eastAsia" w:ascii="宋体" w:hAnsi="宋体" w:eastAsia="宋体" w:cs="Times New Roman"/>
                <w:color w:val="auto"/>
                <w:kern w:val="0"/>
                <w:highlight w:val="none"/>
                <w:lang w:val="en-US" w:eastAsia="zh-CN"/>
              </w:rPr>
              <w:t>分</w:t>
            </w:r>
            <w:r>
              <w:rPr>
                <w:rFonts w:hint="eastAsia" w:ascii="宋体" w:hAnsi="宋体" w:cs="Times New Roman"/>
                <w:color w:val="auto"/>
                <w:kern w:val="0"/>
                <w:highlight w:val="none"/>
                <w:lang w:val="en-US" w:eastAsia="zh-CN"/>
              </w:rPr>
              <w:t>（不含）</w:t>
            </w:r>
            <w:r>
              <w:rPr>
                <w:rFonts w:hint="eastAsia" w:ascii="宋体" w:hAnsi="宋体" w:eastAsia="宋体" w:cs="Times New Roman"/>
                <w:color w:val="auto"/>
                <w:kern w:val="0"/>
                <w:highlight w:val="none"/>
                <w:lang w:val="en-US" w:eastAsia="zh-CN"/>
              </w:rPr>
              <w:t>；差得1-3分</w:t>
            </w:r>
            <w:r>
              <w:rPr>
                <w:rFonts w:hint="eastAsia" w:ascii="宋体" w:hAnsi="宋体" w:cs="Times New Roman"/>
                <w:color w:val="auto"/>
                <w:kern w:val="0"/>
                <w:highlight w:val="none"/>
                <w:lang w:val="en-US" w:eastAsia="zh-CN"/>
              </w:rPr>
              <w:t>（不含）</w:t>
            </w:r>
            <w:r>
              <w:rPr>
                <w:rFonts w:hint="eastAsia" w:ascii="宋体" w:hAnsi="宋体" w:eastAsia="宋体" w:cs="Times New Roman"/>
                <w:color w:val="auto"/>
                <w:kern w:val="0"/>
                <w:highlight w:val="none"/>
                <w:lang w:val="en-US" w:eastAsia="zh-CN"/>
              </w:rPr>
              <w:t>；未提供不得分。</w:t>
            </w:r>
          </w:p>
        </w:tc>
      </w:tr>
      <w:tr w14:paraId="17167B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noWrap w:val="0"/>
            <w:vAlign w:val="center"/>
          </w:tcPr>
          <w:p w14:paraId="22D74CAC">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highlight w:val="none"/>
              </w:rPr>
              <w:t>3</w:t>
            </w:r>
          </w:p>
        </w:tc>
        <w:tc>
          <w:tcPr>
            <w:tcW w:w="1375" w:type="dxa"/>
            <w:gridSpan w:val="2"/>
            <w:noWrap w:val="0"/>
            <w:vAlign w:val="center"/>
          </w:tcPr>
          <w:p w14:paraId="0512B959">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highlight w:val="none"/>
              </w:rPr>
              <w:t>评标程序</w:t>
            </w:r>
          </w:p>
        </w:tc>
        <w:tc>
          <w:tcPr>
            <w:tcW w:w="7342" w:type="dxa"/>
            <w:gridSpan w:val="3"/>
            <w:noWrap w:val="0"/>
            <w:vAlign w:val="top"/>
          </w:tcPr>
          <w:p w14:paraId="2DA5D210">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1.按本章评标办法第3.1款进行初步评审。</w:t>
            </w:r>
          </w:p>
          <w:p w14:paraId="56390152">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2.按本章评标办法前附表2.2.4</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及3.2.1（1）项的规定对技术方案</w:t>
            </w:r>
            <w:r>
              <w:rPr>
                <w:rFonts w:hint="eastAsia" w:ascii="宋体" w:hAnsi="宋体" w:eastAsia="宋体" w:cs="Times New Roman"/>
                <w:color w:val="auto"/>
                <w:szCs w:val="21"/>
                <w:highlight w:val="none"/>
              </w:rPr>
              <w:t>进行</w:t>
            </w:r>
            <w:r>
              <w:rPr>
                <w:rFonts w:hint="eastAsia" w:ascii="宋体" w:hAnsi="宋体" w:cs="Times New Roman"/>
                <w:color w:val="auto"/>
                <w:szCs w:val="21"/>
                <w:highlight w:val="none"/>
                <w:lang w:val="en-US" w:eastAsia="zh-CN"/>
              </w:rPr>
              <w:t>明标</w:t>
            </w:r>
            <w:r>
              <w:rPr>
                <w:rFonts w:hint="eastAsia" w:ascii="宋体" w:hAnsi="宋体" w:eastAsia="宋体" w:cs="Times New Roman"/>
                <w:color w:val="auto"/>
                <w:szCs w:val="21"/>
                <w:highlight w:val="none"/>
              </w:rPr>
              <w:t>评审。</w:t>
            </w:r>
          </w:p>
          <w:p w14:paraId="4564B22E">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rPr>
              <w:t>对初步评审合格的</w:t>
            </w:r>
            <w:r>
              <w:rPr>
                <w:rFonts w:hint="eastAsia" w:ascii="宋体" w:hAnsi="宋体" w:eastAsia="宋体" w:cs="Times New Roman"/>
                <w:color w:val="auto"/>
                <w:szCs w:val="21"/>
                <w:highlight w:val="none"/>
                <w:lang w:eastAsia="zh-CN"/>
              </w:rPr>
              <w:t>竞标</w:t>
            </w:r>
            <w:r>
              <w:rPr>
                <w:rFonts w:hint="eastAsia" w:ascii="宋体" w:hAnsi="宋体" w:eastAsia="宋体" w:cs="Times New Roman"/>
                <w:color w:val="auto"/>
                <w:szCs w:val="21"/>
                <w:highlight w:val="none"/>
              </w:rPr>
              <w:t>人按照本章2.2.2项计算方法计算评标基准价，并按本附表3.2.1（</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）规定的评分方法对投标总报价进行评分。</w:t>
            </w:r>
          </w:p>
          <w:p w14:paraId="34C57E9D">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rPr>
              <w:t>.对技术方案、投标总报价得分进行汇总，确定得分由高至低前三名</w:t>
            </w:r>
            <w:r>
              <w:rPr>
                <w:rFonts w:hint="eastAsia" w:ascii="宋体" w:hAnsi="宋体" w:eastAsia="宋体" w:cs="Times New Roman"/>
                <w:color w:val="auto"/>
                <w:szCs w:val="21"/>
                <w:highlight w:val="none"/>
                <w:lang w:eastAsia="zh-CN"/>
              </w:rPr>
              <w:t>竞标</w:t>
            </w:r>
            <w:r>
              <w:rPr>
                <w:rFonts w:hint="eastAsia" w:ascii="宋体" w:hAnsi="宋体" w:eastAsia="宋体" w:cs="Times New Roman"/>
                <w:color w:val="auto"/>
                <w:szCs w:val="21"/>
                <w:highlight w:val="none"/>
              </w:rPr>
              <w:t>人为中标候选人。</w:t>
            </w:r>
          </w:p>
          <w:p w14:paraId="66E0C839">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5.因</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作否决投标处理导致有效</w:t>
            </w:r>
            <w:r>
              <w:rPr>
                <w:rFonts w:hint="eastAsia" w:ascii="宋体" w:hAnsi="宋体" w:eastAsia="宋体" w:cs="Times New Roman"/>
                <w:color w:val="auto"/>
                <w:szCs w:val="21"/>
                <w:highlight w:val="none"/>
                <w:lang w:eastAsia="zh-CN"/>
              </w:rPr>
              <w:t>竞标</w:t>
            </w:r>
            <w:r>
              <w:rPr>
                <w:rFonts w:hint="eastAsia" w:ascii="宋体" w:hAnsi="宋体" w:eastAsia="宋体" w:cs="Times New Roman"/>
                <w:color w:val="auto"/>
                <w:szCs w:val="21"/>
                <w:highlight w:val="none"/>
              </w:rPr>
              <w:t>人不足三个的，</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应当否决所有投标。但是有效</w:t>
            </w:r>
            <w:r>
              <w:rPr>
                <w:rFonts w:hint="eastAsia" w:ascii="宋体" w:hAnsi="宋体" w:eastAsia="宋体" w:cs="Times New Roman"/>
                <w:color w:val="auto"/>
                <w:szCs w:val="21"/>
                <w:highlight w:val="none"/>
                <w:lang w:eastAsia="zh-CN"/>
              </w:rPr>
              <w:t>竞标</w:t>
            </w:r>
            <w:r>
              <w:rPr>
                <w:rFonts w:hint="eastAsia" w:ascii="宋体" w:hAnsi="宋体" w:eastAsia="宋体" w:cs="Times New Roman"/>
                <w:color w:val="auto"/>
                <w:szCs w:val="21"/>
                <w:highlight w:val="none"/>
              </w:rPr>
              <w:t>人的经济、技术等指标仍然具有市场竞争力，能够满足招标文件要求的，</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可以继续评标并确定中标候选人。</w:t>
            </w:r>
          </w:p>
        </w:tc>
      </w:tr>
      <w:tr w14:paraId="3AFE99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752" w:type="dxa"/>
            <w:vMerge w:val="restart"/>
            <w:noWrap w:val="0"/>
            <w:vAlign w:val="center"/>
          </w:tcPr>
          <w:p w14:paraId="449A6344">
            <w:pPr>
              <w:spacing w:line="400" w:lineRule="exact"/>
              <w:jc w:val="center"/>
              <w:rPr>
                <w:rFonts w:ascii="宋体" w:hAnsi="宋体" w:eastAsia="宋体" w:cs="Times New Roman"/>
                <w:color w:val="auto"/>
                <w:highlight w:val="none"/>
              </w:rPr>
            </w:pPr>
            <w:r>
              <w:rPr>
                <w:rFonts w:ascii="宋体" w:hAnsi="宋体" w:eastAsia="宋体" w:cs="Times New Roman"/>
                <w:color w:val="auto"/>
                <w:highlight w:val="none"/>
              </w:rPr>
              <w:t>3.2.1</w:t>
            </w:r>
          </w:p>
          <w:p w14:paraId="4EDD0AFB">
            <w:pPr>
              <w:spacing w:line="400" w:lineRule="exact"/>
              <w:jc w:val="center"/>
              <w:rPr>
                <w:rFonts w:ascii="宋体" w:hAnsi="宋体" w:eastAsia="宋体" w:cs="Times New Roman"/>
                <w:color w:val="auto"/>
                <w:highlight w:val="none"/>
              </w:rPr>
            </w:pPr>
            <w:r>
              <w:rPr>
                <w:rFonts w:ascii="宋体" w:hAnsi="宋体" w:eastAsia="宋体" w:cs="Times New Roman"/>
                <w:color w:val="auto"/>
                <w:highlight w:val="none"/>
              </w:rPr>
              <w:t>（</w:t>
            </w:r>
            <w:r>
              <w:rPr>
                <w:rFonts w:hint="eastAsia" w:ascii="宋体" w:hAnsi="宋体" w:eastAsia="宋体" w:cs="Times New Roman"/>
                <w:color w:val="auto"/>
                <w:highlight w:val="none"/>
              </w:rPr>
              <w:t>1</w:t>
            </w:r>
            <w:r>
              <w:rPr>
                <w:rFonts w:ascii="宋体" w:hAnsi="宋体" w:eastAsia="宋体" w:cs="Times New Roman"/>
                <w:color w:val="auto"/>
                <w:highlight w:val="none"/>
              </w:rPr>
              <w:t>）</w:t>
            </w:r>
          </w:p>
        </w:tc>
        <w:tc>
          <w:tcPr>
            <w:tcW w:w="1375" w:type="dxa"/>
            <w:gridSpan w:val="2"/>
            <w:vMerge w:val="restart"/>
            <w:shd w:val="clear" w:color="auto" w:fill="auto"/>
            <w:noWrap w:val="0"/>
            <w:vAlign w:val="center"/>
          </w:tcPr>
          <w:p w14:paraId="5AA49B37">
            <w:pPr>
              <w:spacing w:line="400" w:lineRule="exact"/>
              <w:jc w:val="center"/>
              <w:rPr>
                <w:rFonts w:ascii="宋体" w:hAnsi="宋体" w:eastAsia="宋体" w:cs="Times New Roman"/>
                <w:color w:val="auto"/>
                <w:highlight w:val="none"/>
              </w:rPr>
            </w:pPr>
            <w:r>
              <w:rPr>
                <w:rFonts w:hint="eastAsia" w:ascii="宋体" w:hAnsi="宋体" w:eastAsia="宋体" w:cs="Times New Roman"/>
                <w:color w:val="auto"/>
                <w:highlight w:val="none"/>
              </w:rPr>
              <w:t>技术方案</w:t>
            </w:r>
            <w:r>
              <w:rPr>
                <w:rFonts w:ascii="宋体" w:hAnsi="宋体" w:eastAsia="宋体" w:cs="Times New Roman"/>
                <w:color w:val="auto"/>
                <w:kern w:val="0"/>
                <w:highlight w:val="none"/>
              </w:rPr>
              <w:t>得分</w:t>
            </w:r>
            <w:r>
              <w:rPr>
                <w:rFonts w:ascii="宋体" w:hAnsi="宋体" w:eastAsia="宋体" w:cs="Times New Roman"/>
                <w:color w:val="auto"/>
                <w:spacing w:val="-4"/>
                <w:highlight w:val="none"/>
              </w:rPr>
              <w:t>（</w:t>
            </w:r>
            <w:r>
              <w:rPr>
                <w:rFonts w:hint="eastAsia" w:ascii="宋体" w:hAnsi="宋体" w:eastAsia="宋体" w:cs="Times New Roman"/>
                <w:color w:val="auto"/>
                <w:spacing w:val="-4"/>
                <w:highlight w:val="none"/>
              </w:rPr>
              <w:t>A）</w:t>
            </w:r>
          </w:p>
        </w:tc>
        <w:tc>
          <w:tcPr>
            <w:tcW w:w="1849" w:type="dxa"/>
            <w:gridSpan w:val="2"/>
            <w:tcBorders>
              <w:bottom w:val="single" w:color="auto" w:sz="4" w:space="0"/>
            </w:tcBorders>
            <w:shd w:val="clear" w:color="auto" w:fill="auto"/>
            <w:noWrap w:val="0"/>
            <w:vAlign w:val="center"/>
          </w:tcPr>
          <w:p w14:paraId="1A105813">
            <w:pPr>
              <w:tabs>
                <w:tab w:val="left" w:pos="1875"/>
              </w:tabs>
              <w:spacing w:line="400" w:lineRule="exact"/>
              <w:jc w:val="center"/>
              <w:rPr>
                <w:rFonts w:hint="eastAsia" w:ascii="宋体" w:hAnsi="宋体" w:eastAsia="宋体" w:cs="Times New Roman"/>
                <w:color w:val="auto"/>
                <w:kern w:val="0"/>
                <w:sz w:val="21"/>
                <w:szCs w:val="24"/>
                <w:highlight w:val="none"/>
                <w:lang w:val="en-US" w:eastAsia="zh-CN" w:bidi="ar-SA"/>
              </w:rPr>
            </w:pPr>
            <w:r>
              <w:rPr>
                <w:rFonts w:hint="eastAsia" w:ascii="宋体" w:hAnsi="宋体" w:eastAsia="宋体" w:cs="Times New Roman"/>
                <w:color w:val="auto"/>
                <w:kern w:val="0"/>
                <w:highlight w:val="none"/>
                <w:lang w:val="en-US" w:eastAsia="zh-CN"/>
              </w:rPr>
              <w:t>组织方案</w:t>
            </w:r>
          </w:p>
        </w:tc>
        <w:tc>
          <w:tcPr>
            <w:tcW w:w="5493" w:type="dxa"/>
            <w:vMerge w:val="restart"/>
            <w:shd w:val="clear" w:color="auto" w:fill="auto"/>
            <w:noWrap w:val="0"/>
            <w:vAlign w:val="center"/>
          </w:tcPr>
          <w:p w14:paraId="4355D5E9">
            <w:pPr>
              <w:autoSpaceDE w:val="0"/>
              <w:autoSpaceDN w:val="0"/>
              <w:adjustRightInd w:val="0"/>
              <w:snapToGrid w:val="0"/>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评审小组</w:t>
            </w:r>
            <w:r>
              <w:rPr>
                <w:rFonts w:ascii="宋体" w:hAnsi="宋体" w:eastAsia="宋体" w:cs="Times New Roman"/>
                <w:color w:val="auto"/>
                <w:szCs w:val="21"/>
                <w:highlight w:val="none"/>
              </w:rPr>
              <w:t>按2.2.4（</w:t>
            </w:r>
            <w:r>
              <w:rPr>
                <w:rFonts w:hint="eastAsia" w:ascii="宋体" w:hAnsi="宋体" w:eastAsia="宋体" w:cs="Times New Roman"/>
                <w:color w:val="auto"/>
                <w:szCs w:val="21"/>
                <w:highlight w:val="none"/>
              </w:rPr>
              <w:t>1</w:t>
            </w:r>
            <w:r>
              <w:rPr>
                <w:rFonts w:ascii="宋体" w:hAnsi="宋体" w:eastAsia="宋体" w:cs="Times New Roman"/>
                <w:color w:val="auto"/>
                <w:szCs w:val="21"/>
                <w:highlight w:val="none"/>
              </w:rPr>
              <w:t>）项各评审因素设定的分值评分。</w:t>
            </w:r>
          </w:p>
          <w:p w14:paraId="7EFA1D78">
            <w:pPr>
              <w:spacing w:line="400" w:lineRule="exact"/>
              <w:ind w:firstLine="420" w:firstLineChars="200"/>
              <w:rPr>
                <w:rFonts w:ascii="宋体" w:hAnsi="宋体" w:eastAsia="宋体" w:cs="Times New Roman"/>
                <w:snapToGrid w:val="0"/>
                <w:color w:val="auto"/>
                <w:kern w:val="0"/>
                <w:szCs w:val="21"/>
                <w:highlight w:val="none"/>
              </w:rPr>
            </w:pPr>
            <w:r>
              <w:rPr>
                <w:rFonts w:ascii="宋体" w:hAnsi="宋体" w:eastAsia="宋体" w:cs="Times New Roman"/>
                <w:snapToGrid w:val="0"/>
                <w:color w:val="auto"/>
                <w:kern w:val="0"/>
                <w:szCs w:val="21"/>
                <w:highlight w:val="none"/>
              </w:rPr>
              <w:t>招标文件中设有</w:t>
            </w:r>
            <w:r>
              <w:rPr>
                <w:rFonts w:hint="eastAsia" w:ascii="宋体" w:hAnsi="宋体" w:eastAsia="宋体" w:cs="Times New Roman"/>
                <w:snapToGrid w:val="0"/>
                <w:color w:val="auto"/>
                <w:kern w:val="0"/>
                <w:szCs w:val="21"/>
                <w:highlight w:val="none"/>
              </w:rPr>
              <w:t>技术方案</w:t>
            </w:r>
            <w:r>
              <w:rPr>
                <w:rFonts w:ascii="宋体" w:hAnsi="宋体" w:eastAsia="宋体" w:cs="Times New Roman"/>
                <w:snapToGrid w:val="0"/>
                <w:color w:val="auto"/>
                <w:kern w:val="0"/>
                <w:szCs w:val="21"/>
                <w:highlight w:val="none"/>
              </w:rPr>
              <w:t>评审的，</w:t>
            </w:r>
            <w:r>
              <w:rPr>
                <w:rFonts w:hint="eastAsia" w:ascii="宋体" w:hAnsi="宋体" w:eastAsia="宋体" w:cs="Times New Roman"/>
                <w:snapToGrid w:val="0"/>
                <w:color w:val="auto"/>
                <w:kern w:val="0"/>
                <w:szCs w:val="21"/>
                <w:highlight w:val="none"/>
                <w:lang w:eastAsia="zh-CN"/>
              </w:rPr>
              <w:t>评审小组</w:t>
            </w:r>
            <w:r>
              <w:rPr>
                <w:rFonts w:ascii="宋体" w:hAnsi="宋体" w:eastAsia="宋体" w:cs="Times New Roman"/>
                <w:snapToGrid w:val="0"/>
                <w:color w:val="auto"/>
                <w:kern w:val="0"/>
                <w:szCs w:val="21"/>
                <w:highlight w:val="none"/>
              </w:rPr>
              <w:t>全体成员对</w:t>
            </w:r>
            <w:r>
              <w:rPr>
                <w:rFonts w:hint="eastAsia" w:ascii="宋体" w:hAnsi="宋体" w:eastAsia="宋体" w:cs="Times New Roman"/>
                <w:snapToGrid w:val="0"/>
                <w:color w:val="auto"/>
                <w:kern w:val="0"/>
                <w:szCs w:val="21"/>
                <w:highlight w:val="none"/>
              </w:rPr>
              <w:t>技术方案</w:t>
            </w:r>
            <w:r>
              <w:rPr>
                <w:rFonts w:ascii="宋体" w:hAnsi="宋体" w:eastAsia="宋体" w:cs="Times New Roman"/>
                <w:snapToGrid w:val="0"/>
                <w:color w:val="auto"/>
                <w:kern w:val="0"/>
                <w:szCs w:val="21"/>
                <w:highlight w:val="none"/>
              </w:rPr>
              <w:t>进行评审，评委打分取算术平均值为该</w:t>
            </w:r>
            <w:r>
              <w:rPr>
                <w:rFonts w:hint="eastAsia" w:ascii="宋体" w:hAnsi="宋体" w:eastAsia="宋体" w:cs="Times New Roman"/>
                <w:snapToGrid w:val="0"/>
                <w:color w:val="auto"/>
                <w:kern w:val="0"/>
                <w:szCs w:val="21"/>
                <w:highlight w:val="none"/>
                <w:lang w:eastAsia="zh-CN"/>
              </w:rPr>
              <w:t>竞标</w:t>
            </w:r>
            <w:r>
              <w:rPr>
                <w:rFonts w:ascii="宋体" w:hAnsi="宋体" w:eastAsia="宋体" w:cs="Times New Roman"/>
                <w:snapToGrid w:val="0"/>
                <w:color w:val="auto"/>
                <w:kern w:val="0"/>
                <w:szCs w:val="21"/>
                <w:highlight w:val="none"/>
              </w:rPr>
              <w:t>人技术方案得分。</w:t>
            </w:r>
          </w:p>
          <w:p w14:paraId="679D7B68">
            <w:pPr>
              <w:spacing w:line="400" w:lineRule="exact"/>
              <w:ind w:firstLine="420" w:firstLineChars="200"/>
              <w:rPr>
                <w:rFonts w:hint="eastAsia" w:ascii="宋体" w:hAnsi="宋体" w:eastAsia="宋体" w:cs="Times New Roman"/>
                <w:color w:val="auto"/>
                <w:kern w:val="0"/>
                <w:szCs w:val="21"/>
                <w:highlight w:val="none"/>
              </w:rPr>
            </w:pPr>
            <w:r>
              <w:rPr>
                <w:rFonts w:ascii="宋体" w:hAnsi="宋体" w:eastAsia="宋体" w:cs="Times New Roman"/>
                <w:color w:val="auto"/>
                <w:kern w:val="0"/>
                <w:szCs w:val="21"/>
                <w:highlight w:val="none"/>
              </w:rPr>
              <w:t>以上计算取小数点后两位，第三位四舍五入。</w:t>
            </w:r>
          </w:p>
        </w:tc>
      </w:tr>
      <w:tr w14:paraId="27114E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46" w:hRule="atLeast"/>
          <w:jc w:val="center"/>
        </w:trPr>
        <w:tc>
          <w:tcPr>
            <w:tcW w:w="752" w:type="dxa"/>
            <w:vMerge w:val="continue"/>
            <w:noWrap w:val="0"/>
            <w:vAlign w:val="center"/>
          </w:tcPr>
          <w:p w14:paraId="49DED9A3">
            <w:pPr>
              <w:spacing w:line="400" w:lineRule="exact"/>
              <w:jc w:val="center"/>
              <w:rPr>
                <w:rFonts w:ascii="宋体" w:hAnsi="宋体" w:eastAsia="宋体" w:cs="Times New Roman"/>
                <w:color w:val="auto"/>
                <w:highlight w:val="none"/>
              </w:rPr>
            </w:pPr>
          </w:p>
        </w:tc>
        <w:tc>
          <w:tcPr>
            <w:tcW w:w="1375" w:type="dxa"/>
            <w:gridSpan w:val="2"/>
            <w:vMerge w:val="continue"/>
            <w:shd w:val="clear" w:color="auto" w:fill="auto"/>
            <w:noWrap w:val="0"/>
            <w:vAlign w:val="center"/>
          </w:tcPr>
          <w:p w14:paraId="1ECBD48B">
            <w:pPr>
              <w:spacing w:line="400" w:lineRule="exact"/>
              <w:jc w:val="center"/>
              <w:rPr>
                <w:rFonts w:hint="eastAsia" w:ascii="宋体" w:hAnsi="宋体" w:eastAsia="宋体" w:cs="Times New Roman"/>
                <w:color w:val="auto"/>
                <w:highlight w:val="none"/>
              </w:rPr>
            </w:pPr>
          </w:p>
        </w:tc>
        <w:tc>
          <w:tcPr>
            <w:tcW w:w="1849" w:type="dxa"/>
            <w:gridSpan w:val="2"/>
            <w:tcBorders>
              <w:top w:val="single" w:color="auto" w:sz="4" w:space="0"/>
              <w:bottom w:val="single" w:color="auto" w:sz="4" w:space="0"/>
            </w:tcBorders>
            <w:shd w:val="clear" w:color="auto" w:fill="auto"/>
            <w:noWrap w:val="0"/>
            <w:vAlign w:val="center"/>
          </w:tcPr>
          <w:p w14:paraId="32962B65">
            <w:pPr>
              <w:tabs>
                <w:tab w:val="left" w:pos="1875"/>
              </w:tabs>
              <w:spacing w:line="400" w:lineRule="exact"/>
              <w:jc w:val="center"/>
              <w:rPr>
                <w:rFonts w:hint="eastAsia" w:ascii="宋体" w:hAnsi="宋体" w:eastAsia="宋体" w:cs="Times New Roman"/>
                <w:color w:val="auto"/>
                <w:kern w:val="0"/>
                <w:sz w:val="21"/>
                <w:szCs w:val="24"/>
                <w:highlight w:val="none"/>
                <w:lang w:val="en-US" w:eastAsia="zh-CN" w:bidi="ar-SA"/>
              </w:rPr>
            </w:pPr>
            <w:r>
              <w:rPr>
                <w:rFonts w:hint="eastAsia" w:ascii="宋体" w:hAnsi="宋体" w:eastAsia="宋体" w:cs="Times New Roman"/>
                <w:color w:val="auto"/>
                <w:kern w:val="0"/>
                <w:highlight w:val="none"/>
                <w:lang w:val="en-US" w:eastAsia="zh-CN"/>
              </w:rPr>
              <w:t>质量控制</w:t>
            </w:r>
          </w:p>
        </w:tc>
        <w:tc>
          <w:tcPr>
            <w:tcW w:w="5493" w:type="dxa"/>
            <w:vMerge w:val="continue"/>
            <w:shd w:val="clear" w:color="auto" w:fill="auto"/>
            <w:noWrap w:val="0"/>
            <w:vAlign w:val="center"/>
          </w:tcPr>
          <w:p w14:paraId="466A2328">
            <w:pPr>
              <w:autoSpaceDE w:val="0"/>
              <w:autoSpaceDN w:val="0"/>
              <w:adjustRightInd w:val="0"/>
              <w:snapToGrid w:val="0"/>
              <w:spacing w:line="400" w:lineRule="exact"/>
              <w:ind w:firstLine="420" w:firstLineChars="200"/>
              <w:rPr>
                <w:rFonts w:ascii="宋体" w:hAnsi="宋体" w:eastAsia="宋体" w:cs="Times New Roman"/>
                <w:color w:val="auto"/>
                <w:szCs w:val="21"/>
                <w:highlight w:val="none"/>
              </w:rPr>
            </w:pPr>
          </w:p>
        </w:tc>
      </w:tr>
      <w:tr w14:paraId="62D3197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51" w:hRule="atLeast"/>
          <w:jc w:val="center"/>
        </w:trPr>
        <w:tc>
          <w:tcPr>
            <w:tcW w:w="752" w:type="dxa"/>
            <w:vMerge w:val="continue"/>
            <w:noWrap w:val="0"/>
            <w:vAlign w:val="center"/>
          </w:tcPr>
          <w:p w14:paraId="69DC2674">
            <w:pPr>
              <w:spacing w:line="400" w:lineRule="exact"/>
              <w:jc w:val="center"/>
              <w:rPr>
                <w:rFonts w:ascii="宋体" w:hAnsi="宋体" w:eastAsia="宋体" w:cs="Times New Roman"/>
                <w:color w:val="auto"/>
                <w:highlight w:val="none"/>
              </w:rPr>
            </w:pPr>
          </w:p>
        </w:tc>
        <w:tc>
          <w:tcPr>
            <w:tcW w:w="1375" w:type="dxa"/>
            <w:gridSpan w:val="2"/>
            <w:vMerge w:val="continue"/>
            <w:shd w:val="clear" w:color="auto" w:fill="auto"/>
            <w:noWrap w:val="0"/>
            <w:vAlign w:val="center"/>
          </w:tcPr>
          <w:p w14:paraId="0CBEB2E0">
            <w:pPr>
              <w:spacing w:line="400" w:lineRule="exact"/>
              <w:jc w:val="center"/>
              <w:rPr>
                <w:rFonts w:hint="eastAsia" w:ascii="宋体" w:hAnsi="宋体" w:eastAsia="宋体" w:cs="Times New Roman"/>
                <w:color w:val="auto"/>
                <w:highlight w:val="none"/>
              </w:rPr>
            </w:pPr>
          </w:p>
        </w:tc>
        <w:tc>
          <w:tcPr>
            <w:tcW w:w="1849" w:type="dxa"/>
            <w:gridSpan w:val="2"/>
            <w:tcBorders>
              <w:top w:val="single" w:color="auto" w:sz="4" w:space="0"/>
              <w:bottom w:val="single" w:color="auto" w:sz="4" w:space="0"/>
            </w:tcBorders>
            <w:shd w:val="clear" w:color="auto" w:fill="auto"/>
            <w:noWrap w:val="0"/>
            <w:vAlign w:val="center"/>
          </w:tcPr>
          <w:p w14:paraId="3BB2D490">
            <w:pPr>
              <w:tabs>
                <w:tab w:val="left" w:pos="1875"/>
              </w:tabs>
              <w:spacing w:line="400" w:lineRule="exact"/>
              <w:jc w:val="center"/>
              <w:rPr>
                <w:rFonts w:hint="eastAsia" w:ascii="宋体" w:hAnsi="宋体" w:eastAsia="宋体" w:cs="Times New Roman"/>
                <w:color w:val="auto"/>
                <w:kern w:val="0"/>
                <w:sz w:val="21"/>
                <w:szCs w:val="24"/>
                <w:highlight w:val="none"/>
                <w:lang w:val="en-US" w:eastAsia="zh-CN" w:bidi="ar-SA"/>
              </w:rPr>
            </w:pPr>
            <w:r>
              <w:rPr>
                <w:rFonts w:hint="eastAsia" w:ascii="宋体" w:hAnsi="宋体" w:eastAsia="宋体" w:cs="Times New Roman"/>
                <w:color w:val="auto"/>
                <w:kern w:val="0"/>
                <w:highlight w:val="none"/>
                <w:lang w:val="en-US" w:eastAsia="zh-CN"/>
              </w:rPr>
              <w:t>应急抢险</w:t>
            </w:r>
          </w:p>
        </w:tc>
        <w:tc>
          <w:tcPr>
            <w:tcW w:w="5493" w:type="dxa"/>
            <w:vMerge w:val="continue"/>
            <w:shd w:val="clear" w:color="auto" w:fill="auto"/>
            <w:noWrap w:val="0"/>
            <w:vAlign w:val="center"/>
          </w:tcPr>
          <w:p w14:paraId="3BC597E6">
            <w:pPr>
              <w:autoSpaceDE w:val="0"/>
              <w:autoSpaceDN w:val="0"/>
              <w:adjustRightInd w:val="0"/>
              <w:snapToGrid w:val="0"/>
              <w:spacing w:line="400" w:lineRule="exact"/>
              <w:ind w:firstLine="420" w:firstLineChars="200"/>
              <w:rPr>
                <w:rFonts w:ascii="宋体" w:hAnsi="宋体" w:eastAsia="宋体" w:cs="Times New Roman"/>
                <w:color w:val="auto"/>
                <w:szCs w:val="21"/>
                <w:highlight w:val="none"/>
              </w:rPr>
            </w:pPr>
          </w:p>
        </w:tc>
      </w:tr>
      <w:tr w14:paraId="0E6DF05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752" w:type="dxa"/>
            <w:noWrap w:val="0"/>
            <w:vAlign w:val="center"/>
          </w:tcPr>
          <w:p w14:paraId="5264CF0E">
            <w:pPr>
              <w:spacing w:line="400" w:lineRule="exact"/>
              <w:jc w:val="center"/>
              <w:rPr>
                <w:rFonts w:ascii="宋体" w:hAnsi="宋体" w:eastAsia="宋体" w:cs="Times New Roman"/>
                <w:color w:val="auto"/>
                <w:highlight w:val="none"/>
              </w:rPr>
            </w:pPr>
            <w:r>
              <w:rPr>
                <w:rFonts w:ascii="宋体" w:hAnsi="宋体" w:eastAsia="宋体" w:cs="Times New Roman"/>
                <w:color w:val="auto"/>
                <w:highlight w:val="none"/>
              </w:rPr>
              <w:t>3.2.1（</w:t>
            </w:r>
            <w:r>
              <w:rPr>
                <w:rFonts w:hint="eastAsia" w:ascii="宋体" w:hAnsi="宋体" w:cs="Times New Roman"/>
                <w:color w:val="auto"/>
                <w:highlight w:val="none"/>
                <w:lang w:val="en-US" w:eastAsia="zh-CN"/>
              </w:rPr>
              <w:t>2</w:t>
            </w:r>
            <w:r>
              <w:rPr>
                <w:rFonts w:ascii="宋体" w:hAnsi="宋体" w:eastAsia="宋体" w:cs="Times New Roman"/>
                <w:color w:val="auto"/>
                <w:highlight w:val="none"/>
              </w:rPr>
              <w:t>）</w:t>
            </w:r>
          </w:p>
        </w:tc>
        <w:tc>
          <w:tcPr>
            <w:tcW w:w="1375" w:type="dxa"/>
            <w:gridSpan w:val="2"/>
            <w:shd w:val="clear" w:color="auto" w:fill="auto"/>
            <w:noWrap w:val="0"/>
            <w:vAlign w:val="center"/>
          </w:tcPr>
          <w:p w14:paraId="28E6EA14">
            <w:pPr>
              <w:spacing w:line="400" w:lineRule="exact"/>
              <w:jc w:val="center"/>
              <w:rPr>
                <w:rFonts w:ascii="宋体" w:hAnsi="宋体" w:eastAsia="宋体" w:cs="Times New Roman"/>
                <w:color w:val="auto"/>
                <w:highlight w:val="none"/>
              </w:rPr>
            </w:pPr>
            <w:r>
              <w:rPr>
                <w:rFonts w:hint="eastAsia" w:ascii="宋体" w:hAnsi="宋体" w:eastAsia="宋体" w:cs="Times New Roman"/>
                <w:color w:val="auto"/>
                <w:highlight w:val="none"/>
                <w:lang w:eastAsia="zh-CN"/>
              </w:rPr>
              <w:t>竞标报价</w:t>
            </w:r>
            <w:r>
              <w:rPr>
                <w:rFonts w:ascii="宋体" w:hAnsi="宋体" w:eastAsia="宋体" w:cs="Times New Roman"/>
                <w:color w:val="auto"/>
                <w:kern w:val="0"/>
                <w:highlight w:val="none"/>
              </w:rPr>
              <w:t>得分</w:t>
            </w:r>
            <w:r>
              <w:rPr>
                <w:rFonts w:ascii="宋体" w:hAnsi="宋体" w:eastAsia="宋体" w:cs="Times New Roman"/>
                <w:color w:val="auto"/>
                <w:spacing w:val="-8"/>
                <w:highlight w:val="none"/>
              </w:rPr>
              <w:t>（</w:t>
            </w:r>
            <w:r>
              <w:rPr>
                <w:rFonts w:hint="eastAsia" w:ascii="宋体" w:hAnsi="宋体" w:cs="Times New Roman"/>
                <w:color w:val="auto"/>
                <w:spacing w:val="-8"/>
                <w:highlight w:val="none"/>
                <w:lang w:val="en-US" w:eastAsia="zh-CN"/>
              </w:rPr>
              <w:t>B</w:t>
            </w:r>
            <w:r>
              <w:rPr>
                <w:rFonts w:ascii="宋体" w:hAnsi="宋体" w:eastAsia="宋体" w:cs="Times New Roman"/>
                <w:color w:val="auto"/>
                <w:spacing w:val="-8"/>
                <w:highlight w:val="none"/>
              </w:rPr>
              <w:t>）</w:t>
            </w:r>
          </w:p>
        </w:tc>
        <w:tc>
          <w:tcPr>
            <w:tcW w:w="1849" w:type="dxa"/>
            <w:gridSpan w:val="2"/>
            <w:shd w:val="clear" w:color="auto" w:fill="auto"/>
            <w:noWrap w:val="0"/>
            <w:vAlign w:val="center"/>
          </w:tcPr>
          <w:p w14:paraId="6D90D58A">
            <w:pPr>
              <w:spacing w:line="400" w:lineRule="exact"/>
              <w:jc w:val="center"/>
              <w:rPr>
                <w:rFonts w:ascii="宋体" w:hAnsi="宋体" w:eastAsia="宋体" w:cs="Times New Roman"/>
                <w:color w:val="auto"/>
                <w:highlight w:val="none"/>
              </w:rPr>
            </w:pPr>
            <w:r>
              <w:rPr>
                <w:rFonts w:ascii="宋体" w:hAnsi="宋体" w:eastAsia="宋体" w:cs="Times New Roman"/>
                <w:color w:val="auto"/>
                <w:highlight w:val="none"/>
              </w:rPr>
              <w:t>投标总报价</w:t>
            </w:r>
          </w:p>
        </w:tc>
        <w:tc>
          <w:tcPr>
            <w:tcW w:w="5493" w:type="dxa"/>
            <w:shd w:val="clear" w:color="auto" w:fill="auto"/>
            <w:noWrap w:val="0"/>
            <w:vAlign w:val="center"/>
          </w:tcPr>
          <w:p w14:paraId="2AB84332">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所有通过初步评审的投标人的投标总报价</w:t>
            </w:r>
            <w:r>
              <w:rPr>
                <w:rFonts w:ascii="宋体" w:hAnsi="宋体" w:eastAsia="宋体" w:cs="Times New Roman"/>
                <w:color w:val="auto"/>
                <w:szCs w:val="21"/>
                <w:highlight w:val="none"/>
              </w:rPr>
              <w:t>，得</w:t>
            </w:r>
            <w:r>
              <w:rPr>
                <w:rFonts w:ascii="宋体" w:hAnsi="宋体" w:eastAsia="宋体" w:cs="Times New Roman"/>
                <w:bCs/>
                <w:color w:val="auto"/>
                <w:szCs w:val="28"/>
                <w:highlight w:val="none"/>
              </w:rPr>
              <w:t>本附表第2.2.1项规定分值的满分</w:t>
            </w:r>
            <w:r>
              <w:rPr>
                <w:rFonts w:ascii="宋体" w:hAnsi="宋体" w:eastAsia="宋体" w:cs="Times New Roman"/>
                <w:bCs/>
                <w:color w:val="auto"/>
                <w:szCs w:val="28"/>
                <w:highlight w:val="none"/>
                <w:u w:val="single"/>
              </w:rPr>
              <w:t xml:space="preserve"> </w:t>
            </w:r>
            <w:r>
              <w:rPr>
                <w:rFonts w:hint="eastAsia" w:ascii="宋体" w:hAnsi="宋体" w:cs="Times New Roman"/>
                <w:bCs/>
                <w:color w:val="auto"/>
                <w:szCs w:val="28"/>
                <w:highlight w:val="none"/>
                <w:u w:val="single"/>
                <w:lang w:val="en-US" w:eastAsia="zh-CN"/>
              </w:rPr>
              <w:t>70</w:t>
            </w:r>
            <w:r>
              <w:rPr>
                <w:rFonts w:ascii="宋体" w:hAnsi="宋体" w:eastAsia="宋体" w:cs="Times New Roman"/>
                <w:bCs/>
                <w:color w:val="auto"/>
                <w:szCs w:val="28"/>
                <w:highlight w:val="none"/>
                <w:u w:val="single"/>
              </w:rPr>
              <w:t xml:space="preserve"> </w:t>
            </w:r>
            <w:r>
              <w:rPr>
                <w:rFonts w:ascii="宋体" w:hAnsi="宋体" w:eastAsia="宋体" w:cs="Times New Roman"/>
                <w:color w:val="auto"/>
                <w:szCs w:val="21"/>
                <w:highlight w:val="none"/>
              </w:rPr>
              <w:t>分。在此基础上，投标总报价与评标基准价相比，每增加1%扣</w:t>
            </w:r>
            <w:r>
              <w:rPr>
                <w:rFonts w:ascii="宋体" w:hAnsi="宋体" w:eastAsia="宋体" w:cs="Times New Roman"/>
                <w:color w:val="auto"/>
                <w:szCs w:val="21"/>
                <w:highlight w:val="none"/>
                <w:u w:val="single"/>
              </w:rPr>
              <w:t>　</w:t>
            </w:r>
            <w:r>
              <w:rPr>
                <w:rFonts w:hint="eastAsia" w:ascii="宋体" w:hAnsi="宋体" w:cs="Times New Roman"/>
                <w:color w:val="auto"/>
                <w:szCs w:val="21"/>
                <w:highlight w:val="none"/>
                <w:u w:val="single"/>
                <w:lang w:val="en-US" w:eastAsia="zh-CN"/>
              </w:rPr>
              <w:t>0.5</w:t>
            </w:r>
            <w:r>
              <w:rPr>
                <w:rFonts w:ascii="宋体" w:hAnsi="宋体" w:eastAsia="宋体" w:cs="Times New Roman"/>
                <w:color w:val="auto"/>
                <w:szCs w:val="21"/>
                <w:highlight w:val="none"/>
                <w:u w:val="single"/>
              </w:rPr>
              <w:t>　</w:t>
            </w:r>
            <w:r>
              <w:rPr>
                <w:rFonts w:ascii="宋体" w:hAnsi="宋体" w:eastAsia="宋体" w:cs="Times New Roman"/>
                <w:color w:val="auto"/>
                <w:szCs w:val="21"/>
                <w:highlight w:val="none"/>
              </w:rPr>
              <w:t>分，每减少1%扣</w:t>
            </w:r>
            <w:r>
              <w:rPr>
                <w:rFonts w:hint="eastAsia" w:ascii="宋体" w:hAnsi="宋体" w:cs="Times New Roman"/>
                <w:color w:val="auto"/>
                <w:szCs w:val="21"/>
                <w:highlight w:val="none"/>
                <w:u w:val="single"/>
                <w:lang w:val="en-US" w:eastAsia="zh-CN"/>
              </w:rPr>
              <w:t xml:space="preserve">0.25 </w:t>
            </w:r>
            <w:r>
              <w:rPr>
                <w:rFonts w:ascii="宋体" w:hAnsi="宋体" w:eastAsia="宋体" w:cs="Times New Roman"/>
                <w:color w:val="auto"/>
                <w:szCs w:val="21"/>
                <w:highlight w:val="none"/>
              </w:rPr>
              <w:t>分，扣完为止。</w:t>
            </w:r>
          </w:p>
          <w:p w14:paraId="5CD2611A">
            <w:pPr>
              <w:spacing w:line="400" w:lineRule="exact"/>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按插入法计算得分。</w:t>
            </w:r>
          </w:p>
          <w:p w14:paraId="1A88D037">
            <w:pPr>
              <w:spacing w:line="400" w:lineRule="exact"/>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在偏差范围内，未参与评标基准价计算的</w:t>
            </w:r>
            <w:r>
              <w:rPr>
                <w:rFonts w:hint="eastAsia" w:ascii="宋体" w:hAnsi="宋体" w:eastAsia="宋体" w:cs="Times New Roman"/>
                <w:color w:val="auto"/>
                <w:szCs w:val="21"/>
                <w:highlight w:val="none"/>
                <w:lang w:eastAsia="zh-CN"/>
              </w:rPr>
              <w:t>竞标报价</w:t>
            </w:r>
            <w:r>
              <w:rPr>
                <w:rFonts w:ascii="宋体" w:hAnsi="宋体" w:eastAsia="宋体" w:cs="Times New Roman"/>
                <w:color w:val="auto"/>
                <w:szCs w:val="21"/>
                <w:highlight w:val="none"/>
              </w:rPr>
              <w:t>，仍应参加计算相应分值。</w:t>
            </w:r>
          </w:p>
          <w:p w14:paraId="5498FD64">
            <w:pPr>
              <w:spacing w:line="400" w:lineRule="exact"/>
              <w:ind w:firstLine="420" w:firstLineChars="200"/>
              <w:rPr>
                <w:rFonts w:ascii="宋体" w:hAnsi="宋体" w:eastAsia="宋体" w:cs="Times New Roman"/>
                <w:color w:val="auto"/>
                <w:kern w:val="0"/>
                <w:highlight w:val="none"/>
              </w:rPr>
            </w:pPr>
            <w:r>
              <w:rPr>
                <w:rFonts w:hint="eastAsia" w:ascii="宋体" w:hAnsi="宋体" w:eastAsia="宋体" w:cs="Times New Roman"/>
                <w:color w:val="auto"/>
                <w:kern w:val="0"/>
                <w:szCs w:val="21"/>
                <w:highlight w:val="none"/>
              </w:rPr>
              <w:t>投标总报价得分最终结果</w:t>
            </w:r>
            <w:r>
              <w:rPr>
                <w:rFonts w:ascii="宋体" w:hAnsi="宋体" w:eastAsia="宋体" w:cs="Times New Roman"/>
                <w:color w:val="auto"/>
                <w:kern w:val="0"/>
                <w:szCs w:val="21"/>
                <w:highlight w:val="none"/>
              </w:rPr>
              <w:t>取小数点后两位，第三位四舍五入。</w:t>
            </w:r>
          </w:p>
        </w:tc>
      </w:tr>
      <w:tr w14:paraId="58D250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2127" w:type="dxa"/>
            <w:gridSpan w:val="3"/>
            <w:noWrap w:val="0"/>
            <w:vAlign w:val="center"/>
          </w:tcPr>
          <w:p w14:paraId="5B6A3D79">
            <w:pPr>
              <w:spacing w:line="400" w:lineRule="exact"/>
              <w:ind w:firstLine="18" w:firstLineChars="9"/>
              <w:jc w:val="center"/>
              <w:rPr>
                <w:rFonts w:ascii="宋体" w:hAnsi="宋体" w:eastAsia="宋体" w:cs="Times New Roman"/>
                <w:color w:val="auto"/>
                <w:szCs w:val="21"/>
                <w:highlight w:val="none"/>
              </w:rPr>
            </w:pPr>
            <w:r>
              <w:rPr>
                <w:rFonts w:ascii="宋体" w:hAnsi="宋体" w:eastAsia="宋体" w:cs="Times New Roman"/>
                <w:color w:val="auto"/>
                <w:szCs w:val="21"/>
                <w:highlight w:val="none"/>
              </w:rPr>
              <w:t>3.2.3</w:t>
            </w:r>
          </w:p>
        </w:tc>
        <w:tc>
          <w:tcPr>
            <w:tcW w:w="1849" w:type="dxa"/>
            <w:gridSpan w:val="2"/>
            <w:noWrap w:val="0"/>
            <w:vAlign w:val="center"/>
          </w:tcPr>
          <w:p w14:paraId="04A6B5E4">
            <w:pPr>
              <w:spacing w:line="400" w:lineRule="exact"/>
              <w:ind w:firstLine="18" w:firstLineChars="9"/>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竞标</w:t>
            </w:r>
            <w:r>
              <w:rPr>
                <w:rFonts w:ascii="宋体" w:hAnsi="宋体" w:eastAsia="宋体" w:cs="Times New Roman"/>
                <w:color w:val="auto"/>
                <w:szCs w:val="21"/>
                <w:highlight w:val="none"/>
              </w:rPr>
              <w:t>人得分</w:t>
            </w:r>
          </w:p>
        </w:tc>
        <w:tc>
          <w:tcPr>
            <w:tcW w:w="5493" w:type="dxa"/>
            <w:noWrap w:val="0"/>
            <w:vAlign w:val="center"/>
          </w:tcPr>
          <w:p w14:paraId="4CC1DEA2">
            <w:pPr>
              <w:spacing w:line="400" w:lineRule="exact"/>
              <w:jc w:val="center"/>
              <w:rPr>
                <w:rFonts w:hint="default" w:ascii="宋体" w:hAnsi="宋体" w:eastAsia="宋体" w:cs="Times New Roman"/>
                <w:color w:val="auto"/>
                <w:szCs w:val="21"/>
                <w:highlight w:val="none"/>
                <w:u w:val="single"/>
                <w:lang w:val="en-US" w:eastAsia="zh-CN"/>
              </w:rPr>
            </w:pPr>
            <w:r>
              <w:rPr>
                <w:rFonts w:hint="eastAsia" w:ascii="宋体" w:hAnsi="宋体" w:eastAsia="宋体" w:cs="Times New Roman"/>
                <w:color w:val="auto"/>
                <w:szCs w:val="21"/>
                <w:highlight w:val="none"/>
                <w:u w:val="single"/>
                <w:lang w:eastAsia="zh-CN"/>
              </w:rPr>
              <w:t>竞标</w:t>
            </w:r>
            <w:r>
              <w:rPr>
                <w:rFonts w:ascii="宋体" w:hAnsi="宋体" w:eastAsia="宋体" w:cs="Times New Roman"/>
                <w:color w:val="auto"/>
                <w:szCs w:val="21"/>
                <w:highlight w:val="none"/>
                <w:u w:val="single"/>
              </w:rPr>
              <w:t>人得分=A+B</w:t>
            </w:r>
          </w:p>
        </w:tc>
      </w:tr>
    </w:tbl>
    <w:p w14:paraId="223F7784">
      <w:pPr>
        <w:keepNext/>
        <w:keepLines/>
        <w:widowControl w:val="0"/>
        <w:spacing w:before="0" w:after="0" w:line="360" w:lineRule="auto"/>
        <w:jc w:val="both"/>
        <w:outlineLvl w:val="1"/>
        <w:rPr>
          <w:rFonts w:ascii="宋体" w:hAnsi="宋体" w:eastAsia="宋体" w:cs="Times New Roman"/>
          <w:b w:val="0"/>
          <w:bCs/>
          <w:snapToGrid w:val="0"/>
          <w:color w:val="auto"/>
          <w:kern w:val="2"/>
          <w:sz w:val="32"/>
          <w:szCs w:val="32"/>
          <w:highlight w:val="none"/>
          <w:lang w:val="en-US" w:eastAsia="zh-CN" w:bidi="ar-SA"/>
        </w:rPr>
      </w:pPr>
      <w:bookmarkStart w:id="375" w:name="_Toc509218776"/>
      <w:r>
        <w:rPr>
          <w:rFonts w:ascii="宋体" w:hAnsi="宋体" w:eastAsia="宋体" w:cs="Times New Roman"/>
          <w:b w:val="0"/>
          <w:bCs/>
          <w:snapToGrid w:val="0"/>
          <w:color w:val="auto"/>
          <w:kern w:val="2"/>
          <w:sz w:val="32"/>
          <w:szCs w:val="32"/>
          <w:highlight w:val="none"/>
          <w:lang w:val="en-US" w:eastAsia="zh-CN" w:bidi="ar-SA"/>
        </w:rPr>
        <w:br w:type="page"/>
      </w:r>
      <w:bookmarkEnd w:id="375"/>
      <w:bookmarkStart w:id="376" w:name="_Toc22337"/>
      <w:bookmarkStart w:id="377" w:name="_Toc2957"/>
      <w:bookmarkStart w:id="378" w:name="_Toc30107"/>
      <w:r>
        <w:rPr>
          <w:rFonts w:ascii="宋体" w:hAnsi="宋体" w:eastAsia="宋体" w:cs="Times New Roman"/>
          <w:b w:val="0"/>
          <w:bCs/>
          <w:snapToGrid w:val="0"/>
          <w:color w:val="auto"/>
          <w:kern w:val="2"/>
          <w:sz w:val="32"/>
          <w:szCs w:val="32"/>
          <w:highlight w:val="none"/>
          <w:lang w:val="en-US" w:eastAsia="zh-CN" w:bidi="ar-SA"/>
        </w:rPr>
        <w:t>1.  评标方法</w:t>
      </w:r>
      <w:bookmarkEnd w:id="376"/>
      <w:bookmarkEnd w:id="377"/>
      <w:bookmarkEnd w:id="378"/>
    </w:p>
    <w:p w14:paraId="454B0704">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本次评标采用综合评估法</w:t>
      </w:r>
      <w:r>
        <w:rPr>
          <w:rFonts w:ascii="宋体" w:hAnsi="宋体" w:eastAsia="宋体" w:cs="Times New Roman"/>
          <w:color w:val="auto"/>
          <w:spacing w:val="-47"/>
          <w:kern w:val="0"/>
          <w:szCs w:val="21"/>
          <w:highlight w:val="none"/>
        </w:rPr>
        <w:t>。</w:t>
      </w:r>
      <w:r>
        <w:rPr>
          <w:rFonts w:hint="eastAsia" w:ascii="宋体" w:hAnsi="宋体" w:eastAsia="宋体" w:cs="Times New Roman"/>
          <w:color w:val="auto"/>
          <w:kern w:val="0"/>
          <w:szCs w:val="21"/>
          <w:highlight w:val="none"/>
          <w:lang w:eastAsia="zh-CN"/>
        </w:rPr>
        <w:t>评审小组</w:t>
      </w:r>
      <w:r>
        <w:rPr>
          <w:rFonts w:ascii="宋体" w:hAnsi="宋体" w:eastAsia="宋体" w:cs="Times New Roman"/>
          <w:color w:val="auto"/>
          <w:kern w:val="0"/>
          <w:szCs w:val="21"/>
          <w:highlight w:val="none"/>
        </w:rPr>
        <w:t xml:space="preserve">按照本章第 </w:t>
      </w:r>
      <w:r>
        <w:rPr>
          <w:rFonts w:ascii="宋体" w:hAnsi="宋体" w:eastAsia="宋体" w:cs="Times New Roman"/>
          <w:color w:val="auto"/>
          <w:spacing w:val="1"/>
          <w:kern w:val="0"/>
          <w:szCs w:val="21"/>
          <w:highlight w:val="none"/>
        </w:rPr>
        <w:t>2</w:t>
      </w:r>
      <w:r>
        <w:rPr>
          <w:rFonts w:ascii="宋体" w:hAnsi="宋体" w:eastAsia="宋体" w:cs="Times New Roman"/>
          <w:color w:val="auto"/>
          <w:spacing w:val="-1"/>
          <w:kern w:val="0"/>
          <w:szCs w:val="21"/>
          <w:highlight w:val="none"/>
        </w:rPr>
        <w:t>.</w:t>
      </w:r>
      <w:r>
        <w:rPr>
          <w:rFonts w:ascii="宋体" w:hAnsi="宋体" w:eastAsia="宋体" w:cs="Times New Roman"/>
          <w:color w:val="auto"/>
          <w:kern w:val="0"/>
          <w:szCs w:val="21"/>
          <w:highlight w:val="none"/>
        </w:rPr>
        <w:t>2</w:t>
      </w:r>
      <w:r>
        <w:rPr>
          <w:rFonts w:ascii="宋体" w:hAnsi="宋体" w:eastAsia="宋体" w:cs="Times New Roman"/>
          <w:color w:val="auto"/>
          <w:spacing w:val="1"/>
          <w:kern w:val="0"/>
          <w:szCs w:val="21"/>
          <w:highlight w:val="none"/>
        </w:rPr>
        <w:t xml:space="preserve"> </w:t>
      </w:r>
      <w:r>
        <w:rPr>
          <w:rFonts w:ascii="宋体" w:hAnsi="宋体" w:eastAsia="宋体" w:cs="Times New Roman"/>
          <w:color w:val="auto"/>
          <w:kern w:val="0"/>
          <w:szCs w:val="21"/>
          <w:highlight w:val="none"/>
        </w:rPr>
        <w:t>款</w:t>
      </w:r>
      <w:r>
        <w:rPr>
          <w:rFonts w:ascii="宋体" w:hAnsi="宋体" w:eastAsia="宋体" w:cs="Times New Roman"/>
          <w:color w:val="auto"/>
          <w:spacing w:val="-1"/>
          <w:kern w:val="0"/>
          <w:szCs w:val="21"/>
          <w:highlight w:val="none"/>
        </w:rPr>
        <w:t>规</w:t>
      </w:r>
      <w:r>
        <w:rPr>
          <w:rFonts w:ascii="宋体" w:hAnsi="宋体" w:eastAsia="宋体" w:cs="Times New Roman"/>
          <w:color w:val="auto"/>
          <w:kern w:val="0"/>
          <w:szCs w:val="21"/>
          <w:highlight w:val="none"/>
        </w:rPr>
        <w:t>定的评分标准进行</w:t>
      </w:r>
      <w:r>
        <w:rPr>
          <w:rFonts w:hint="eastAsia" w:ascii="宋体" w:hAnsi="宋体" w:eastAsia="宋体" w:cs="Times New Roman"/>
          <w:color w:val="auto"/>
          <w:kern w:val="0"/>
          <w:szCs w:val="21"/>
          <w:highlight w:val="none"/>
          <w:lang w:eastAsia="zh-CN"/>
        </w:rPr>
        <w:t>评分</w:t>
      </w:r>
      <w:r>
        <w:rPr>
          <w:rFonts w:ascii="宋体" w:hAnsi="宋体" w:eastAsia="宋体" w:cs="Times New Roman"/>
          <w:color w:val="auto"/>
          <w:kern w:val="0"/>
          <w:szCs w:val="21"/>
          <w:highlight w:val="none"/>
        </w:rPr>
        <w:t>，按得分由高到低顺序推荐中标候选人</w:t>
      </w:r>
      <w:r>
        <w:rPr>
          <w:rFonts w:ascii="宋体" w:hAnsi="宋体" w:eastAsia="宋体" w:cs="Times New Roman"/>
          <w:color w:val="auto"/>
          <w:spacing w:val="-20"/>
          <w:kern w:val="0"/>
          <w:szCs w:val="21"/>
          <w:highlight w:val="none"/>
        </w:rPr>
        <w:t>，</w:t>
      </w:r>
      <w:r>
        <w:rPr>
          <w:rFonts w:ascii="宋体" w:hAnsi="宋体" w:eastAsia="宋体" w:cs="Times New Roman"/>
          <w:color w:val="auto"/>
          <w:kern w:val="0"/>
          <w:szCs w:val="21"/>
          <w:highlight w:val="none"/>
        </w:rPr>
        <w:t>或根据</w:t>
      </w:r>
      <w:r>
        <w:rPr>
          <w:rFonts w:hint="eastAsia" w:ascii="宋体" w:hAnsi="宋体" w:eastAsia="宋体" w:cs="Times New Roman"/>
          <w:color w:val="auto"/>
          <w:kern w:val="0"/>
          <w:szCs w:val="21"/>
          <w:highlight w:val="none"/>
          <w:lang w:eastAsia="zh-CN"/>
        </w:rPr>
        <w:t>比选人</w:t>
      </w:r>
      <w:r>
        <w:rPr>
          <w:rFonts w:ascii="宋体" w:hAnsi="宋体" w:eastAsia="宋体" w:cs="Times New Roman"/>
          <w:color w:val="auto"/>
          <w:kern w:val="0"/>
          <w:szCs w:val="21"/>
          <w:highlight w:val="none"/>
        </w:rPr>
        <w:t>授权直接确定中标人</w:t>
      </w:r>
      <w:r>
        <w:rPr>
          <w:rFonts w:hint="eastAsia" w:ascii="宋体" w:hAnsi="宋体" w:eastAsia="宋体" w:cs="Times New Roman"/>
          <w:color w:val="auto"/>
          <w:kern w:val="0"/>
          <w:szCs w:val="21"/>
          <w:highlight w:val="none"/>
        </w:rPr>
        <w:t>，若出现</w:t>
      </w:r>
      <w:r>
        <w:rPr>
          <w:rFonts w:hint="eastAsia" w:ascii="宋体" w:hAnsi="宋体" w:eastAsia="宋体" w:cs="Times New Roman"/>
          <w:color w:val="auto"/>
          <w:kern w:val="0"/>
          <w:szCs w:val="21"/>
          <w:highlight w:val="none"/>
          <w:lang w:eastAsia="zh-CN"/>
        </w:rPr>
        <w:t>竞标</w:t>
      </w:r>
      <w:r>
        <w:rPr>
          <w:rFonts w:hint="eastAsia"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lang w:eastAsia="zh-CN"/>
        </w:rPr>
        <w:t>竞标报价</w:t>
      </w:r>
      <w:r>
        <w:rPr>
          <w:rFonts w:hint="eastAsia" w:ascii="宋体" w:hAnsi="宋体" w:eastAsia="宋体" w:cs="Times New Roman"/>
          <w:color w:val="auto"/>
          <w:kern w:val="0"/>
          <w:szCs w:val="21"/>
          <w:highlight w:val="none"/>
        </w:rPr>
        <w:t>相同的，以评标办法前附表约定的原则确定排序</w:t>
      </w:r>
      <w:r>
        <w:rPr>
          <w:rFonts w:ascii="宋体" w:hAnsi="宋体" w:eastAsia="宋体" w:cs="Times New Roman"/>
          <w:color w:val="auto"/>
          <w:spacing w:val="-31"/>
          <w:kern w:val="0"/>
          <w:szCs w:val="21"/>
          <w:highlight w:val="none"/>
        </w:rPr>
        <w:t>。</w:t>
      </w:r>
    </w:p>
    <w:p w14:paraId="0012D954">
      <w:pPr>
        <w:keepNext/>
        <w:keepLines/>
        <w:widowControl w:val="0"/>
        <w:spacing w:before="0" w:after="0" w:line="360" w:lineRule="auto"/>
        <w:jc w:val="both"/>
        <w:outlineLvl w:val="1"/>
        <w:rPr>
          <w:rFonts w:ascii="宋体" w:hAnsi="宋体" w:eastAsia="宋体" w:cs="Times New Roman"/>
          <w:b w:val="0"/>
          <w:bCs/>
          <w:snapToGrid w:val="0"/>
          <w:color w:val="auto"/>
          <w:kern w:val="2"/>
          <w:sz w:val="32"/>
          <w:szCs w:val="32"/>
          <w:highlight w:val="none"/>
          <w:lang w:val="en-US" w:eastAsia="zh-CN" w:bidi="ar-SA"/>
        </w:rPr>
      </w:pPr>
      <w:bookmarkStart w:id="379" w:name="_Toc287607813"/>
      <w:bookmarkStart w:id="380" w:name="_Toc362"/>
      <w:bookmarkStart w:id="381" w:name="_Toc224103385"/>
      <w:bookmarkStart w:id="382" w:name="_Toc200513199"/>
      <w:bookmarkStart w:id="383" w:name="_Toc430530501"/>
      <w:bookmarkStart w:id="384" w:name="_Toc7"/>
      <w:bookmarkStart w:id="385" w:name="_Toc509218777"/>
      <w:bookmarkStart w:id="386" w:name="_Toc287620752"/>
      <w:bookmarkStart w:id="387" w:name="_Toc277082619"/>
      <w:bookmarkStart w:id="388" w:name="_Toc28040"/>
      <w:r>
        <w:rPr>
          <w:rFonts w:ascii="宋体" w:hAnsi="宋体" w:eastAsia="宋体" w:cs="Times New Roman"/>
          <w:b w:val="0"/>
          <w:bCs/>
          <w:snapToGrid w:val="0"/>
          <w:color w:val="auto"/>
          <w:kern w:val="2"/>
          <w:sz w:val="32"/>
          <w:szCs w:val="32"/>
          <w:highlight w:val="none"/>
          <w:lang w:val="en-US" w:eastAsia="zh-CN" w:bidi="ar-SA"/>
        </w:rPr>
        <w:t>2.  评审标准</w:t>
      </w:r>
      <w:bookmarkEnd w:id="379"/>
      <w:bookmarkEnd w:id="380"/>
      <w:bookmarkEnd w:id="381"/>
      <w:bookmarkEnd w:id="382"/>
      <w:bookmarkEnd w:id="383"/>
      <w:bookmarkEnd w:id="384"/>
      <w:bookmarkEnd w:id="385"/>
      <w:bookmarkEnd w:id="386"/>
      <w:bookmarkEnd w:id="387"/>
      <w:bookmarkEnd w:id="388"/>
    </w:p>
    <w:p w14:paraId="187E36C8">
      <w:pPr>
        <w:keepNext/>
        <w:keepLines/>
        <w:widowControl w:val="0"/>
        <w:snapToGrid w:val="0"/>
        <w:spacing w:before="0" w:after="0" w:line="360" w:lineRule="auto"/>
        <w:jc w:val="both"/>
        <w:outlineLvl w:val="2"/>
        <w:rPr>
          <w:rFonts w:ascii="宋体" w:hAnsi="宋体" w:eastAsia="宋体" w:cs="Times New Roman"/>
          <w:b w:val="0"/>
          <w:bCs/>
          <w:snapToGrid w:val="0"/>
          <w:color w:val="auto"/>
          <w:kern w:val="2"/>
          <w:sz w:val="24"/>
          <w:szCs w:val="24"/>
          <w:highlight w:val="none"/>
          <w:lang w:val="en-US" w:eastAsia="zh-CN" w:bidi="ar-SA"/>
        </w:rPr>
      </w:pPr>
      <w:bookmarkStart w:id="389" w:name="_Toc277082620"/>
      <w:bookmarkStart w:id="390" w:name="_Toc200513200"/>
      <w:bookmarkStart w:id="391" w:name="_Toc430530502"/>
      <w:bookmarkStart w:id="392" w:name="_Toc509218778"/>
      <w:bookmarkStart w:id="393" w:name="_Toc2588"/>
      <w:bookmarkStart w:id="394" w:name="_Toc287620753"/>
      <w:bookmarkStart w:id="395" w:name="_Toc224103386"/>
      <w:bookmarkStart w:id="396" w:name="_Toc287607814"/>
      <w:bookmarkStart w:id="397" w:name="_Toc14911"/>
      <w:bookmarkStart w:id="398" w:name="_Toc23562"/>
      <w:r>
        <w:rPr>
          <w:rFonts w:ascii="宋体" w:hAnsi="宋体" w:eastAsia="宋体" w:cs="Times New Roman"/>
          <w:b w:val="0"/>
          <w:bCs/>
          <w:snapToGrid w:val="0"/>
          <w:color w:val="auto"/>
          <w:kern w:val="2"/>
          <w:sz w:val="24"/>
          <w:szCs w:val="24"/>
          <w:highlight w:val="none"/>
          <w:lang w:val="en-US" w:eastAsia="zh-CN" w:bidi="ar-SA"/>
        </w:rPr>
        <w:t>2.1  初步评审标准</w:t>
      </w:r>
      <w:bookmarkEnd w:id="389"/>
      <w:bookmarkEnd w:id="390"/>
      <w:bookmarkEnd w:id="391"/>
      <w:bookmarkEnd w:id="392"/>
      <w:bookmarkEnd w:id="393"/>
      <w:bookmarkEnd w:id="394"/>
      <w:bookmarkEnd w:id="395"/>
      <w:bookmarkEnd w:id="396"/>
      <w:bookmarkEnd w:id="397"/>
      <w:bookmarkEnd w:id="398"/>
    </w:p>
    <w:p w14:paraId="0344248F">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2.1.</w:t>
      </w: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 xml:space="preserve">  资格评审标准：见评标办法前附表。</w:t>
      </w:r>
    </w:p>
    <w:p w14:paraId="3B8CBF47">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2.1.</w:t>
      </w: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 xml:space="preserve">  形式评审标准：见评标办法前附表。</w:t>
      </w:r>
    </w:p>
    <w:p w14:paraId="590E8885">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2.1.3  响应性评审标准：见评标办法前附表。</w:t>
      </w:r>
    </w:p>
    <w:p w14:paraId="2344F384">
      <w:pPr>
        <w:keepNext/>
        <w:keepLines/>
        <w:widowControl w:val="0"/>
        <w:snapToGrid w:val="0"/>
        <w:spacing w:before="0" w:after="0" w:line="360" w:lineRule="auto"/>
        <w:jc w:val="both"/>
        <w:outlineLvl w:val="2"/>
        <w:rPr>
          <w:rFonts w:ascii="宋体" w:hAnsi="宋体" w:eastAsia="宋体" w:cs="Times New Roman"/>
          <w:b w:val="0"/>
          <w:bCs/>
          <w:snapToGrid w:val="0"/>
          <w:color w:val="auto"/>
          <w:kern w:val="2"/>
          <w:sz w:val="24"/>
          <w:szCs w:val="24"/>
          <w:highlight w:val="none"/>
          <w:lang w:val="en-US" w:eastAsia="zh-CN" w:bidi="ar-SA"/>
        </w:rPr>
      </w:pPr>
      <w:bookmarkStart w:id="399" w:name="_Toc509218779"/>
      <w:bookmarkStart w:id="400" w:name="_Toc430530503"/>
      <w:bookmarkStart w:id="401" w:name="_Toc287620754"/>
      <w:bookmarkStart w:id="402" w:name="_Toc2"/>
      <w:bookmarkStart w:id="403" w:name="_Toc287607815"/>
      <w:bookmarkStart w:id="404" w:name="_Toc16859"/>
      <w:bookmarkStart w:id="405" w:name="_Toc200513201"/>
      <w:bookmarkStart w:id="406" w:name="_Toc277082621"/>
      <w:bookmarkStart w:id="407" w:name="_Toc17923"/>
      <w:bookmarkStart w:id="408" w:name="_Toc224103387"/>
      <w:r>
        <w:rPr>
          <w:rFonts w:ascii="宋体" w:hAnsi="宋体" w:eastAsia="宋体" w:cs="Times New Roman"/>
          <w:b w:val="0"/>
          <w:bCs/>
          <w:snapToGrid w:val="0"/>
          <w:color w:val="auto"/>
          <w:kern w:val="2"/>
          <w:sz w:val="24"/>
          <w:szCs w:val="24"/>
          <w:highlight w:val="none"/>
          <w:lang w:val="en-US" w:eastAsia="zh-CN" w:bidi="ar-SA"/>
        </w:rPr>
        <w:t>2.2  分值构成与评分标准</w:t>
      </w:r>
      <w:bookmarkEnd w:id="399"/>
      <w:bookmarkEnd w:id="400"/>
      <w:bookmarkEnd w:id="401"/>
      <w:bookmarkEnd w:id="402"/>
      <w:bookmarkEnd w:id="403"/>
      <w:bookmarkEnd w:id="404"/>
      <w:bookmarkEnd w:id="405"/>
      <w:bookmarkEnd w:id="406"/>
      <w:bookmarkEnd w:id="407"/>
      <w:bookmarkEnd w:id="408"/>
    </w:p>
    <w:p w14:paraId="2D6BF920">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2.2.1  分值构成</w:t>
      </w:r>
    </w:p>
    <w:p w14:paraId="6A59B3AD">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w:t>
      </w:r>
      <w:r>
        <w:rPr>
          <w:rFonts w:hint="eastAsia" w:ascii="宋体" w:hAnsi="宋体" w:eastAsia="宋体" w:cs="Times New Roman"/>
          <w:color w:val="auto"/>
          <w:spacing w:val="1"/>
          <w:kern w:val="0"/>
          <w:szCs w:val="21"/>
          <w:highlight w:val="none"/>
        </w:rPr>
        <w:t>1</w:t>
      </w:r>
      <w:r>
        <w:rPr>
          <w:rFonts w:ascii="宋体" w:hAnsi="宋体" w:eastAsia="宋体" w:cs="Times New Roman"/>
          <w:color w:val="auto"/>
          <w:kern w:val="0"/>
          <w:szCs w:val="21"/>
          <w:highlight w:val="none"/>
        </w:rPr>
        <w:t>）技术</w:t>
      </w:r>
      <w:r>
        <w:rPr>
          <w:rFonts w:hint="eastAsia" w:ascii="宋体" w:hAnsi="宋体" w:eastAsia="宋体" w:cs="Times New Roman"/>
          <w:color w:val="auto"/>
          <w:kern w:val="0"/>
          <w:szCs w:val="21"/>
          <w:highlight w:val="none"/>
        </w:rPr>
        <w:t>部分</w:t>
      </w:r>
      <w:r>
        <w:rPr>
          <w:rFonts w:ascii="宋体" w:hAnsi="宋体" w:eastAsia="宋体" w:cs="Times New Roman"/>
          <w:color w:val="auto"/>
          <w:kern w:val="0"/>
          <w:szCs w:val="21"/>
          <w:highlight w:val="none"/>
        </w:rPr>
        <w:t>：见评标办法前附表</w:t>
      </w:r>
      <w:r>
        <w:rPr>
          <w:rFonts w:hint="eastAsia" w:ascii="宋体" w:hAnsi="宋体" w:eastAsia="宋体" w:cs="Times New Roman"/>
          <w:color w:val="auto"/>
          <w:kern w:val="0"/>
          <w:szCs w:val="21"/>
          <w:highlight w:val="none"/>
        </w:rPr>
        <w:t>；</w:t>
      </w:r>
    </w:p>
    <w:p w14:paraId="1F67CD66">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w:t>
      </w:r>
      <w:r>
        <w:rPr>
          <w:rFonts w:hint="eastAsia" w:ascii="宋体" w:hAnsi="宋体" w:eastAsia="宋体" w:cs="Times New Roman"/>
          <w:color w:val="auto"/>
          <w:spacing w:val="1"/>
          <w:kern w:val="0"/>
          <w:szCs w:val="21"/>
          <w:highlight w:val="none"/>
        </w:rPr>
        <w:t>2</w:t>
      </w:r>
      <w:r>
        <w:rPr>
          <w:rFonts w:ascii="宋体" w:hAnsi="宋体" w:eastAsia="宋体" w:cs="Times New Roman"/>
          <w:color w:val="auto"/>
          <w:kern w:val="0"/>
          <w:szCs w:val="21"/>
          <w:highlight w:val="none"/>
        </w:rPr>
        <w:t>）投标</w:t>
      </w:r>
      <w:r>
        <w:rPr>
          <w:rFonts w:hint="eastAsia" w:ascii="宋体" w:hAnsi="宋体" w:eastAsia="宋体" w:cs="Times New Roman"/>
          <w:color w:val="auto"/>
          <w:kern w:val="0"/>
          <w:szCs w:val="21"/>
          <w:highlight w:val="none"/>
        </w:rPr>
        <w:t>总</w:t>
      </w:r>
      <w:r>
        <w:rPr>
          <w:rFonts w:ascii="宋体" w:hAnsi="宋体" w:eastAsia="宋体" w:cs="Times New Roman"/>
          <w:color w:val="auto"/>
          <w:spacing w:val="-1"/>
          <w:kern w:val="0"/>
          <w:szCs w:val="21"/>
          <w:highlight w:val="none"/>
        </w:rPr>
        <w:t>报</w:t>
      </w:r>
      <w:r>
        <w:rPr>
          <w:rFonts w:ascii="宋体" w:hAnsi="宋体" w:eastAsia="宋体" w:cs="Times New Roman"/>
          <w:color w:val="auto"/>
          <w:kern w:val="0"/>
          <w:szCs w:val="21"/>
          <w:highlight w:val="none"/>
        </w:rPr>
        <w:t>价：见评标办法前附表</w:t>
      </w:r>
      <w:r>
        <w:rPr>
          <w:rFonts w:hint="eastAsia" w:ascii="宋体" w:hAnsi="宋体" w:eastAsia="宋体" w:cs="Times New Roman"/>
          <w:color w:val="auto"/>
          <w:kern w:val="0"/>
          <w:szCs w:val="21"/>
          <w:highlight w:val="none"/>
        </w:rPr>
        <w:t>。</w:t>
      </w:r>
    </w:p>
    <w:p w14:paraId="21DB688C">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 xml:space="preserve">2.2.2  </w:t>
      </w:r>
      <w:r>
        <w:rPr>
          <w:rFonts w:hint="eastAsia" w:ascii="宋体" w:hAnsi="宋体" w:eastAsia="宋体" w:cs="Times New Roman"/>
          <w:color w:val="auto"/>
          <w:kern w:val="0"/>
          <w:szCs w:val="21"/>
          <w:highlight w:val="none"/>
        </w:rPr>
        <w:t>评分标准</w:t>
      </w:r>
    </w:p>
    <w:p w14:paraId="7010F588">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技术</w:t>
      </w:r>
      <w:r>
        <w:rPr>
          <w:rFonts w:hint="eastAsia" w:ascii="宋体" w:hAnsi="宋体" w:eastAsia="宋体" w:cs="Times New Roman"/>
          <w:color w:val="auto"/>
          <w:kern w:val="0"/>
          <w:szCs w:val="21"/>
          <w:highlight w:val="none"/>
        </w:rPr>
        <w:t>部分</w:t>
      </w:r>
      <w:r>
        <w:rPr>
          <w:rFonts w:ascii="宋体" w:hAnsi="宋体" w:eastAsia="宋体" w:cs="Times New Roman"/>
          <w:color w:val="auto"/>
          <w:kern w:val="0"/>
          <w:szCs w:val="21"/>
          <w:highlight w:val="none"/>
        </w:rPr>
        <w:t>评分标准：见评标办法前附表；。</w:t>
      </w:r>
    </w:p>
    <w:p w14:paraId="37A90264">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2.2.3  </w:t>
      </w:r>
      <w:r>
        <w:rPr>
          <w:rFonts w:ascii="宋体" w:hAnsi="宋体" w:eastAsia="宋体" w:cs="Times New Roman"/>
          <w:color w:val="auto"/>
          <w:kern w:val="0"/>
          <w:szCs w:val="21"/>
          <w:highlight w:val="none"/>
        </w:rPr>
        <w:t>评标基准价计算</w:t>
      </w:r>
    </w:p>
    <w:p w14:paraId="3B481127">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评标基准价计算方法：见评标办法前附表。</w:t>
      </w:r>
    </w:p>
    <w:p w14:paraId="2D504A65">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2.2.</w:t>
      </w: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lang w:eastAsia="zh-CN"/>
        </w:rPr>
        <w:t>竞标报价</w:t>
      </w:r>
      <w:r>
        <w:rPr>
          <w:rFonts w:ascii="宋体" w:hAnsi="宋体" w:eastAsia="宋体" w:cs="Times New Roman"/>
          <w:color w:val="auto"/>
          <w:kern w:val="0"/>
          <w:szCs w:val="21"/>
          <w:highlight w:val="none"/>
        </w:rPr>
        <w:t>的偏差率计算</w:t>
      </w:r>
      <w:r>
        <w:rPr>
          <w:rFonts w:hint="eastAsia" w:ascii="宋体" w:hAnsi="宋体" w:eastAsia="宋体" w:cs="Times New Roman"/>
          <w:color w:val="auto"/>
          <w:kern w:val="0"/>
          <w:szCs w:val="21"/>
          <w:highlight w:val="none"/>
        </w:rPr>
        <w:t>和允许偏差范围</w:t>
      </w:r>
    </w:p>
    <w:p w14:paraId="68D4A016">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eastAsia="zh-CN"/>
        </w:rPr>
        <w:t>竞标报价</w:t>
      </w:r>
      <w:r>
        <w:rPr>
          <w:rFonts w:ascii="宋体" w:hAnsi="宋体" w:eastAsia="宋体" w:cs="Times New Roman"/>
          <w:color w:val="auto"/>
          <w:kern w:val="0"/>
          <w:szCs w:val="21"/>
          <w:highlight w:val="none"/>
        </w:rPr>
        <w:t>的偏差率计算公式：见评标办法前附表</w:t>
      </w:r>
      <w:r>
        <w:rPr>
          <w:rFonts w:hint="eastAsia" w:ascii="宋体" w:hAnsi="宋体" w:eastAsia="宋体" w:cs="Times New Roman"/>
          <w:color w:val="auto"/>
          <w:kern w:val="0"/>
          <w:szCs w:val="21"/>
          <w:highlight w:val="none"/>
        </w:rPr>
        <w:t>；</w:t>
      </w:r>
    </w:p>
    <w:p w14:paraId="3D8E363F">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lang w:eastAsia="zh-CN"/>
        </w:rPr>
        <w:t>竞标报价</w:t>
      </w:r>
      <w:r>
        <w:rPr>
          <w:rFonts w:hint="eastAsia" w:ascii="宋体" w:hAnsi="宋体" w:eastAsia="宋体" w:cs="Times New Roman"/>
          <w:color w:val="auto"/>
          <w:kern w:val="0"/>
          <w:szCs w:val="21"/>
          <w:highlight w:val="none"/>
        </w:rPr>
        <w:t>的允许偏差范围</w:t>
      </w:r>
      <w:r>
        <w:rPr>
          <w:rFonts w:ascii="宋体" w:hAnsi="宋体" w:eastAsia="宋体" w:cs="Times New Roman"/>
          <w:color w:val="auto"/>
          <w:kern w:val="0"/>
          <w:szCs w:val="21"/>
          <w:highlight w:val="none"/>
        </w:rPr>
        <w:t>：见评标办法前附表</w:t>
      </w:r>
      <w:r>
        <w:rPr>
          <w:rFonts w:hint="eastAsia" w:ascii="宋体" w:hAnsi="宋体" w:eastAsia="宋体" w:cs="Times New Roman"/>
          <w:color w:val="auto"/>
          <w:kern w:val="0"/>
          <w:szCs w:val="21"/>
          <w:highlight w:val="none"/>
        </w:rPr>
        <w:t>。</w:t>
      </w:r>
    </w:p>
    <w:p w14:paraId="3E5E5994">
      <w:pPr>
        <w:keepNext/>
        <w:keepLines/>
        <w:widowControl w:val="0"/>
        <w:spacing w:before="0" w:after="0" w:line="360" w:lineRule="auto"/>
        <w:jc w:val="both"/>
        <w:outlineLvl w:val="1"/>
        <w:rPr>
          <w:rFonts w:ascii="宋体" w:hAnsi="宋体" w:eastAsia="宋体" w:cs="Times New Roman"/>
          <w:b w:val="0"/>
          <w:bCs/>
          <w:snapToGrid w:val="0"/>
          <w:color w:val="auto"/>
          <w:kern w:val="2"/>
          <w:sz w:val="32"/>
          <w:szCs w:val="32"/>
          <w:highlight w:val="none"/>
          <w:lang w:val="en-US" w:eastAsia="zh-CN" w:bidi="ar-SA"/>
        </w:rPr>
      </w:pPr>
      <w:bookmarkStart w:id="409" w:name="_Toc224103388"/>
      <w:bookmarkStart w:id="410" w:name="_Toc287620755"/>
      <w:bookmarkStart w:id="411" w:name="_Toc509218780"/>
      <w:bookmarkStart w:id="412" w:name="_Toc430530504"/>
      <w:bookmarkStart w:id="413" w:name="_Toc200513202"/>
      <w:bookmarkStart w:id="414" w:name="_Toc4568"/>
      <w:bookmarkStart w:id="415" w:name="_Toc277082622"/>
      <w:bookmarkStart w:id="416" w:name="_Toc8138"/>
      <w:bookmarkStart w:id="417" w:name="_Toc287607816"/>
      <w:bookmarkStart w:id="418" w:name="_Toc23399"/>
      <w:r>
        <w:rPr>
          <w:rFonts w:ascii="宋体" w:hAnsi="宋体" w:eastAsia="宋体" w:cs="Times New Roman"/>
          <w:b w:val="0"/>
          <w:bCs/>
          <w:snapToGrid w:val="0"/>
          <w:color w:val="auto"/>
          <w:kern w:val="2"/>
          <w:sz w:val="32"/>
          <w:szCs w:val="32"/>
          <w:highlight w:val="none"/>
          <w:lang w:val="en-US" w:eastAsia="zh-CN" w:bidi="ar-SA"/>
        </w:rPr>
        <w:t>3.  评标程序</w:t>
      </w:r>
      <w:bookmarkEnd w:id="409"/>
      <w:bookmarkEnd w:id="410"/>
      <w:bookmarkEnd w:id="411"/>
      <w:bookmarkEnd w:id="412"/>
      <w:bookmarkEnd w:id="413"/>
      <w:bookmarkEnd w:id="414"/>
      <w:bookmarkEnd w:id="415"/>
      <w:bookmarkEnd w:id="416"/>
      <w:bookmarkEnd w:id="417"/>
      <w:bookmarkEnd w:id="418"/>
    </w:p>
    <w:p w14:paraId="20855858">
      <w:pPr>
        <w:keepNext/>
        <w:keepLines/>
        <w:widowControl w:val="0"/>
        <w:snapToGrid w:val="0"/>
        <w:spacing w:before="0" w:after="0" w:line="360" w:lineRule="auto"/>
        <w:jc w:val="both"/>
        <w:outlineLvl w:val="2"/>
        <w:rPr>
          <w:rFonts w:ascii="宋体" w:hAnsi="宋体" w:eastAsia="宋体" w:cs="Times New Roman"/>
          <w:b w:val="0"/>
          <w:bCs/>
          <w:snapToGrid w:val="0"/>
          <w:color w:val="auto"/>
          <w:kern w:val="2"/>
          <w:sz w:val="24"/>
          <w:szCs w:val="24"/>
          <w:highlight w:val="none"/>
          <w:lang w:val="en-US" w:eastAsia="zh-CN" w:bidi="ar-SA"/>
        </w:rPr>
      </w:pPr>
      <w:bookmarkStart w:id="419" w:name="_Toc430530505"/>
      <w:bookmarkStart w:id="420" w:name="_Toc287607817"/>
      <w:bookmarkStart w:id="421" w:name="_Toc21102"/>
      <w:bookmarkStart w:id="422" w:name="_Toc277082623"/>
      <w:bookmarkStart w:id="423" w:name="_Toc2782"/>
      <w:bookmarkStart w:id="424" w:name="_Toc509218781"/>
      <w:bookmarkStart w:id="425" w:name="_Toc224103389"/>
      <w:bookmarkStart w:id="426" w:name="_Toc287620756"/>
      <w:bookmarkStart w:id="427" w:name="_Toc200513203"/>
      <w:bookmarkStart w:id="428" w:name="_Toc8458"/>
      <w:r>
        <w:rPr>
          <w:rFonts w:ascii="宋体" w:hAnsi="宋体" w:eastAsia="宋体" w:cs="Times New Roman"/>
          <w:b w:val="0"/>
          <w:bCs/>
          <w:snapToGrid w:val="0"/>
          <w:color w:val="auto"/>
          <w:kern w:val="2"/>
          <w:sz w:val="24"/>
          <w:szCs w:val="24"/>
          <w:highlight w:val="none"/>
          <w:lang w:val="en-US" w:eastAsia="zh-CN" w:bidi="ar-SA"/>
        </w:rPr>
        <w:t>3.1  初步评审</w:t>
      </w:r>
      <w:bookmarkEnd w:id="419"/>
      <w:bookmarkEnd w:id="420"/>
      <w:bookmarkEnd w:id="421"/>
      <w:bookmarkEnd w:id="422"/>
      <w:bookmarkEnd w:id="423"/>
      <w:bookmarkEnd w:id="424"/>
      <w:bookmarkEnd w:id="425"/>
      <w:bookmarkEnd w:id="426"/>
      <w:bookmarkEnd w:id="427"/>
      <w:bookmarkEnd w:id="428"/>
    </w:p>
    <w:p w14:paraId="53A5837F">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 xml:space="preserve">3.1.1  </w:t>
      </w:r>
      <w:r>
        <w:rPr>
          <w:rFonts w:hint="eastAsia" w:ascii="宋体" w:hAnsi="宋体" w:eastAsia="宋体" w:cs="Times New Roman"/>
          <w:color w:val="auto"/>
          <w:kern w:val="0"/>
          <w:szCs w:val="21"/>
          <w:highlight w:val="none"/>
          <w:lang w:eastAsia="zh-CN"/>
        </w:rPr>
        <w:t>评审小组</w:t>
      </w:r>
      <w:r>
        <w:rPr>
          <w:rFonts w:ascii="宋体" w:hAnsi="宋体" w:eastAsia="宋体" w:cs="Times New Roman"/>
          <w:color w:val="auto"/>
          <w:kern w:val="0"/>
          <w:szCs w:val="21"/>
          <w:highlight w:val="none"/>
        </w:rPr>
        <w:t>依据本章第 2.1 款规定的标准对</w:t>
      </w:r>
      <w:r>
        <w:rPr>
          <w:rFonts w:hint="eastAsia" w:ascii="宋体" w:hAnsi="宋体" w:eastAsia="宋体" w:cs="Times New Roman"/>
          <w:color w:val="auto"/>
          <w:kern w:val="0"/>
          <w:szCs w:val="21"/>
          <w:highlight w:val="none"/>
          <w:lang w:eastAsia="zh-CN"/>
        </w:rPr>
        <w:t>竞标文件</w:t>
      </w:r>
      <w:r>
        <w:rPr>
          <w:rFonts w:ascii="宋体" w:hAnsi="宋体" w:eastAsia="宋体" w:cs="Times New Roman"/>
          <w:color w:val="auto"/>
          <w:kern w:val="0"/>
          <w:szCs w:val="21"/>
          <w:highlight w:val="none"/>
        </w:rPr>
        <w:t>进行初步评审。有一项不符合评审标准的，作否决投标处理。</w:t>
      </w:r>
    </w:p>
    <w:p w14:paraId="45D0C304">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 xml:space="preserve">3.1.2  </w:t>
      </w:r>
      <w:r>
        <w:rPr>
          <w:rFonts w:hint="eastAsia" w:ascii="宋体" w:hAnsi="宋体" w:eastAsia="宋体" w:cs="Times New Roman"/>
          <w:color w:val="auto"/>
          <w:kern w:val="0"/>
          <w:szCs w:val="21"/>
          <w:highlight w:val="none"/>
          <w:lang w:eastAsia="zh-CN"/>
        </w:rPr>
        <w:t>竞标</w:t>
      </w:r>
      <w:r>
        <w:rPr>
          <w:rFonts w:ascii="宋体" w:hAnsi="宋体" w:eastAsia="宋体" w:cs="Times New Roman"/>
          <w:color w:val="auto"/>
          <w:kern w:val="0"/>
          <w:szCs w:val="21"/>
          <w:highlight w:val="none"/>
        </w:rPr>
        <w:t>人有以下情形之一的，其投标作否决投标处理：</w:t>
      </w:r>
    </w:p>
    <w:p w14:paraId="4D7F538D">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w:t>
      </w:r>
      <w:r>
        <w:rPr>
          <w:rFonts w:ascii="宋体" w:hAnsi="宋体" w:eastAsia="宋体" w:cs="Times New Roman"/>
          <w:color w:val="auto"/>
          <w:spacing w:val="1"/>
          <w:kern w:val="0"/>
          <w:szCs w:val="21"/>
          <w:highlight w:val="none"/>
        </w:rPr>
        <w:t>1</w:t>
      </w:r>
      <w:r>
        <w:rPr>
          <w:rFonts w:ascii="宋体" w:hAnsi="宋体" w:eastAsia="宋体" w:cs="Times New Roman"/>
          <w:color w:val="auto"/>
          <w:kern w:val="0"/>
          <w:szCs w:val="21"/>
          <w:highlight w:val="none"/>
        </w:rPr>
        <w:t>）第二</w:t>
      </w:r>
      <w:r>
        <w:rPr>
          <w:rFonts w:ascii="宋体" w:hAnsi="宋体" w:eastAsia="宋体" w:cs="Times New Roman"/>
          <w:color w:val="auto"/>
          <w:spacing w:val="-1"/>
          <w:kern w:val="0"/>
          <w:szCs w:val="21"/>
          <w:highlight w:val="none"/>
        </w:rPr>
        <w:t>章</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竞标</w:t>
      </w:r>
      <w:r>
        <w:rPr>
          <w:rFonts w:ascii="宋体" w:hAnsi="宋体" w:eastAsia="宋体" w:cs="Times New Roman"/>
          <w:color w:val="auto"/>
          <w:kern w:val="0"/>
          <w:szCs w:val="21"/>
          <w:highlight w:val="none"/>
        </w:rPr>
        <w:t>人须知”第</w:t>
      </w:r>
      <w:r>
        <w:rPr>
          <w:rFonts w:ascii="宋体" w:hAnsi="宋体" w:eastAsia="宋体" w:cs="Times New Roman"/>
          <w:color w:val="auto"/>
          <w:spacing w:val="1"/>
          <w:kern w:val="0"/>
          <w:szCs w:val="21"/>
          <w:highlight w:val="none"/>
        </w:rPr>
        <w:t>1</w:t>
      </w:r>
      <w:r>
        <w:rPr>
          <w:rFonts w:ascii="宋体" w:hAnsi="宋体" w:eastAsia="宋体" w:cs="Times New Roman"/>
          <w:color w:val="auto"/>
          <w:spacing w:val="-1"/>
          <w:kern w:val="0"/>
          <w:szCs w:val="21"/>
          <w:highlight w:val="none"/>
        </w:rPr>
        <w:t>.</w:t>
      </w:r>
      <w:r>
        <w:rPr>
          <w:rFonts w:ascii="宋体" w:hAnsi="宋体" w:eastAsia="宋体" w:cs="Times New Roman"/>
          <w:color w:val="auto"/>
          <w:spacing w:val="1"/>
          <w:kern w:val="0"/>
          <w:szCs w:val="21"/>
          <w:highlight w:val="none"/>
        </w:rPr>
        <w:t>4</w:t>
      </w:r>
      <w:r>
        <w:rPr>
          <w:rFonts w:ascii="宋体" w:hAnsi="宋体" w:eastAsia="宋体" w:cs="Times New Roman"/>
          <w:color w:val="auto"/>
          <w:spacing w:val="-1"/>
          <w:kern w:val="0"/>
          <w:szCs w:val="21"/>
          <w:highlight w:val="none"/>
        </w:rPr>
        <w:t>.</w:t>
      </w:r>
      <w:r>
        <w:rPr>
          <w:rFonts w:ascii="宋体" w:hAnsi="宋体" w:eastAsia="宋体" w:cs="Times New Roman"/>
          <w:color w:val="auto"/>
          <w:kern w:val="0"/>
          <w:szCs w:val="21"/>
          <w:highlight w:val="none"/>
        </w:rPr>
        <w:t>3项规定的任何一种情形的；</w:t>
      </w:r>
    </w:p>
    <w:p w14:paraId="64C868CD">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w:t>
      </w:r>
      <w:r>
        <w:rPr>
          <w:rFonts w:ascii="宋体" w:hAnsi="宋体" w:eastAsia="宋体" w:cs="Times New Roman"/>
          <w:color w:val="auto"/>
          <w:spacing w:val="1"/>
          <w:kern w:val="0"/>
          <w:szCs w:val="21"/>
          <w:highlight w:val="none"/>
        </w:rPr>
        <w:t>2</w:t>
      </w:r>
      <w:r>
        <w:rPr>
          <w:rFonts w:ascii="宋体" w:hAnsi="宋体" w:eastAsia="宋体" w:cs="Times New Roman"/>
          <w:color w:val="auto"/>
          <w:kern w:val="0"/>
          <w:szCs w:val="21"/>
          <w:highlight w:val="none"/>
        </w:rPr>
        <w:t>）</w:t>
      </w:r>
      <w:r>
        <w:rPr>
          <w:rFonts w:hint="eastAsia" w:ascii="宋体" w:hAnsi="宋体" w:eastAsia="宋体" w:cs="宋体"/>
          <w:color w:val="auto"/>
          <w:szCs w:val="21"/>
          <w:highlight w:val="none"/>
        </w:rPr>
        <w:t>本次投标有串通投标、弄虚作假等其他违反招投标相关法律、法规行为的</w:t>
      </w:r>
      <w:r>
        <w:rPr>
          <w:rFonts w:ascii="宋体" w:hAnsi="宋体" w:eastAsia="宋体" w:cs="Times New Roman"/>
          <w:color w:val="auto"/>
          <w:kern w:val="0"/>
          <w:szCs w:val="21"/>
          <w:highlight w:val="none"/>
        </w:rPr>
        <w:t>；</w:t>
      </w:r>
    </w:p>
    <w:p w14:paraId="3A9B7E42">
      <w:pPr>
        <w:autoSpaceDE w:val="0"/>
        <w:autoSpaceDN w:val="0"/>
        <w:adjustRightInd w:val="0"/>
        <w:snapToGrid w:val="0"/>
        <w:spacing w:line="360" w:lineRule="auto"/>
        <w:ind w:firstLine="422" w:firstLineChars="200"/>
        <w:rPr>
          <w:rFonts w:hint="eastAsia" w:ascii="宋体" w:hAnsi="宋体" w:eastAsia="宋体" w:cs="Times New Roman"/>
          <w:b/>
          <w:bCs/>
          <w:color w:val="auto"/>
          <w:kern w:val="0"/>
          <w:szCs w:val="21"/>
          <w:highlight w:val="none"/>
          <w:lang w:val="en-US" w:eastAsia="zh-CN"/>
        </w:rPr>
      </w:pPr>
      <w:r>
        <w:rPr>
          <w:rFonts w:hint="eastAsia" w:ascii="宋体" w:hAnsi="宋体" w:eastAsia="宋体" w:cs="Times New Roman"/>
          <w:b/>
          <w:bCs/>
          <w:color w:val="auto"/>
          <w:kern w:val="0"/>
          <w:szCs w:val="21"/>
          <w:highlight w:val="none"/>
          <w:lang w:val="en-US" w:eastAsia="zh-CN"/>
        </w:rPr>
        <w:t>弄虚作假行为的界定：</w:t>
      </w:r>
    </w:p>
    <w:p w14:paraId="193A0313">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（1）利用伪造、变造或者无效的资质证书、印鉴参加投标的；</w:t>
      </w:r>
    </w:p>
    <w:p w14:paraId="6D000130">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（2）伪造或者虚报业绩的；</w:t>
      </w:r>
    </w:p>
    <w:p w14:paraId="355FD0A8">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（3）伪造主要技术人员简历、劳动关系证明；或者中标后不按承诺配备项目负责人或者主要技术人员的；</w:t>
      </w:r>
    </w:p>
    <w:p w14:paraId="18D850A3">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（4）伪造或者虚报财务状况的；</w:t>
      </w:r>
    </w:p>
    <w:p w14:paraId="2BD15A23">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（5）提交虚假的信用状况信息的；</w:t>
      </w:r>
    </w:p>
    <w:p w14:paraId="629886EE">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（6）隐瞒招标文件要求提供的信息，或者提供虚假、引人误解的其他信息；</w:t>
      </w:r>
    </w:p>
    <w:p w14:paraId="283BFE09">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（7）法律、法规、规章规定的其他弄虚作假行为。</w:t>
      </w:r>
    </w:p>
    <w:p w14:paraId="61956FC6">
      <w:pPr>
        <w:widowControl w:val="0"/>
        <w:spacing w:after="120"/>
        <w:ind w:firstLine="420"/>
        <w:jc w:val="both"/>
        <w:rPr>
          <w:rFonts w:hint="eastAsia" w:ascii="宋体" w:hAnsi="宋体" w:eastAsia="宋体" w:cs="Times New Roman"/>
          <w:b/>
          <w:bCs/>
          <w:color w:val="auto"/>
          <w:kern w:val="0"/>
          <w:sz w:val="21"/>
          <w:szCs w:val="21"/>
          <w:highlight w:val="none"/>
          <w:lang w:val="en-US" w:eastAsia="zh-CN" w:bidi="ar-SA"/>
        </w:rPr>
      </w:pPr>
      <w:r>
        <w:rPr>
          <w:rFonts w:hint="eastAsia" w:ascii="宋体" w:hAnsi="宋体" w:eastAsia="宋体" w:cs="Times New Roman"/>
          <w:b/>
          <w:bCs/>
          <w:color w:val="auto"/>
          <w:kern w:val="0"/>
          <w:sz w:val="21"/>
          <w:szCs w:val="21"/>
          <w:highlight w:val="none"/>
          <w:lang w:val="en-US" w:eastAsia="zh-CN" w:bidi="ar-SA"/>
        </w:rPr>
        <w:t>围标串标的认定：</w:t>
      </w:r>
    </w:p>
    <w:p w14:paraId="3EB3A575">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有下列情形之一的，经</w:t>
      </w:r>
      <w:r>
        <w:rPr>
          <w:rFonts w:hint="eastAsia" w:ascii="宋体" w:hAnsi="宋体" w:eastAsia="宋体" w:cs="宋体"/>
          <w:color w:val="auto"/>
          <w:kern w:val="0"/>
          <w:szCs w:val="21"/>
          <w:highlight w:val="none"/>
          <w:lang w:eastAsia="zh-CN"/>
        </w:rPr>
        <w:t>评审小组</w:t>
      </w:r>
      <w:r>
        <w:rPr>
          <w:rFonts w:hint="eastAsia" w:ascii="宋体" w:hAnsi="宋体" w:eastAsia="宋体" w:cs="宋体"/>
          <w:color w:val="auto"/>
          <w:kern w:val="0"/>
          <w:szCs w:val="21"/>
          <w:highlight w:val="none"/>
        </w:rPr>
        <w:t>集体认定为串通投标后，作废标处理。</w:t>
      </w:r>
    </w:p>
    <w:p w14:paraId="6D5FD768">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（1）不同</w:t>
      </w:r>
      <w:r>
        <w:rPr>
          <w:rFonts w:hint="eastAsia" w:ascii="宋体" w:hAnsi="宋体" w:eastAsia="宋体" w:cs="宋体"/>
          <w:color w:val="auto"/>
          <w:kern w:val="0"/>
          <w:szCs w:val="21"/>
          <w:highlight w:val="none"/>
          <w:lang w:eastAsia="zh-CN"/>
        </w:rPr>
        <w:t>竞标人</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竞标文件</w:t>
      </w:r>
      <w:r>
        <w:rPr>
          <w:rFonts w:hint="eastAsia" w:ascii="宋体" w:hAnsi="宋体" w:eastAsia="宋体" w:cs="宋体"/>
          <w:color w:val="auto"/>
          <w:kern w:val="0"/>
          <w:szCs w:val="21"/>
          <w:highlight w:val="none"/>
        </w:rPr>
        <w:t>内容存在非正常一致有5处及以上的；</w:t>
      </w:r>
    </w:p>
    <w:p w14:paraId="19F1726B">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（2）不同</w:t>
      </w:r>
      <w:r>
        <w:rPr>
          <w:rFonts w:hint="eastAsia" w:ascii="宋体" w:hAnsi="宋体" w:eastAsia="宋体" w:cs="宋体"/>
          <w:color w:val="auto"/>
          <w:kern w:val="0"/>
          <w:szCs w:val="21"/>
          <w:highlight w:val="none"/>
          <w:lang w:eastAsia="zh-CN"/>
        </w:rPr>
        <w:t>竞标人</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竞标文件</w:t>
      </w:r>
      <w:r>
        <w:rPr>
          <w:rFonts w:hint="eastAsia" w:ascii="宋体" w:hAnsi="宋体" w:eastAsia="宋体" w:cs="宋体"/>
          <w:color w:val="auto"/>
          <w:kern w:val="0"/>
          <w:szCs w:val="21"/>
          <w:highlight w:val="none"/>
        </w:rPr>
        <w:t>错漏之处一致有3处及以上的；</w:t>
      </w:r>
    </w:p>
    <w:p w14:paraId="33120627">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（3）不同</w:t>
      </w:r>
      <w:r>
        <w:rPr>
          <w:rFonts w:hint="eastAsia" w:ascii="宋体" w:hAnsi="宋体" w:eastAsia="宋体" w:cs="宋体"/>
          <w:color w:val="auto"/>
          <w:kern w:val="0"/>
          <w:szCs w:val="21"/>
          <w:highlight w:val="none"/>
          <w:lang w:eastAsia="zh-CN"/>
        </w:rPr>
        <w:t>竞标人</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竞标文件</w:t>
      </w:r>
      <w:r>
        <w:rPr>
          <w:rFonts w:hint="eastAsia" w:ascii="宋体" w:hAnsi="宋体" w:eastAsia="宋体" w:cs="宋体"/>
          <w:color w:val="auto"/>
          <w:kern w:val="0"/>
          <w:szCs w:val="21"/>
          <w:highlight w:val="none"/>
        </w:rPr>
        <w:t>错漏之处一致有1处且非正常处3处及以上的；</w:t>
      </w:r>
    </w:p>
    <w:p w14:paraId="44984ADE">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（4）不同</w:t>
      </w:r>
      <w:r>
        <w:rPr>
          <w:rFonts w:hint="eastAsia" w:ascii="宋体" w:hAnsi="宋体" w:eastAsia="宋体" w:cs="宋体"/>
          <w:color w:val="auto"/>
          <w:kern w:val="0"/>
          <w:szCs w:val="21"/>
          <w:highlight w:val="none"/>
          <w:lang w:eastAsia="zh-CN"/>
        </w:rPr>
        <w:t>竞标人</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竞标报价</w:t>
      </w:r>
      <w:r>
        <w:rPr>
          <w:rFonts w:hint="eastAsia" w:ascii="宋体" w:hAnsi="宋体" w:eastAsia="宋体" w:cs="宋体"/>
          <w:color w:val="auto"/>
          <w:kern w:val="0"/>
          <w:szCs w:val="21"/>
          <w:highlight w:val="none"/>
        </w:rPr>
        <w:t>或者报价组成异常，且一致或者呈规律性变化的；</w:t>
      </w:r>
    </w:p>
    <w:p w14:paraId="07082B63">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（5）不同</w:t>
      </w:r>
      <w:r>
        <w:rPr>
          <w:rFonts w:hint="eastAsia" w:ascii="宋体" w:hAnsi="宋体" w:eastAsia="宋体" w:cs="宋体"/>
          <w:color w:val="auto"/>
          <w:kern w:val="0"/>
          <w:szCs w:val="21"/>
          <w:highlight w:val="none"/>
          <w:lang w:eastAsia="zh-CN"/>
        </w:rPr>
        <w:t>竞标人</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竞标文件</w:t>
      </w:r>
      <w:r>
        <w:rPr>
          <w:rFonts w:hint="eastAsia" w:ascii="宋体" w:hAnsi="宋体" w:eastAsia="宋体" w:cs="宋体"/>
          <w:color w:val="auto"/>
          <w:kern w:val="0"/>
          <w:szCs w:val="21"/>
          <w:highlight w:val="none"/>
        </w:rPr>
        <w:t>由同一单位或者同一个人编制的；</w:t>
      </w:r>
    </w:p>
    <w:p w14:paraId="69960AFB">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（6）不同</w:t>
      </w:r>
      <w:r>
        <w:rPr>
          <w:rFonts w:hint="eastAsia" w:ascii="宋体" w:hAnsi="宋体" w:eastAsia="宋体" w:cs="宋体"/>
          <w:color w:val="auto"/>
          <w:kern w:val="0"/>
          <w:szCs w:val="21"/>
          <w:highlight w:val="none"/>
          <w:lang w:eastAsia="zh-CN"/>
        </w:rPr>
        <w:t>竞标人</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竞标文件</w:t>
      </w:r>
      <w:r>
        <w:rPr>
          <w:rFonts w:hint="eastAsia" w:ascii="宋体" w:hAnsi="宋体" w:eastAsia="宋体" w:cs="宋体"/>
          <w:color w:val="auto"/>
          <w:kern w:val="0"/>
          <w:szCs w:val="21"/>
          <w:highlight w:val="none"/>
        </w:rPr>
        <w:t>载明的项目管理班子成员出现同一人的；</w:t>
      </w:r>
    </w:p>
    <w:p w14:paraId="18C56B37">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（7）不同</w:t>
      </w:r>
      <w:r>
        <w:rPr>
          <w:rFonts w:hint="eastAsia" w:ascii="宋体" w:hAnsi="宋体" w:eastAsia="宋体" w:cs="宋体"/>
          <w:color w:val="auto"/>
          <w:kern w:val="0"/>
          <w:szCs w:val="21"/>
          <w:highlight w:val="none"/>
          <w:lang w:eastAsia="zh-CN"/>
        </w:rPr>
        <w:t>竞标人</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竞标文件</w:t>
      </w:r>
      <w:r>
        <w:rPr>
          <w:rFonts w:hint="eastAsia" w:ascii="宋体" w:hAnsi="宋体" w:eastAsia="宋体" w:cs="宋体"/>
          <w:color w:val="auto"/>
          <w:kern w:val="0"/>
          <w:szCs w:val="21"/>
          <w:highlight w:val="none"/>
        </w:rPr>
        <w:t>相互混装的；</w:t>
      </w:r>
    </w:p>
    <w:p w14:paraId="4ECF0FA8">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（8）不同</w:t>
      </w:r>
      <w:r>
        <w:rPr>
          <w:rFonts w:hint="eastAsia" w:ascii="宋体" w:hAnsi="宋体" w:eastAsia="宋体" w:cs="宋体"/>
          <w:color w:val="auto"/>
          <w:kern w:val="0"/>
          <w:szCs w:val="21"/>
          <w:highlight w:val="none"/>
          <w:lang w:eastAsia="zh-CN"/>
        </w:rPr>
        <w:t>竞标人</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竞标文件</w:t>
      </w:r>
      <w:r>
        <w:rPr>
          <w:rFonts w:hint="eastAsia" w:ascii="宋体" w:hAnsi="宋体" w:eastAsia="宋体" w:cs="宋体"/>
          <w:color w:val="auto"/>
          <w:kern w:val="0"/>
          <w:szCs w:val="21"/>
          <w:highlight w:val="none"/>
        </w:rPr>
        <w:t>由同一台电脑编制的；</w:t>
      </w:r>
    </w:p>
    <w:p w14:paraId="596F07D8">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（9）不同</w:t>
      </w:r>
      <w:r>
        <w:rPr>
          <w:rFonts w:hint="eastAsia" w:ascii="宋体" w:hAnsi="宋体" w:eastAsia="宋体" w:cs="宋体"/>
          <w:color w:val="auto"/>
          <w:kern w:val="0"/>
          <w:szCs w:val="21"/>
          <w:highlight w:val="none"/>
          <w:lang w:eastAsia="zh-CN"/>
        </w:rPr>
        <w:t>竞标人</w:t>
      </w:r>
      <w:r>
        <w:rPr>
          <w:rFonts w:hint="eastAsia" w:ascii="宋体" w:hAnsi="宋体" w:eastAsia="宋体" w:cs="宋体"/>
          <w:color w:val="auto"/>
          <w:kern w:val="0"/>
          <w:szCs w:val="21"/>
          <w:highlight w:val="none"/>
        </w:rPr>
        <w:t>委托同一人投标的；</w:t>
      </w:r>
    </w:p>
    <w:p w14:paraId="60D2FDF8">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（10）不同</w:t>
      </w:r>
      <w:r>
        <w:rPr>
          <w:rFonts w:hint="eastAsia" w:ascii="宋体" w:hAnsi="宋体" w:eastAsia="宋体" w:cs="宋体"/>
          <w:color w:val="auto"/>
          <w:kern w:val="0"/>
          <w:szCs w:val="21"/>
          <w:highlight w:val="none"/>
          <w:lang w:eastAsia="zh-CN"/>
        </w:rPr>
        <w:t>竞标人</w:t>
      </w:r>
      <w:r>
        <w:rPr>
          <w:rFonts w:hint="eastAsia" w:ascii="宋体" w:hAnsi="宋体" w:eastAsia="宋体" w:cs="宋体"/>
          <w:color w:val="auto"/>
          <w:kern w:val="0"/>
          <w:szCs w:val="21"/>
          <w:highlight w:val="none"/>
        </w:rPr>
        <w:t>使用同一个企业资金交纳投标保证金的；</w:t>
      </w:r>
    </w:p>
    <w:p w14:paraId="1AF5279F">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（11）不同</w:t>
      </w:r>
      <w:r>
        <w:rPr>
          <w:rFonts w:hint="eastAsia" w:ascii="宋体" w:hAnsi="宋体" w:eastAsia="宋体" w:cs="宋体"/>
          <w:color w:val="auto"/>
          <w:kern w:val="0"/>
          <w:szCs w:val="21"/>
          <w:highlight w:val="none"/>
          <w:lang w:eastAsia="zh-CN"/>
        </w:rPr>
        <w:t>竞标人</w:t>
      </w:r>
      <w:r>
        <w:rPr>
          <w:rFonts w:hint="eastAsia" w:ascii="宋体" w:hAnsi="宋体" w:eastAsia="宋体" w:cs="宋体"/>
          <w:color w:val="auto"/>
          <w:kern w:val="0"/>
          <w:szCs w:val="21"/>
          <w:highlight w:val="none"/>
        </w:rPr>
        <w:t>聘请同一人为其投标提供技术或者经济咨询服务的，但招标</w:t>
      </w:r>
      <w:r>
        <w:rPr>
          <w:rFonts w:hint="eastAsia" w:ascii="宋体" w:hAnsi="宋体" w:cs="宋体"/>
          <w:color w:val="auto"/>
          <w:kern w:val="0"/>
          <w:szCs w:val="21"/>
          <w:highlight w:val="none"/>
          <w:lang w:val="en-US" w:eastAsia="zh-CN"/>
        </w:rPr>
        <w:t>项目</w:t>
      </w:r>
      <w:r>
        <w:rPr>
          <w:rFonts w:hint="eastAsia" w:ascii="宋体" w:hAnsi="宋体" w:eastAsia="宋体" w:cs="宋体"/>
          <w:color w:val="auto"/>
          <w:kern w:val="0"/>
          <w:szCs w:val="21"/>
          <w:highlight w:val="none"/>
        </w:rPr>
        <w:t>本身要求采用专有技术的除外；</w:t>
      </w:r>
    </w:p>
    <w:p w14:paraId="48A84286">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r>
        <w:rPr>
          <w:rFonts w:hint="eastAsia" w:ascii="宋体" w:hAnsi="宋体" w:eastAsia="宋体" w:cs="宋体"/>
          <w:color w:val="auto"/>
          <w:kern w:val="0"/>
          <w:szCs w:val="21"/>
          <w:highlight w:val="none"/>
          <w:lang w:eastAsia="zh-CN"/>
        </w:rPr>
        <w:t>评审小组</w:t>
      </w:r>
      <w:r>
        <w:rPr>
          <w:rFonts w:hint="eastAsia" w:ascii="宋体" w:hAnsi="宋体" w:eastAsia="宋体" w:cs="宋体"/>
          <w:color w:val="auto"/>
          <w:kern w:val="0"/>
          <w:szCs w:val="21"/>
          <w:highlight w:val="none"/>
        </w:rPr>
        <w:t>认定的其他串通投标情形。</w:t>
      </w:r>
    </w:p>
    <w:p w14:paraId="5074D7A2">
      <w:pPr>
        <w:ind w:firstLine="420"/>
        <w:rPr>
          <w:rFonts w:hint="default" w:ascii="Times New Roman" w:hAnsi="Times New Roman" w:eastAsia="宋体" w:cs="Times New Roman"/>
          <w:color w:val="auto"/>
          <w:highlight w:val="none"/>
          <w:lang w:val="en-US" w:eastAsia="zh-CN"/>
        </w:rPr>
      </w:pPr>
    </w:p>
    <w:p w14:paraId="1C46B6FF">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w:t>
      </w:r>
      <w:r>
        <w:rPr>
          <w:rFonts w:ascii="宋体" w:hAnsi="宋体" w:eastAsia="宋体" w:cs="Times New Roman"/>
          <w:color w:val="auto"/>
          <w:spacing w:val="1"/>
          <w:kern w:val="0"/>
          <w:szCs w:val="21"/>
          <w:highlight w:val="none"/>
        </w:rPr>
        <w:t>3</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拒绝</w:t>
      </w:r>
      <w:r>
        <w:rPr>
          <w:rFonts w:ascii="宋体" w:hAnsi="宋体" w:eastAsia="宋体" w:cs="Times New Roman"/>
          <w:color w:val="auto"/>
          <w:kern w:val="0"/>
          <w:szCs w:val="21"/>
          <w:highlight w:val="none"/>
        </w:rPr>
        <w:t>按</w:t>
      </w:r>
      <w:r>
        <w:rPr>
          <w:rFonts w:hint="eastAsia" w:ascii="宋体" w:hAnsi="宋体" w:eastAsia="宋体" w:cs="Times New Roman"/>
          <w:color w:val="auto"/>
          <w:spacing w:val="-1"/>
          <w:kern w:val="0"/>
          <w:szCs w:val="21"/>
          <w:highlight w:val="none"/>
          <w:lang w:eastAsia="zh-CN"/>
        </w:rPr>
        <w:t>评审小组</w:t>
      </w:r>
      <w:r>
        <w:rPr>
          <w:rFonts w:ascii="宋体" w:hAnsi="宋体" w:eastAsia="宋体" w:cs="Times New Roman"/>
          <w:color w:val="auto"/>
          <w:kern w:val="0"/>
          <w:szCs w:val="21"/>
          <w:highlight w:val="none"/>
        </w:rPr>
        <w:t>要求澄清、说明或补正的</w:t>
      </w:r>
      <w:r>
        <w:rPr>
          <w:rFonts w:hint="eastAsia" w:ascii="宋体" w:hAnsi="宋体" w:eastAsia="宋体" w:cs="Times New Roman"/>
          <w:color w:val="auto"/>
          <w:kern w:val="0"/>
          <w:szCs w:val="21"/>
          <w:highlight w:val="none"/>
        </w:rPr>
        <w:t>。</w:t>
      </w:r>
    </w:p>
    <w:p w14:paraId="7584282C">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 xml:space="preserve">3.1.3  </w:t>
      </w:r>
      <w:r>
        <w:rPr>
          <w:rFonts w:hint="eastAsia" w:ascii="宋体" w:hAnsi="宋体" w:eastAsia="宋体" w:cs="Times New Roman"/>
          <w:color w:val="auto"/>
          <w:kern w:val="0"/>
          <w:szCs w:val="21"/>
          <w:highlight w:val="none"/>
          <w:lang w:eastAsia="zh-CN"/>
        </w:rPr>
        <w:t>竞标报价</w:t>
      </w:r>
      <w:r>
        <w:rPr>
          <w:rFonts w:ascii="宋体" w:hAnsi="宋体" w:eastAsia="宋体" w:cs="Times New Roman"/>
          <w:color w:val="auto"/>
          <w:kern w:val="0"/>
          <w:szCs w:val="21"/>
          <w:highlight w:val="none"/>
        </w:rPr>
        <w:t>有算术错误的，</w:t>
      </w:r>
      <w:r>
        <w:rPr>
          <w:rFonts w:hint="eastAsia" w:ascii="宋体" w:hAnsi="宋体" w:eastAsia="宋体" w:cs="Times New Roman"/>
          <w:color w:val="auto"/>
          <w:kern w:val="0"/>
          <w:szCs w:val="21"/>
          <w:highlight w:val="none"/>
          <w:lang w:eastAsia="zh-CN"/>
        </w:rPr>
        <w:t>评审小组</w:t>
      </w:r>
      <w:r>
        <w:rPr>
          <w:rFonts w:ascii="宋体" w:hAnsi="宋体" w:eastAsia="宋体" w:cs="Times New Roman"/>
          <w:color w:val="auto"/>
          <w:kern w:val="0"/>
          <w:szCs w:val="21"/>
          <w:highlight w:val="none"/>
        </w:rPr>
        <w:t>按以下原则对</w:t>
      </w:r>
      <w:r>
        <w:rPr>
          <w:rFonts w:hint="eastAsia" w:ascii="宋体" w:hAnsi="宋体" w:eastAsia="宋体" w:cs="Times New Roman"/>
          <w:color w:val="auto"/>
          <w:kern w:val="0"/>
          <w:szCs w:val="21"/>
          <w:highlight w:val="none"/>
          <w:lang w:eastAsia="zh-CN"/>
        </w:rPr>
        <w:t>竞标报价</w:t>
      </w:r>
      <w:r>
        <w:rPr>
          <w:rFonts w:ascii="宋体" w:hAnsi="宋体" w:eastAsia="宋体" w:cs="Times New Roman"/>
          <w:color w:val="auto"/>
          <w:kern w:val="0"/>
          <w:szCs w:val="21"/>
          <w:highlight w:val="none"/>
        </w:rPr>
        <w:t>进行修正，修正的价格经</w:t>
      </w:r>
      <w:r>
        <w:rPr>
          <w:rFonts w:hint="eastAsia" w:ascii="宋体" w:hAnsi="宋体" w:eastAsia="宋体" w:cs="Times New Roman"/>
          <w:color w:val="auto"/>
          <w:kern w:val="0"/>
          <w:szCs w:val="21"/>
          <w:highlight w:val="none"/>
          <w:lang w:eastAsia="zh-CN"/>
        </w:rPr>
        <w:t>竞标人</w:t>
      </w:r>
      <w:r>
        <w:rPr>
          <w:rFonts w:ascii="宋体" w:hAnsi="宋体" w:eastAsia="宋体" w:cs="Times New Roman"/>
          <w:color w:val="auto"/>
          <w:kern w:val="0"/>
          <w:szCs w:val="21"/>
          <w:highlight w:val="none"/>
        </w:rPr>
        <w:t>书面确认后具有约束力</w:t>
      </w:r>
      <w:r>
        <w:rPr>
          <w:rFonts w:hint="eastAsia" w:ascii="宋体" w:hAnsi="宋体" w:eastAsia="宋体" w:cs="Times New Roman"/>
          <w:color w:val="auto"/>
          <w:kern w:val="0"/>
          <w:szCs w:val="21"/>
          <w:highlight w:val="none"/>
        </w:rPr>
        <w:t>，修正原则如下：</w:t>
      </w:r>
    </w:p>
    <w:p w14:paraId="318D78C3">
      <w:pPr>
        <w:autoSpaceDE w:val="0"/>
        <w:autoSpaceDN w:val="0"/>
        <w:adjustRightInd w:val="0"/>
        <w:snapToGrid w:val="0"/>
        <w:spacing w:line="360" w:lineRule="auto"/>
        <w:ind w:firstLine="532"/>
        <w:rPr>
          <w:rFonts w:ascii="宋体" w:hAnsi="宋体" w:eastAsia="宋体" w:cs="Times New Roman"/>
          <w:color w:val="auto"/>
          <w:kern w:val="0"/>
          <w:szCs w:val="21"/>
          <w:highlight w:val="none"/>
        </w:rPr>
      </w:pPr>
      <w:r>
        <w:rPr>
          <w:rFonts w:ascii="宋体" w:hAnsi="宋体" w:eastAsia="宋体" w:cs="Times New Roman"/>
          <w:color w:val="auto"/>
          <w:spacing w:val="-1"/>
          <w:kern w:val="0"/>
          <w:szCs w:val="21"/>
          <w:highlight w:val="none"/>
        </w:rPr>
        <w:t>（1）</w:t>
      </w:r>
      <w:r>
        <w:rPr>
          <w:rFonts w:hint="eastAsia" w:ascii="宋体" w:hAnsi="宋体" w:eastAsia="宋体" w:cs="Times New Roman"/>
          <w:color w:val="auto"/>
          <w:spacing w:val="-1"/>
          <w:kern w:val="0"/>
          <w:szCs w:val="21"/>
          <w:highlight w:val="none"/>
          <w:lang w:eastAsia="zh-CN"/>
        </w:rPr>
        <w:t>竞标文件</w:t>
      </w:r>
      <w:r>
        <w:rPr>
          <w:rFonts w:ascii="宋体" w:hAnsi="宋体" w:eastAsia="宋体" w:cs="Times New Roman"/>
          <w:color w:val="auto"/>
          <w:spacing w:val="-1"/>
          <w:kern w:val="0"/>
          <w:szCs w:val="21"/>
          <w:highlight w:val="none"/>
        </w:rPr>
        <w:t>中的大写金额与小写金额不一致的，以大写金</w:t>
      </w:r>
      <w:r>
        <w:rPr>
          <w:rFonts w:ascii="宋体" w:hAnsi="宋体" w:eastAsia="宋体" w:cs="Times New Roman"/>
          <w:color w:val="auto"/>
          <w:kern w:val="0"/>
          <w:szCs w:val="21"/>
          <w:highlight w:val="none"/>
        </w:rPr>
        <w:t>额为准</w:t>
      </w:r>
      <w:r>
        <w:rPr>
          <w:rFonts w:hint="eastAsia" w:ascii="宋体" w:hAnsi="宋体" w:eastAsia="宋体" w:cs="Times New Roman"/>
          <w:color w:val="auto"/>
          <w:kern w:val="0"/>
          <w:szCs w:val="21"/>
          <w:highlight w:val="none"/>
        </w:rPr>
        <w:t>；</w:t>
      </w:r>
    </w:p>
    <w:p w14:paraId="4FD82CAF">
      <w:pPr>
        <w:keepNext/>
        <w:keepLines/>
        <w:widowControl w:val="0"/>
        <w:snapToGrid w:val="0"/>
        <w:spacing w:before="0" w:after="0" w:line="360" w:lineRule="auto"/>
        <w:jc w:val="both"/>
        <w:outlineLvl w:val="2"/>
        <w:rPr>
          <w:rFonts w:ascii="宋体" w:hAnsi="宋体" w:eastAsia="宋体" w:cs="Times New Roman"/>
          <w:b w:val="0"/>
          <w:bCs/>
          <w:snapToGrid w:val="0"/>
          <w:color w:val="auto"/>
          <w:kern w:val="2"/>
          <w:sz w:val="24"/>
          <w:szCs w:val="24"/>
          <w:highlight w:val="none"/>
          <w:lang w:val="en-US" w:eastAsia="zh-CN" w:bidi="ar-SA"/>
        </w:rPr>
      </w:pPr>
      <w:bookmarkStart w:id="429" w:name="_Toc277082624"/>
      <w:bookmarkStart w:id="430" w:name="_Toc287620757"/>
      <w:bookmarkStart w:id="431" w:name="_Toc31837"/>
      <w:bookmarkStart w:id="432" w:name="_Toc430530506"/>
      <w:bookmarkStart w:id="433" w:name="_Toc200513204"/>
      <w:bookmarkStart w:id="434" w:name="_Toc509218782"/>
      <w:bookmarkStart w:id="435" w:name="_Toc8312"/>
      <w:bookmarkStart w:id="436" w:name="_Toc12430"/>
      <w:bookmarkStart w:id="437" w:name="_Toc224103390"/>
      <w:bookmarkStart w:id="438" w:name="_Toc287607818"/>
      <w:r>
        <w:rPr>
          <w:rFonts w:ascii="宋体" w:hAnsi="宋体" w:eastAsia="宋体" w:cs="Times New Roman"/>
          <w:b w:val="0"/>
          <w:bCs/>
          <w:snapToGrid w:val="0"/>
          <w:color w:val="auto"/>
          <w:kern w:val="2"/>
          <w:sz w:val="24"/>
          <w:szCs w:val="24"/>
          <w:highlight w:val="none"/>
          <w:lang w:val="en-US" w:eastAsia="zh-CN" w:bidi="ar-SA"/>
        </w:rPr>
        <w:t>3.2  详细评审</w:t>
      </w:r>
      <w:bookmarkEnd w:id="429"/>
      <w:bookmarkEnd w:id="430"/>
      <w:bookmarkEnd w:id="431"/>
      <w:bookmarkEnd w:id="432"/>
      <w:bookmarkEnd w:id="433"/>
      <w:bookmarkEnd w:id="434"/>
      <w:bookmarkEnd w:id="435"/>
      <w:bookmarkEnd w:id="436"/>
      <w:bookmarkEnd w:id="437"/>
      <w:bookmarkEnd w:id="438"/>
    </w:p>
    <w:p w14:paraId="46CD05FD">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 xml:space="preserve">3.2.1  </w:t>
      </w:r>
      <w:r>
        <w:rPr>
          <w:rFonts w:hint="eastAsia" w:ascii="宋体" w:hAnsi="宋体" w:eastAsia="宋体" w:cs="Times New Roman"/>
          <w:color w:val="auto"/>
          <w:kern w:val="0"/>
          <w:szCs w:val="21"/>
          <w:highlight w:val="none"/>
          <w:lang w:eastAsia="zh-CN"/>
        </w:rPr>
        <w:t>评审小组</w:t>
      </w:r>
      <w:r>
        <w:rPr>
          <w:rFonts w:ascii="宋体" w:hAnsi="宋体" w:eastAsia="宋体" w:cs="Times New Roman"/>
          <w:color w:val="auto"/>
          <w:kern w:val="0"/>
          <w:szCs w:val="21"/>
          <w:highlight w:val="none"/>
        </w:rPr>
        <w:t>按本章第2.2款规定的量化因素和分值进行</w:t>
      </w:r>
      <w:r>
        <w:rPr>
          <w:rFonts w:hint="eastAsia" w:ascii="宋体" w:hAnsi="宋体" w:eastAsia="宋体" w:cs="Times New Roman"/>
          <w:color w:val="auto"/>
          <w:kern w:val="0"/>
          <w:szCs w:val="21"/>
          <w:highlight w:val="none"/>
          <w:lang w:eastAsia="zh-CN"/>
        </w:rPr>
        <w:t>评分</w:t>
      </w:r>
      <w:r>
        <w:rPr>
          <w:rFonts w:ascii="宋体" w:hAnsi="宋体" w:eastAsia="宋体" w:cs="Times New Roman"/>
          <w:color w:val="auto"/>
          <w:kern w:val="0"/>
          <w:szCs w:val="21"/>
          <w:highlight w:val="none"/>
        </w:rPr>
        <w:t>，并计算出综合评估得分。</w:t>
      </w:r>
    </w:p>
    <w:p w14:paraId="57EBD32B">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）按本章第3.2.1（</w:t>
      </w: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）目规定的评审因素和分值对技术方案计算出得分</w:t>
      </w:r>
      <w:r>
        <w:rPr>
          <w:rFonts w:hint="eastAsia" w:ascii="宋体" w:hAnsi="宋体" w:eastAsia="宋体" w:cs="Times New Roman"/>
          <w:color w:val="auto"/>
          <w:kern w:val="0"/>
          <w:szCs w:val="21"/>
          <w:highlight w:val="none"/>
        </w:rPr>
        <w:t>A</w:t>
      </w:r>
    </w:p>
    <w:p w14:paraId="61F50F5F">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按本章第3.2.1（</w:t>
      </w:r>
      <w:r>
        <w:rPr>
          <w:rFonts w:hint="eastAsia" w:ascii="宋体" w:hAnsi="宋体" w:eastAsia="宋体" w:cs="Times New Roman"/>
          <w:color w:val="auto"/>
          <w:kern w:val="0"/>
          <w:szCs w:val="21"/>
          <w:highlight w:val="none"/>
          <w:lang w:val="en-US" w:eastAsia="zh-CN"/>
        </w:rPr>
        <w:t>3</w:t>
      </w:r>
      <w:r>
        <w:rPr>
          <w:rFonts w:ascii="宋体" w:hAnsi="宋体" w:eastAsia="宋体" w:cs="Times New Roman"/>
          <w:color w:val="auto"/>
          <w:kern w:val="0"/>
          <w:szCs w:val="21"/>
          <w:highlight w:val="none"/>
        </w:rPr>
        <w:t>）目规定的评审因素和分值对投标总报价计算出得分</w:t>
      </w:r>
      <w:r>
        <w:rPr>
          <w:rFonts w:hint="eastAsia" w:ascii="宋体" w:hAnsi="宋体" w:cs="Times New Roman"/>
          <w:color w:val="auto"/>
          <w:kern w:val="0"/>
          <w:szCs w:val="21"/>
          <w:highlight w:val="none"/>
          <w:lang w:val="en-US" w:eastAsia="zh-CN"/>
        </w:rPr>
        <w:t>B</w:t>
      </w:r>
      <w:r>
        <w:rPr>
          <w:rFonts w:hint="eastAsia" w:ascii="宋体" w:hAnsi="宋体" w:eastAsia="宋体" w:cs="Times New Roman"/>
          <w:color w:val="auto"/>
          <w:kern w:val="0"/>
          <w:szCs w:val="21"/>
          <w:highlight w:val="none"/>
        </w:rPr>
        <w:t>。</w:t>
      </w:r>
    </w:p>
    <w:p w14:paraId="6CBA949A">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3.2.2  各类评分分值的最终计算结果保留小数点后两位，小数点后第三位“四舍五入”。</w:t>
      </w:r>
    </w:p>
    <w:p w14:paraId="41401B93">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 xml:space="preserve">3.2.3  </w:t>
      </w:r>
      <w:r>
        <w:rPr>
          <w:rFonts w:hint="eastAsia" w:ascii="宋体" w:hAnsi="宋体" w:eastAsia="宋体" w:cs="Times New Roman"/>
          <w:color w:val="auto"/>
          <w:kern w:val="0"/>
          <w:szCs w:val="21"/>
          <w:highlight w:val="none"/>
          <w:lang w:eastAsia="zh-CN"/>
        </w:rPr>
        <w:t>竞标人</w:t>
      </w:r>
      <w:r>
        <w:rPr>
          <w:rFonts w:ascii="宋体" w:hAnsi="宋体" w:eastAsia="宋体" w:cs="Times New Roman"/>
          <w:color w:val="auto"/>
          <w:kern w:val="0"/>
          <w:szCs w:val="21"/>
          <w:highlight w:val="none"/>
        </w:rPr>
        <w:t>得分=A+B</w:t>
      </w:r>
      <w:r>
        <w:rPr>
          <w:rFonts w:hint="eastAsia" w:ascii="宋体" w:hAnsi="宋体" w:eastAsia="宋体" w:cs="Times New Roman"/>
          <w:color w:val="auto"/>
          <w:kern w:val="0"/>
          <w:szCs w:val="21"/>
          <w:highlight w:val="none"/>
        </w:rPr>
        <w:t>。</w:t>
      </w:r>
    </w:p>
    <w:p w14:paraId="7FD178BC">
      <w:pPr>
        <w:keepNext/>
        <w:keepLines/>
        <w:widowControl w:val="0"/>
        <w:snapToGrid w:val="0"/>
        <w:spacing w:before="0" w:after="0" w:line="360" w:lineRule="auto"/>
        <w:jc w:val="both"/>
        <w:outlineLvl w:val="2"/>
        <w:rPr>
          <w:rFonts w:ascii="宋体" w:hAnsi="宋体" w:eastAsia="宋体" w:cs="Times New Roman"/>
          <w:b w:val="0"/>
          <w:bCs/>
          <w:snapToGrid w:val="0"/>
          <w:color w:val="auto"/>
          <w:kern w:val="2"/>
          <w:sz w:val="24"/>
          <w:szCs w:val="24"/>
          <w:highlight w:val="none"/>
          <w:lang w:val="en-US" w:eastAsia="zh-CN" w:bidi="ar-SA"/>
        </w:rPr>
      </w:pPr>
      <w:bookmarkStart w:id="439" w:name="_Toc287620758"/>
      <w:bookmarkStart w:id="440" w:name="_Toc23268"/>
      <w:bookmarkStart w:id="441" w:name="_Toc277082625"/>
      <w:bookmarkStart w:id="442" w:name="_Toc287607819"/>
      <w:bookmarkStart w:id="443" w:name="_Toc30938"/>
      <w:bookmarkStart w:id="444" w:name="_Toc430530507"/>
      <w:bookmarkStart w:id="445" w:name="_Toc224103391"/>
      <w:bookmarkStart w:id="446" w:name="_Toc509218783"/>
      <w:bookmarkStart w:id="447" w:name="_Toc29615"/>
      <w:bookmarkStart w:id="448" w:name="_Toc200513205"/>
      <w:r>
        <w:rPr>
          <w:rFonts w:ascii="宋体" w:hAnsi="宋体" w:eastAsia="宋体" w:cs="Times New Roman"/>
          <w:b w:val="0"/>
          <w:bCs/>
          <w:snapToGrid w:val="0"/>
          <w:color w:val="auto"/>
          <w:kern w:val="2"/>
          <w:sz w:val="24"/>
          <w:szCs w:val="24"/>
          <w:highlight w:val="none"/>
          <w:lang w:val="en-US" w:eastAsia="zh-CN" w:bidi="ar-SA"/>
        </w:rPr>
        <w:t xml:space="preserve">3.3  </w:t>
      </w:r>
      <w:r>
        <w:rPr>
          <w:rFonts w:hint="eastAsia" w:ascii="宋体" w:hAnsi="宋体" w:eastAsia="宋体" w:cs="Times New Roman"/>
          <w:b w:val="0"/>
          <w:bCs/>
          <w:snapToGrid w:val="0"/>
          <w:color w:val="auto"/>
          <w:kern w:val="2"/>
          <w:sz w:val="24"/>
          <w:szCs w:val="24"/>
          <w:highlight w:val="none"/>
          <w:lang w:val="en-US" w:eastAsia="zh-CN" w:bidi="ar-SA"/>
        </w:rPr>
        <w:t>竞标文件</w:t>
      </w:r>
      <w:r>
        <w:rPr>
          <w:rFonts w:ascii="宋体" w:hAnsi="宋体" w:eastAsia="宋体" w:cs="Times New Roman"/>
          <w:b w:val="0"/>
          <w:bCs/>
          <w:snapToGrid w:val="0"/>
          <w:color w:val="auto"/>
          <w:kern w:val="2"/>
          <w:sz w:val="24"/>
          <w:szCs w:val="24"/>
          <w:highlight w:val="none"/>
          <w:lang w:val="en-US" w:eastAsia="zh-CN" w:bidi="ar-SA"/>
        </w:rPr>
        <w:t>的澄清和补正</w:t>
      </w:r>
      <w:bookmarkEnd w:id="439"/>
      <w:bookmarkEnd w:id="440"/>
      <w:bookmarkEnd w:id="441"/>
      <w:bookmarkEnd w:id="442"/>
      <w:bookmarkEnd w:id="443"/>
      <w:bookmarkEnd w:id="444"/>
      <w:bookmarkEnd w:id="445"/>
      <w:bookmarkEnd w:id="446"/>
      <w:bookmarkEnd w:id="447"/>
      <w:bookmarkEnd w:id="448"/>
    </w:p>
    <w:p w14:paraId="56BCACD9">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3.3.1  在评标过程中，</w:t>
      </w:r>
      <w:r>
        <w:rPr>
          <w:rFonts w:hint="eastAsia" w:ascii="宋体" w:hAnsi="宋体" w:eastAsia="宋体" w:cs="Times New Roman"/>
          <w:color w:val="auto"/>
          <w:kern w:val="0"/>
          <w:szCs w:val="21"/>
          <w:highlight w:val="none"/>
          <w:lang w:eastAsia="zh-CN"/>
        </w:rPr>
        <w:t>评审小组</w:t>
      </w:r>
      <w:r>
        <w:rPr>
          <w:rFonts w:ascii="宋体" w:hAnsi="宋体" w:eastAsia="宋体" w:cs="Times New Roman"/>
          <w:color w:val="auto"/>
          <w:kern w:val="0"/>
          <w:szCs w:val="21"/>
          <w:highlight w:val="none"/>
        </w:rPr>
        <w:t>可以书面形式要求</w:t>
      </w:r>
      <w:r>
        <w:rPr>
          <w:rFonts w:hint="eastAsia" w:ascii="宋体" w:hAnsi="宋体" w:eastAsia="宋体" w:cs="Times New Roman"/>
          <w:color w:val="auto"/>
          <w:kern w:val="0"/>
          <w:szCs w:val="21"/>
          <w:highlight w:val="none"/>
          <w:lang w:eastAsia="zh-CN"/>
        </w:rPr>
        <w:t>竞标人</w:t>
      </w:r>
      <w:r>
        <w:rPr>
          <w:rFonts w:ascii="宋体" w:hAnsi="宋体" w:eastAsia="宋体" w:cs="Times New Roman"/>
          <w:color w:val="auto"/>
          <w:kern w:val="0"/>
          <w:szCs w:val="21"/>
          <w:highlight w:val="none"/>
        </w:rPr>
        <w:t>对所提交</w:t>
      </w:r>
      <w:r>
        <w:rPr>
          <w:rFonts w:hint="eastAsia" w:ascii="宋体" w:hAnsi="宋体" w:eastAsia="宋体" w:cs="Times New Roman"/>
          <w:color w:val="auto"/>
          <w:kern w:val="0"/>
          <w:szCs w:val="21"/>
          <w:highlight w:val="none"/>
          <w:lang w:eastAsia="zh-CN"/>
        </w:rPr>
        <w:t>竞标文件</w:t>
      </w:r>
      <w:r>
        <w:rPr>
          <w:rFonts w:ascii="宋体" w:hAnsi="宋体" w:eastAsia="宋体" w:cs="Times New Roman"/>
          <w:color w:val="auto"/>
          <w:kern w:val="0"/>
          <w:szCs w:val="21"/>
          <w:highlight w:val="none"/>
        </w:rPr>
        <w:t>中不明确的内容进行书面澄清或说明，或者对细微偏差进行补正。</w:t>
      </w:r>
      <w:r>
        <w:rPr>
          <w:rFonts w:hint="eastAsia" w:ascii="宋体" w:hAnsi="宋体" w:eastAsia="宋体" w:cs="Times New Roman"/>
          <w:color w:val="auto"/>
          <w:kern w:val="0"/>
          <w:szCs w:val="21"/>
          <w:highlight w:val="none"/>
          <w:lang w:eastAsia="zh-CN"/>
        </w:rPr>
        <w:t>评审小组</w:t>
      </w:r>
      <w:r>
        <w:rPr>
          <w:rFonts w:ascii="宋体" w:hAnsi="宋体" w:eastAsia="宋体" w:cs="Times New Roman"/>
          <w:color w:val="auto"/>
          <w:kern w:val="0"/>
          <w:szCs w:val="21"/>
          <w:highlight w:val="none"/>
        </w:rPr>
        <w:t>不接受</w:t>
      </w:r>
      <w:r>
        <w:rPr>
          <w:rFonts w:hint="eastAsia" w:ascii="宋体" w:hAnsi="宋体" w:eastAsia="宋体" w:cs="Times New Roman"/>
          <w:color w:val="auto"/>
          <w:kern w:val="0"/>
          <w:szCs w:val="21"/>
          <w:highlight w:val="none"/>
          <w:lang w:eastAsia="zh-CN"/>
        </w:rPr>
        <w:t>竞标人</w:t>
      </w:r>
      <w:r>
        <w:rPr>
          <w:rFonts w:ascii="宋体" w:hAnsi="宋体" w:eastAsia="宋体" w:cs="Times New Roman"/>
          <w:color w:val="auto"/>
          <w:kern w:val="0"/>
          <w:szCs w:val="21"/>
          <w:highlight w:val="none"/>
        </w:rPr>
        <w:t>主动提出的澄清、说明或补正。</w:t>
      </w:r>
    </w:p>
    <w:p w14:paraId="0E5298E7">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3.3.2  澄清、说明和补正不得改变</w:t>
      </w:r>
      <w:r>
        <w:rPr>
          <w:rFonts w:hint="eastAsia" w:ascii="宋体" w:hAnsi="宋体" w:eastAsia="宋体" w:cs="Times New Roman"/>
          <w:color w:val="auto"/>
          <w:kern w:val="0"/>
          <w:szCs w:val="21"/>
          <w:highlight w:val="none"/>
          <w:lang w:eastAsia="zh-CN"/>
        </w:rPr>
        <w:t>竞标文件</w:t>
      </w:r>
      <w:r>
        <w:rPr>
          <w:rFonts w:ascii="宋体" w:hAnsi="宋体" w:eastAsia="宋体" w:cs="Times New Roman"/>
          <w:color w:val="auto"/>
          <w:kern w:val="0"/>
          <w:szCs w:val="21"/>
          <w:highlight w:val="none"/>
        </w:rPr>
        <w:t>的实质性内容（算术性错误修正的除外）。</w:t>
      </w:r>
      <w:r>
        <w:rPr>
          <w:rFonts w:hint="eastAsia" w:ascii="宋体" w:hAnsi="宋体" w:eastAsia="宋体" w:cs="Times New Roman"/>
          <w:color w:val="auto"/>
          <w:kern w:val="0"/>
          <w:szCs w:val="21"/>
          <w:highlight w:val="none"/>
          <w:lang w:eastAsia="zh-CN"/>
        </w:rPr>
        <w:t>竞标人</w:t>
      </w:r>
      <w:r>
        <w:rPr>
          <w:rFonts w:ascii="宋体" w:hAnsi="宋体" w:eastAsia="宋体" w:cs="Times New Roman"/>
          <w:color w:val="auto"/>
          <w:kern w:val="0"/>
          <w:szCs w:val="21"/>
          <w:highlight w:val="none"/>
        </w:rPr>
        <w:t>的书面澄清、说明和补正属于</w:t>
      </w:r>
      <w:r>
        <w:rPr>
          <w:rFonts w:hint="eastAsia" w:ascii="宋体" w:hAnsi="宋体" w:eastAsia="宋体" w:cs="Times New Roman"/>
          <w:color w:val="auto"/>
          <w:kern w:val="0"/>
          <w:szCs w:val="21"/>
          <w:highlight w:val="none"/>
          <w:lang w:eastAsia="zh-CN"/>
        </w:rPr>
        <w:t>竞标文件</w:t>
      </w:r>
      <w:r>
        <w:rPr>
          <w:rFonts w:ascii="宋体" w:hAnsi="宋体" w:eastAsia="宋体" w:cs="Times New Roman"/>
          <w:color w:val="auto"/>
          <w:kern w:val="0"/>
          <w:szCs w:val="21"/>
          <w:highlight w:val="none"/>
        </w:rPr>
        <w:t>的组成部分。</w:t>
      </w:r>
    </w:p>
    <w:p w14:paraId="3409C88A">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 xml:space="preserve">3.3.3  </w:t>
      </w:r>
      <w:r>
        <w:rPr>
          <w:rFonts w:hint="eastAsia" w:ascii="宋体" w:hAnsi="宋体" w:eastAsia="宋体" w:cs="Times New Roman"/>
          <w:color w:val="auto"/>
          <w:kern w:val="0"/>
          <w:szCs w:val="21"/>
          <w:highlight w:val="none"/>
          <w:lang w:eastAsia="zh-CN"/>
        </w:rPr>
        <w:t>评审小组</w:t>
      </w:r>
      <w:r>
        <w:rPr>
          <w:rFonts w:ascii="宋体" w:hAnsi="宋体" w:eastAsia="宋体" w:cs="Times New Roman"/>
          <w:color w:val="auto"/>
          <w:kern w:val="0"/>
          <w:szCs w:val="21"/>
          <w:highlight w:val="none"/>
        </w:rPr>
        <w:t>对</w:t>
      </w:r>
      <w:r>
        <w:rPr>
          <w:rFonts w:hint="eastAsia" w:ascii="宋体" w:hAnsi="宋体" w:eastAsia="宋体" w:cs="Times New Roman"/>
          <w:color w:val="auto"/>
          <w:kern w:val="0"/>
          <w:szCs w:val="21"/>
          <w:highlight w:val="none"/>
          <w:lang w:eastAsia="zh-CN"/>
        </w:rPr>
        <w:t>竞标人</w:t>
      </w:r>
      <w:r>
        <w:rPr>
          <w:rFonts w:ascii="宋体" w:hAnsi="宋体" w:eastAsia="宋体" w:cs="Times New Roman"/>
          <w:color w:val="auto"/>
          <w:kern w:val="0"/>
          <w:szCs w:val="21"/>
          <w:highlight w:val="none"/>
        </w:rPr>
        <w:t>提交的澄清、说明或补正有疑问的，可以要求</w:t>
      </w:r>
      <w:r>
        <w:rPr>
          <w:rFonts w:hint="eastAsia" w:ascii="宋体" w:hAnsi="宋体" w:eastAsia="宋体" w:cs="Times New Roman"/>
          <w:color w:val="auto"/>
          <w:kern w:val="0"/>
          <w:szCs w:val="21"/>
          <w:highlight w:val="none"/>
          <w:lang w:eastAsia="zh-CN"/>
        </w:rPr>
        <w:t>竞标人</w:t>
      </w:r>
      <w:r>
        <w:rPr>
          <w:rFonts w:ascii="宋体" w:hAnsi="宋体" w:eastAsia="宋体" w:cs="Times New Roman"/>
          <w:color w:val="auto"/>
          <w:kern w:val="0"/>
          <w:szCs w:val="21"/>
          <w:highlight w:val="none"/>
        </w:rPr>
        <w:t>进一步澄清、说明或补正，直至满足</w:t>
      </w:r>
      <w:r>
        <w:rPr>
          <w:rFonts w:hint="eastAsia" w:ascii="宋体" w:hAnsi="宋体" w:eastAsia="宋体" w:cs="Times New Roman"/>
          <w:color w:val="auto"/>
          <w:kern w:val="0"/>
          <w:szCs w:val="21"/>
          <w:highlight w:val="none"/>
          <w:lang w:eastAsia="zh-CN"/>
        </w:rPr>
        <w:t>评审小组</w:t>
      </w:r>
      <w:r>
        <w:rPr>
          <w:rFonts w:ascii="宋体" w:hAnsi="宋体" w:eastAsia="宋体" w:cs="Times New Roman"/>
          <w:color w:val="auto"/>
          <w:kern w:val="0"/>
          <w:szCs w:val="21"/>
          <w:highlight w:val="none"/>
        </w:rPr>
        <w:t>的要求。</w:t>
      </w:r>
    </w:p>
    <w:p w14:paraId="55AB766B">
      <w:pPr>
        <w:keepNext/>
        <w:keepLines/>
        <w:widowControl w:val="0"/>
        <w:snapToGrid w:val="0"/>
        <w:spacing w:before="0" w:after="0" w:line="360" w:lineRule="auto"/>
        <w:jc w:val="both"/>
        <w:outlineLvl w:val="2"/>
        <w:rPr>
          <w:rFonts w:ascii="宋体" w:hAnsi="宋体" w:eastAsia="宋体" w:cs="Times New Roman"/>
          <w:b w:val="0"/>
          <w:bCs/>
          <w:snapToGrid w:val="0"/>
          <w:color w:val="auto"/>
          <w:kern w:val="2"/>
          <w:sz w:val="24"/>
          <w:szCs w:val="24"/>
          <w:highlight w:val="none"/>
          <w:lang w:val="en-US" w:eastAsia="zh-CN" w:bidi="ar-SA"/>
        </w:rPr>
      </w:pPr>
      <w:bookmarkStart w:id="449" w:name="_Toc509218784"/>
      <w:bookmarkStart w:id="450" w:name="_Toc200513206"/>
      <w:bookmarkStart w:id="451" w:name="_Toc277082626"/>
      <w:bookmarkStart w:id="452" w:name="_Toc17868"/>
      <w:bookmarkStart w:id="453" w:name="_Toc287620759"/>
      <w:bookmarkStart w:id="454" w:name="_Toc22832"/>
      <w:bookmarkStart w:id="455" w:name="_Toc287607820"/>
      <w:bookmarkStart w:id="456" w:name="_Toc224103392"/>
      <w:bookmarkStart w:id="457" w:name="_Toc21649"/>
      <w:bookmarkStart w:id="458" w:name="_Toc430530508"/>
      <w:r>
        <w:rPr>
          <w:rFonts w:ascii="宋体" w:hAnsi="宋体" w:eastAsia="宋体" w:cs="Times New Roman"/>
          <w:b w:val="0"/>
          <w:bCs/>
          <w:snapToGrid w:val="0"/>
          <w:color w:val="auto"/>
          <w:kern w:val="2"/>
          <w:sz w:val="24"/>
          <w:szCs w:val="24"/>
          <w:highlight w:val="none"/>
          <w:lang w:val="en-US" w:eastAsia="zh-CN" w:bidi="ar-SA"/>
        </w:rPr>
        <w:t>3.4  评标结果</w:t>
      </w:r>
      <w:bookmarkEnd w:id="449"/>
      <w:bookmarkEnd w:id="450"/>
      <w:bookmarkEnd w:id="451"/>
      <w:bookmarkEnd w:id="452"/>
      <w:bookmarkEnd w:id="453"/>
      <w:bookmarkEnd w:id="454"/>
      <w:bookmarkEnd w:id="455"/>
      <w:bookmarkEnd w:id="456"/>
      <w:bookmarkEnd w:id="457"/>
      <w:bookmarkEnd w:id="458"/>
    </w:p>
    <w:p w14:paraId="61564AAC">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3.</w:t>
      </w:r>
      <w:r>
        <w:rPr>
          <w:rFonts w:ascii="宋体" w:hAnsi="宋体" w:eastAsia="宋体" w:cs="Times New Roman"/>
          <w:color w:val="auto"/>
          <w:spacing w:val="-1"/>
          <w:kern w:val="0"/>
          <w:szCs w:val="21"/>
          <w:highlight w:val="none"/>
        </w:rPr>
        <w:t>4</w:t>
      </w:r>
      <w:r>
        <w:rPr>
          <w:rFonts w:ascii="宋体" w:hAnsi="宋体" w:eastAsia="宋体" w:cs="Times New Roman"/>
          <w:color w:val="auto"/>
          <w:kern w:val="0"/>
          <w:szCs w:val="21"/>
          <w:highlight w:val="none"/>
        </w:rPr>
        <w:t xml:space="preserve">.1 </w:t>
      </w:r>
      <w:r>
        <w:rPr>
          <w:rFonts w:ascii="宋体" w:hAnsi="宋体" w:eastAsia="宋体" w:cs="Times New Roman"/>
          <w:color w:val="auto"/>
          <w:spacing w:val="1"/>
          <w:kern w:val="0"/>
          <w:szCs w:val="21"/>
          <w:highlight w:val="none"/>
        </w:rPr>
        <w:t xml:space="preserve"> </w:t>
      </w:r>
      <w:r>
        <w:rPr>
          <w:rFonts w:ascii="宋体" w:hAnsi="宋体" w:eastAsia="宋体" w:cs="Times New Roman"/>
          <w:color w:val="auto"/>
          <w:kern w:val="0"/>
          <w:szCs w:val="21"/>
          <w:highlight w:val="none"/>
        </w:rPr>
        <w:t>除第二章“</w:t>
      </w:r>
      <w:r>
        <w:rPr>
          <w:rFonts w:hint="eastAsia" w:ascii="宋体" w:hAnsi="宋体" w:eastAsia="宋体" w:cs="Times New Roman"/>
          <w:color w:val="auto"/>
          <w:kern w:val="0"/>
          <w:szCs w:val="21"/>
          <w:highlight w:val="none"/>
          <w:lang w:eastAsia="zh-CN"/>
        </w:rPr>
        <w:t>竞标人</w:t>
      </w:r>
      <w:r>
        <w:rPr>
          <w:rFonts w:ascii="宋体" w:hAnsi="宋体" w:eastAsia="宋体" w:cs="Times New Roman"/>
          <w:color w:val="auto"/>
          <w:kern w:val="0"/>
          <w:szCs w:val="21"/>
          <w:highlight w:val="none"/>
        </w:rPr>
        <w:t>须知”前</w:t>
      </w:r>
      <w:r>
        <w:rPr>
          <w:rFonts w:ascii="宋体" w:hAnsi="宋体" w:eastAsia="宋体" w:cs="Times New Roman"/>
          <w:color w:val="auto"/>
          <w:spacing w:val="1"/>
          <w:kern w:val="0"/>
          <w:szCs w:val="21"/>
          <w:highlight w:val="none"/>
        </w:rPr>
        <w:t>附</w:t>
      </w:r>
      <w:r>
        <w:rPr>
          <w:rFonts w:ascii="宋体" w:hAnsi="宋体" w:eastAsia="宋体" w:cs="Times New Roman"/>
          <w:color w:val="auto"/>
          <w:kern w:val="0"/>
          <w:szCs w:val="21"/>
          <w:highlight w:val="none"/>
        </w:rPr>
        <w:t>表授权直</w:t>
      </w:r>
      <w:r>
        <w:rPr>
          <w:rFonts w:ascii="宋体" w:hAnsi="宋体" w:eastAsia="宋体" w:cs="Times New Roman"/>
          <w:color w:val="auto"/>
          <w:spacing w:val="1"/>
          <w:kern w:val="0"/>
          <w:szCs w:val="21"/>
          <w:highlight w:val="none"/>
        </w:rPr>
        <w:t>接</w:t>
      </w:r>
      <w:r>
        <w:rPr>
          <w:rFonts w:ascii="宋体" w:hAnsi="宋体" w:eastAsia="宋体" w:cs="Times New Roman"/>
          <w:color w:val="auto"/>
          <w:kern w:val="0"/>
          <w:szCs w:val="21"/>
          <w:highlight w:val="none"/>
        </w:rPr>
        <w:t>确定中标</w:t>
      </w:r>
      <w:r>
        <w:rPr>
          <w:rFonts w:ascii="宋体" w:hAnsi="宋体" w:eastAsia="宋体" w:cs="Times New Roman"/>
          <w:color w:val="auto"/>
          <w:spacing w:val="1"/>
          <w:kern w:val="0"/>
          <w:szCs w:val="21"/>
          <w:highlight w:val="none"/>
        </w:rPr>
        <w:t>人</w:t>
      </w:r>
      <w:r>
        <w:rPr>
          <w:rFonts w:ascii="宋体" w:hAnsi="宋体" w:eastAsia="宋体" w:cs="Times New Roman"/>
          <w:color w:val="auto"/>
          <w:kern w:val="0"/>
          <w:szCs w:val="21"/>
          <w:highlight w:val="none"/>
        </w:rPr>
        <w:t>外，</w:t>
      </w:r>
      <w:r>
        <w:rPr>
          <w:rFonts w:hint="eastAsia" w:ascii="宋体" w:hAnsi="宋体" w:eastAsia="宋体" w:cs="Times New Roman"/>
          <w:color w:val="auto"/>
          <w:kern w:val="0"/>
          <w:szCs w:val="21"/>
          <w:highlight w:val="none"/>
          <w:lang w:eastAsia="zh-CN"/>
        </w:rPr>
        <w:t>评审小组</w:t>
      </w:r>
      <w:r>
        <w:rPr>
          <w:rFonts w:ascii="宋体" w:hAnsi="宋体" w:eastAsia="宋体" w:cs="Times New Roman"/>
          <w:color w:val="auto"/>
          <w:kern w:val="0"/>
          <w:szCs w:val="21"/>
          <w:highlight w:val="none"/>
        </w:rPr>
        <w:t>按照</w:t>
      </w:r>
      <w:r>
        <w:rPr>
          <w:rFonts w:ascii="宋体" w:hAnsi="宋体" w:eastAsia="宋体" w:cs="Times New Roman"/>
          <w:color w:val="auto"/>
          <w:spacing w:val="1"/>
          <w:kern w:val="0"/>
          <w:szCs w:val="21"/>
          <w:highlight w:val="none"/>
        </w:rPr>
        <w:t>得分</w:t>
      </w:r>
      <w:r>
        <w:rPr>
          <w:rFonts w:ascii="宋体" w:hAnsi="宋体" w:eastAsia="宋体" w:cs="Times New Roman"/>
          <w:color w:val="auto"/>
          <w:kern w:val="0"/>
          <w:szCs w:val="21"/>
          <w:highlight w:val="none"/>
        </w:rPr>
        <w:t>由高到低的顺序推荐中标候选人。</w:t>
      </w:r>
    </w:p>
    <w:p w14:paraId="3B3FFDB0">
      <w:pPr>
        <w:autoSpaceDE w:val="0"/>
        <w:autoSpaceDN w:val="0"/>
        <w:adjustRightInd w:val="0"/>
        <w:snapToGrid w:val="0"/>
        <w:spacing w:line="360" w:lineRule="auto"/>
        <w:ind w:firstLine="424" w:firstLineChars="200"/>
        <w:rPr>
          <w:rFonts w:ascii="宋体" w:hAnsi="宋体" w:eastAsia="宋体" w:cs="Times New Roman"/>
          <w:color w:val="auto"/>
          <w:kern w:val="0"/>
          <w:szCs w:val="21"/>
          <w:highlight w:val="none"/>
        </w:rPr>
      </w:pPr>
      <w:r>
        <w:rPr>
          <w:rFonts w:ascii="宋体" w:hAnsi="宋体" w:eastAsia="宋体" w:cs="Times New Roman"/>
          <w:color w:val="auto"/>
          <w:spacing w:val="1"/>
          <w:kern w:val="0"/>
          <w:szCs w:val="21"/>
          <w:highlight w:val="none"/>
        </w:rPr>
        <w:t>3</w:t>
      </w:r>
      <w:r>
        <w:rPr>
          <w:rFonts w:ascii="宋体" w:hAnsi="宋体" w:eastAsia="宋体" w:cs="Times New Roman"/>
          <w:color w:val="auto"/>
          <w:kern w:val="0"/>
          <w:szCs w:val="21"/>
          <w:highlight w:val="none"/>
        </w:rPr>
        <w:t xml:space="preserve">.4.2  </w:t>
      </w:r>
      <w:r>
        <w:rPr>
          <w:rFonts w:hint="eastAsia" w:ascii="宋体" w:hAnsi="宋体" w:eastAsia="宋体" w:cs="Times New Roman"/>
          <w:color w:val="auto"/>
          <w:kern w:val="0"/>
          <w:szCs w:val="21"/>
          <w:highlight w:val="none"/>
          <w:lang w:eastAsia="zh-CN"/>
        </w:rPr>
        <w:t>评审小组</w:t>
      </w:r>
      <w:r>
        <w:rPr>
          <w:rFonts w:ascii="宋体" w:hAnsi="宋体" w:eastAsia="宋体" w:cs="Times New Roman"/>
          <w:color w:val="auto"/>
          <w:kern w:val="0"/>
          <w:szCs w:val="21"/>
          <w:highlight w:val="none"/>
        </w:rPr>
        <w:t>完成评标后，应当向</w:t>
      </w:r>
      <w:r>
        <w:rPr>
          <w:rFonts w:hint="eastAsia" w:ascii="宋体" w:hAnsi="宋体" w:eastAsia="宋体" w:cs="Times New Roman"/>
          <w:color w:val="auto"/>
          <w:kern w:val="0"/>
          <w:szCs w:val="21"/>
          <w:highlight w:val="none"/>
          <w:lang w:eastAsia="zh-CN"/>
        </w:rPr>
        <w:t>比选人</w:t>
      </w:r>
      <w:r>
        <w:rPr>
          <w:rFonts w:ascii="宋体" w:hAnsi="宋体" w:eastAsia="宋体" w:cs="Times New Roman"/>
          <w:color w:val="auto"/>
          <w:kern w:val="0"/>
          <w:szCs w:val="21"/>
          <w:highlight w:val="none"/>
        </w:rPr>
        <w:t>提交书面评标报告。</w:t>
      </w:r>
    </w:p>
    <w:p w14:paraId="6DDBD5CB">
      <w:pPr>
        <w:spacing w:line="360" w:lineRule="auto"/>
        <w:rPr>
          <w:rFonts w:hint="eastAsia" w:ascii="宋体" w:hAnsi="宋体" w:eastAsia="宋体" w:cs="Times New Roman"/>
          <w:b/>
          <w:color w:val="auto"/>
          <w:szCs w:val="20"/>
          <w:highlight w:val="none"/>
        </w:rPr>
      </w:pPr>
    </w:p>
    <w:p w14:paraId="0637311B">
      <w:pPr>
        <w:rPr>
          <w:rFonts w:ascii="宋体" w:hAnsi="宋体" w:eastAsia="宋体" w:cs="Times New Roman"/>
          <w:b/>
          <w:color w:val="auto"/>
          <w:kern w:val="0"/>
          <w:sz w:val="28"/>
          <w:szCs w:val="28"/>
          <w:highlight w:val="none"/>
          <w:u w:val="none"/>
          <w:lang w:val="en-US" w:eastAsia="zh-CN" w:bidi="ar-SA"/>
        </w:rPr>
      </w:pPr>
      <w:bookmarkStart w:id="459" w:name="招标文件03章02评标办法综合评估法02附件02"/>
      <w:bookmarkEnd w:id="459"/>
      <w:bookmarkStart w:id="460" w:name="招标文件04章合同条款及格式"/>
      <w:bookmarkEnd w:id="460"/>
      <w:bookmarkStart w:id="461" w:name="_Toc230410480"/>
      <w:bookmarkStart w:id="462" w:name="_Toc277082627"/>
      <w:r>
        <w:rPr>
          <w:rFonts w:ascii="宋体" w:hAnsi="宋体" w:eastAsia="宋体" w:cs="Times New Roman"/>
          <w:b/>
          <w:color w:val="auto"/>
          <w:kern w:val="0"/>
          <w:sz w:val="28"/>
          <w:szCs w:val="28"/>
          <w:highlight w:val="none"/>
          <w:u w:val="none"/>
          <w:lang w:val="en-US" w:eastAsia="zh-CN" w:bidi="ar-SA"/>
        </w:rPr>
        <w:br w:type="page"/>
      </w:r>
    </w:p>
    <w:p w14:paraId="544C82ED">
      <w:pPr>
        <w:widowControl/>
        <w:spacing w:line="360" w:lineRule="auto"/>
        <w:ind w:firstLine="420" w:firstLineChars="0"/>
        <w:jc w:val="center"/>
        <w:rPr>
          <w:rFonts w:ascii="宋体" w:hAnsi="宋体" w:eastAsia="宋体" w:cs="Times New Roman"/>
          <w:b/>
          <w:color w:val="auto"/>
          <w:kern w:val="0"/>
          <w:sz w:val="28"/>
          <w:szCs w:val="28"/>
          <w:highlight w:val="none"/>
          <w:u w:val="none"/>
          <w:lang w:val="en-US" w:eastAsia="zh-CN" w:bidi="ar-SA"/>
        </w:rPr>
      </w:pPr>
      <w:r>
        <w:rPr>
          <w:rFonts w:ascii="宋体" w:hAnsi="宋体" w:eastAsia="宋体" w:cs="Times New Roman"/>
          <w:b/>
          <w:color w:val="auto"/>
          <w:kern w:val="0"/>
          <w:sz w:val="28"/>
          <w:szCs w:val="28"/>
          <w:highlight w:val="none"/>
          <w:u w:val="none"/>
          <w:lang w:val="en-US" w:eastAsia="zh-CN" w:bidi="ar-SA"/>
        </w:rPr>
        <w:t>附件A：综合评估法否决投标情况一览表</w:t>
      </w:r>
      <w:bookmarkEnd w:id="461"/>
    </w:p>
    <w:bookmarkEnd w:id="462"/>
    <w:p w14:paraId="00BF4D05">
      <w:pPr>
        <w:widowControl/>
        <w:spacing w:line="360" w:lineRule="auto"/>
        <w:ind w:firstLine="420" w:firstLineChars="200"/>
        <w:jc w:val="both"/>
        <w:rPr>
          <w:rFonts w:ascii="宋体" w:hAnsi="宋体" w:eastAsia="宋体" w:cs="Times New Roman"/>
          <w:color w:val="auto"/>
          <w:kern w:val="0"/>
          <w:sz w:val="21"/>
          <w:szCs w:val="21"/>
          <w:highlight w:val="none"/>
          <w:u w:val="none"/>
          <w:lang w:val="en-US" w:eastAsia="zh-CN" w:bidi="ar-SA"/>
        </w:rPr>
      </w:pPr>
      <w:r>
        <w:rPr>
          <w:rFonts w:hint="eastAsia" w:ascii="宋体" w:hAnsi="宋体" w:eastAsia="宋体" w:cs="Times New Roman"/>
          <w:color w:val="auto"/>
          <w:kern w:val="0"/>
          <w:sz w:val="21"/>
          <w:szCs w:val="21"/>
          <w:highlight w:val="none"/>
          <w:u w:val="none"/>
          <w:lang w:val="en-US" w:eastAsia="zh-CN" w:bidi="ar-SA"/>
        </w:rPr>
        <w:t>竞标文件存在本一览表下列情形之一的，竞标文件视为重大偏差并作否决投标处理，否则，评审小组不得视为重大偏差而否决竞标人的竞标文件</w:t>
      </w:r>
      <w:r>
        <w:rPr>
          <w:rFonts w:ascii="宋体" w:hAnsi="宋体" w:eastAsia="宋体" w:cs="Times New Roman"/>
          <w:color w:val="auto"/>
          <w:kern w:val="0"/>
          <w:sz w:val="21"/>
          <w:szCs w:val="21"/>
          <w:highlight w:val="none"/>
          <w:u w:val="none"/>
          <w:lang w:val="en-US" w:eastAsia="zh-CN" w:bidi="ar-SA"/>
        </w:rPr>
        <w:t>。</w:t>
      </w:r>
    </w:p>
    <w:tbl>
      <w:tblPr>
        <w:tblStyle w:val="46"/>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3408AC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noWrap w:val="0"/>
            <w:vAlign w:val="center"/>
          </w:tcPr>
          <w:p w14:paraId="75F16E6D">
            <w:pPr>
              <w:spacing w:line="400" w:lineRule="exact"/>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章节号</w:t>
            </w:r>
          </w:p>
        </w:tc>
        <w:tc>
          <w:tcPr>
            <w:tcW w:w="1899" w:type="dxa"/>
            <w:noWrap w:val="0"/>
            <w:vAlign w:val="center"/>
          </w:tcPr>
          <w:p w14:paraId="584B7C78">
            <w:pPr>
              <w:spacing w:line="400" w:lineRule="exact"/>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条款名称</w:t>
            </w:r>
          </w:p>
        </w:tc>
        <w:tc>
          <w:tcPr>
            <w:tcW w:w="6333" w:type="dxa"/>
            <w:noWrap w:val="0"/>
            <w:vAlign w:val="center"/>
          </w:tcPr>
          <w:p w14:paraId="16809CE1">
            <w:pPr>
              <w:spacing w:line="400" w:lineRule="exact"/>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否决投标条件</w:t>
            </w:r>
          </w:p>
        </w:tc>
      </w:tr>
      <w:tr w14:paraId="736FD7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69" w:hRule="atLeast"/>
          <w:tblHeader/>
          <w:jc w:val="center"/>
        </w:trPr>
        <w:tc>
          <w:tcPr>
            <w:tcW w:w="1237" w:type="dxa"/>
            <w:vMerge w:val="restart"/>
            <w:noWrap w:val="0"/>
            <w:vAlign w:val="center"/>
          </w:tcPr>
          <w:p w14:paraId="65C0A1B4">
            <w:pPr>
              <w:spacing w:line="400" w:lineRule="exact"/>
              <w:jc w:val="center"/>
              <w:rPr>
                <w:rFonts w:ascii="宋体" w:hAnsi="宋体" w:eastAsia="宋体" w:cs="Times New Roman"/>
                <w:color w:val="auto"/>
                <w:szCs w:val="21"/>
                <w:highlight w:val="none"/>
              </w:rPr>
            </w:pPr>
          </w:p>
        </w:tc>
        <w:tc>
          <w:tcPr>
            <w:tcW w:w="1899" w:type="dxa"/>
            <w:vMerge w:val="restart"/>
            <w:noWrap w:val="0"/>
            <w:vAlign w:val="center"/>
          </w:tcPr>
          <w:p w14:paraId="4B0C569C">
            <w:pPr>
              <w:spacing w:line="40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资格评审</w:t>
            </w:r>
          </w:p>
        </w:tc>
        <w:tc>
          <w:tcPr>
            <w:tcW w:w="6333" w:type="dxa"/>
            <w:noWrap w:val="0"/>
            <w:vAlign w:val="center"/>
          </w:tcPr>
          <w:p w14:paraId="3ACC1FB1">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A-1</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的营业执照须满足</w:t>
            </w:r>
            <w:r>
              <w:rPr>
                <w:rFonts w:hint="eastAsia" w:ascii="宋体" w:hAnsi="宋体" w:eastAsia="宋体" w:cs="Times New Roman"/>
                <w:color w:val="auto"/>
                <w:szCs w:val="21"/>
                <w:highlight w:val="none"/>
                <w:lang w:eastAsia="zh-CN"/>
              </w:rPr>
              <w:t>竞标</w:t>
            </w:r>
            <w:r>
              <w:rPr>
                <w:rFonts w:hint="eastAsia" w:ascii="宋体" w:hAnsi="宋体" w:eastAsia="宋体" w:cs="Times New Roman"/>
                <w:color w:val="auto"/>
                <w:szCs w:val="21"/>
                <w:highlight w:val="none"/>
              </w:rPr>
              <w:t>人须知前附表1.4.1项的要求，否则由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w:t>
            </w:r>
          </w:p>
        </w:tc>
      </w:tr>
      <w:tr w14:paraId="5621B7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noWrap w:val="0"/>
            <w:vAlign w:val="center"/>
          </w:tcPr>
          <w:p w14:paraId="463209C0">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2F562F0B">
            <w:pPr>
              <w:spacing w:line="400" w:lineRule="exact"/>
              <w:jc w:val="center"/>
              <w:rPr>
                <w:rFonts w:ascii="宋体" w:hAnsi="宋体" w:eastAsia="宋体" w:cs="Times New Roman"/>
                <w:color w:val="auto"/>
                <w:szCs w:val="21"/>
                <w:highlight w:val="none"/>
              </w:rPr>
            </w:pPr>
          </w:p>
        </w:tc>
        <w:tc>
          <w:tcPr>
            <w:tcW w:w="6333" w:type="dxa"/>
            <w:noWrap w:val="0"/>
            <w:vAlign w:val="center"/>
          </w:tcPr>
          <w:p w14:paraId="195DCED0">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的投标截止日投标资格情况须满足</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须知前附表第1.4.1项的要求，否则由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w:t>
            </w:r>
          </w:p>
        </w:tc>
      </w:tr>
      <w:tr w14:paraId="2BBABA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tblHeader/>
          <w:jc w:val="center"/>
        </w:trPr>
        <w:tc>
          <w:tcPr>
            <w:tcW w:w="1237" w:type="dxa"/>
            <w:vMerge w:val="continue"/>
            <w:noWrap w:val="0"/>
            <w:vAlign w:val="center"/>
          </w:tcPr>
          <w:p w14:paraId="1C88273D">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46A07B4A">
            <w:pPr>
              <w:spacing w:line="400" w:lineRule="exact"/>
              <w:jc w:val="center"/>
              <w:rPr>
                <w:rFonts w:ascii="宋体" w:hAnsi="宋体" w:eastAsia="宋体" w:cs="Times New Roman"/>
                <w:color w:val="auto"/>
                <w:szCs w:val="21"/>
                <w:highlight w:val="none"/>
              </w:rPr>
            </w:pPr>
          </w:p>
        </w:tc>
        <w:tc>
          <w:tcPr>
            <w:tcW w:w="6333" w:type="dxa"/>
            <w:noWrap w:val="0"/>
            <w:vAlign w:val="center"/>
          </w:tcPr>
          <w:p w14:paraId="15BB8323">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的其他要求须满足</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须知前附表第1.4.1项的要求，否则由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w:t>
            </w:r>
          </w:p>
        </w:tc>
      </w:tr>
      <w:tr w14:paraId="1A3715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05DD2928">
            <w:pPr>
              <w:spacing w:line="400" w:lineRule="exact"/>
              <w:jc w:val="center"/>
              <w:rPr>
                <w:rFonts w:ascii="宋体" w:hAnsi="宋体" w:eastAsia="宋体" w:cs="Times New Roman"/>
                <w:color w:val="auto"/>
                <w:szCs w:val="21"/>
                <w:highlight w:val="none"/>
              </w:rPr>
            </w:pPr>
          </w:p>
        </w:tc>
        <w:tc>
          <w:tcPr>
            <w:tcW w:w="1899" w:type="dxa"/>
            <w:vMerge w:val="restart"/>
            <w:noWrap w:val="0"/>
            <w:vAlign w:val="center"/>
          </w:tcPr>
          <w:p w14:paraId="3E3D438F">
            <w:pPr>
              <w:spacing w:line="40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形式评审</w:t>
            </w:r>
          </w:p>
        </w:tc>
        <w:tc>
          <w:tcPr>
            <w:tcW w:w="6333" w:type="dxa"/>
            <w:noWrap w:val="0"/>
            <w:vAlign w:val="top"/>
          </w:tcPr>
          <w:p w14:paraId="33071F53">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w:t>
            </w: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名称必须与营业执照一致，依法变更名称的应提交相应证明材料，</w:t>
            </w:r>
            <w:r>
              <w:rPr>
                <w:rFonts w:ascii="宋体" w:hAnsi="宋体" w:eastAsia="宋体" w:cs="Times New Roman"/>
                <w:color w:val="auto"/>
                <w:szCs w:val="21"/>
                <w:highlight w:val="none"/>
              </w:rPr>
              <w:t>否则</w:t>
            </w:r>
            <w:r>
              <w:rPr>
                <w:rFonts w:hint="eastAsia" w:ascii="宋体" w:hAnsi="宋体" w:eastAsia="宋体" w:cs="Times New Roman"/>
                <w:color w:val="auto"/>
                <w:szCs w:val="21"/>
                <w:highlight w:val="none"/>
              </w:rPr>
              <w:t>由</w:t>
            </w:r>
            <w:r>
              <w:rPr>
                <w:rFonts w:hint="eastAsia" w:ascii="宋体" w:hAnsi="宋体" w:eastAsia="宋体" w:cs="Times New Roman"/>
                <w:color w:val="auto"/>
                <w:szCs w:val="21"/>
                <w:highlight w:val="none"/>
                <w:lang w:eastAsia="zh-CN"/>
              </w:rPr>
              <w:t>评审小组</w:t>
            </w:r>
            <w:r>
              <w:rPr>
                <w:rFonts w:ascii="宋体" w:hAnsi="宋体" w:eastAsia="宋体" w:cs="Times New Roman"/>
                <w:color w:val="auto"/>
                <w:szCs w:val="21"/>
                <w:highlight w:val="none"/>
              </w:rPr>
              <w:t>作否决投标处理。</w:t>
            </w:r>
          </w:p>
        </w:tc>
      </w:tr>
      <w:tr w14:paraId="7C1DFEC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0BBBCB92">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3E95EFDD">
            <w:pPr>
              <w:spacing w:line="400" w:lineRule="exact"/>
              <w:jc w:val="center"/>
              <w:rPr>
                <w:rFonts w:ascii="宋体" w:hAnsi="宋体" w:eastAsia="宋体" w:cs="Times New Roman"/>
                <w:color w:val="auto"/>
                <w:szCs w:val="21"/>
                <w:highlight w:val="none"/>
              </w:rPr>
            </w:pPr>
          </w:p>
        </w:tc>
        <w:tc>
          <w:tcPr>
            <w:tcW w:w="6333" w:type="dxa"/>
            <w:noWrap w:val="0"/>
            <w:vAlign w:val="top"/>
          </w:tcPr>
          <w:p w14:paraId="67CA6D83">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w:t>
            </w: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lang w:eastAsia="zh-CN"/>
              </w:rPr>
              <w:t>竞标函</w:t>
            </w:r>
            <w:r>
              <w:rPr>
                <w:rFonts w:hint="eastAsia" w:ascii="宋体" w:hAnsi="宋体" w:eastAsia="宋体" w:cs="Times New Roman"/>
                <w:color w:val="auto"/>
                <w:szCs w:val="21"/>
                <w:highlight w:val="none"/>
              </w:rPr>
              <w:t>格式规定签名、盖章的位置有法定代表人或其委托代理人签名（或盖章）、加盖单位法人章，否则由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w:t>
            </w:r>
          </w:p>
        </w:tc>
      </w:tr>
      <w:tr w14:paraId="01FDE85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52B57DBC">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7A571F09">
            <w:pPr>
              <w:spacing w:line="400" w:lineRule="exact"/>
              <w:jc w:val="center"/>
              <w:rPr>
                <w:rFonts w:ascii="宋体" w:hAnsi="宋体" w:eastAsia="宋体" w:cs="Times New Roman"/>
                <w:color w:val="auto"/>
                <w:szCs w:val="21"/>
                <w:highlight w:val="none"/>
              </w:rPr>
            </w:pPr>
          </w:p>
        </w:tc>
        <w:tc>
          <w:tcPr>
            <w:tcW w:w="6333" w:type="dxa"/>
            <w:noWrap w:val="0"/>
            <w:vAlign w:val="top"/>
          </w:tcPr>
          <w:p w14:paraId="66DF1168">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w:t>
            </w: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eastAsia="zh-CN"/>
              </w:rPr>
              <w:t>竞标文件</w:t>
            </w:r>
            <w:r>
              <w:rPr>
                <w:rFonts w:hint="eastAsia" w:ascii="宋体" w:hAnsi="宋体" w:eastAsia="宋体" w:cs="Times New Roman"/>
                <w:color w:val="auto"/>
                <w:szCs w:val="21"/>
                <w:highlight w:val="none"/>
              </w:rPr>
              <w:t>格式符合第二章“</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须知”第3.7款的要求，否则由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w:t>
            </w:r>
          </w:p>
          <w:p w14:paraId="7CF5924E">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kern w:val="0"/>
                <w:szCs w:val="21"/>
                <w:highlight w:val="none"/>
              </w:rPr>
              <w:t>编制</w:t>
            </w:r>
            <w:r>
              <w:rPr>
                <w:rFonts w:hint="eastAsia" w:ascii="宋体" w:hAnsi="宋体" w:eastAsia="宋体" w:cs="Times New Roman"/>
                <w:color w:val="auto"/>
                <w:kern w:val="0"/>
                <w:szCs w:val="21"/>
                <w:highlight w:val="none"/>
                <w:lang w:eastAsia="zh-CN"/>
              </w:rPr>
              <w:t>竞标文件</w:t>
            </w:r>
            <w:r>
              <w:rPr>
                <w:rFonts w:hint="eastAsia" w:ascii="宋体" w:hAnsi="宋体" w:eastAsia="宋体" w:cs="Times New Roman"/>
                <w:color w:val="auto"/>
                <w:kern w:val="0"/>
                <w:szCs w:val="21"/>
                <w:highlight w:val="none"/>
              </w:rPr>
              <w:t>时不得对</w:t>
            </w:r>
            <w:r>
              <w:rPr>
                <w:rFonts w:hint="eastAsia" w:ascii="宋体" w:hAnsi="宋体" w:cs="Times New Roman"/>
                <w:color w:val="auto"/>
                <w:kern w:val="0"/>
                <w:szCs w:val="21"/>
                <w:highlight w:val="none"/>
                <w:lang w:eastAsia="zh-CN"/>
              </w:rPr>
              <w:t>第六章</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竞标文件</w:t>
            </w:r>
            <w:r>
              <w:rPr>
                <w:rFonts w:hint="eastAsia" w:ascii="宋体" w:hAnsi="宋体" w:eastAsia="宋体" w:cs="Times New Roman"/>
                <w:color w:val="auto"/>
                <w:kern w:val="0"/>
                <w:szCs w:val="21"/>
                <w:highlight w:val="none"/>
              </w:rPr>
              <w:t>格式”的相应要素作实质性修改，否则由</w:t>
            </w:r>
            <w:r>
              <w:rPr>
                <w:rFonts w:hint="eastAsia" w:ascii="宋体" w:hAnsi="宋体" w:eastAsia="宋体" w:cs="Times New Roman"/>
                <w:color w:val="auto"/>
                <w:kern w:val="0"/>
                <w:szCs w:val="21"/>
                <w:highlight w:val="none"/>
                <w:lang w:eastAsia="zh-CN"/>
              </w:rPr>
              <w:t>评审小组</w:t>
            </w:r>
            <w:r>
              <w:rPr>
                <w:rFonts w:hint="eastAsia" w:ascii="宋体" w:hAnsi="宋体" w:eastAsia="宋体" w:cs="Times New Roman"/>
                <w:color w:val="auto"/>
                <w:kern w:val="0"/>
                <w:szCs w:val="21"/>
                <w:highlight w:val="none"/>
              </w:rPr>
              <w:t>作否决投标处理。</w:t>
            </w:r>
          </w:p>
        </w:tc>
      </w:tr>
      <w:tr w14:paraId="711F31C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733019D2">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4DB6CF56">
            <w:pPr>
              <w:spacing w:line="400" w:lineRule="exact"/>
              <w:jc w:val="center"/>
              <w:rPr>
                <w:rFonts w:ascii="宋体" w:hAnsi="宋体" w:eastAsia="宋体" w:cs="Times New Roman"/>
                <w:color w:val="auto"/>
                <w:szCs w:val="21"/>
                <w:highlight w:val="none"/>
              </w:rPr>
            </w:pPr>
          </w:p>
        </w:tc>
        <w:tc>
          <w:tcPr>
            <w:tcW w:w="6333" w:type="dxa"/>
            <w:noWrap w:val="0"/>
            <w:vAlign w:val="top"/>
          </w:tcPr>
          <w:p w14:paraId="55C34C3C">
            <w:pPr>
              <w:autoSpaceDE w:val="0"/>
              <w:autoSpaceDN w:val="0"/>
              <w:adjustRightInd w:val="0"/>
              <w:snapToGrid w:val="0"/>
              <w:spacing w:line="400" w:lineRule="exact"/>
              <w:ind w:firstLine="420" w:firstLineChars="200"/>
              <w:rPr>
                <w:rFonts w:ascii="宋体" w:hAnsi="宋体" w:eastAsia="宋体" w:cs="Times New Roman"/>
                <w:i/>
                <w:color w:val="auto"/>
                <w:szCs w:val="21"/>
                <w:highlight w:val="none"/>
              </w:rPr>
            </w:pPr>
            <w:r>
              <w:rPr>
                <w:rFonts w:hint="eastAsia" w:ascii="宋体" w:hAnsi="宋体" w:eastAsia="宋体" w:cs="Times New Roman"/>
                <w:color w:val="auto"/>
                <w:szCs w:val="21"/>
                <w:highlight w:val="none"/>
              </w:rPr>
              <w:t>A-</w:t>
            </w: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lang w:eastAsia="zh-CN"/>
              </w:rPr>
              <w:t>竞标文件</w:t>
            </w:r>
            <w:r>
              <w:rPr>
                <w:rFonts w:hint="eastAsia" w:ascii="宋体" w:hAnsi="宋体" w:eastAsia="宋体" w:cs="Times New Roman"/>
                <w:color w:val="auto"/>
                <w:szCs w:val="21"/>
                <w:highlight w:val="none"/>
              </w:rPr>
              <w:t>份数符合第二章“</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须知”第3.7.4项的规定，</w:t>
            </w:r>
            <w:r>
              <w:rPr>
                <w:rFonts w:hint="eastAsia" w:ascii="宋体" w:hAnsi="宋体" w:eastAsia="宋体" w:cs="Times New Roman"/>
                <w:color w:val="auto"/>
                <w:kern w:val="0"/>
                <w:szCs w:val="21"/>
                <w:highlight w:val="none"/>
              </w:rPr>
              <w:t>否则由</w:t>
            </w:r>
            <w:r>
              <w:rPr>
                <w:rFonts w:hint="eastAsia" w:ascii="宋体" w:hAnsi="宋体" w:eastAsia="宋体" w:cs="Times New Roman"/>
                <w:color w:val="auto"/>
                <w:kern w:val="0"/>
                <w:szCs w:val="21"/>
                <w:highlight w:val="none"/>
                <w:lang w:eastAsia="zh-CN"/>
              </w:rPr>
              <w:t>评审小组</w:t>
            </w:r>
            <w:r>
              <w:rPr>
                <w:rFonts w:hint="eastAsia" w:ascii="宋体" w:hAnsi="宋体" w:eastAsia="宋体" w:cs="Times New Roman"/>
                <w:color w:val="auto"/>
                <w:kern w:val="0"/>
                <w:szCs w:val="21"/>
                <w:highlight w:val="none"/>
              </w:rPr>
              <w:t>作否决投标处理。</w:t>
            </w:r>
          </w:p>
        </w:tc>
      </w:tr>
      <w:tr w14:paraId="1BCA2D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77F66965">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517E5F8F">
            <w:pPr>
              <w:spacing w:line="400" w:lineRule="exact"/>
              <w:jc w:val="center"/>
              <w:rPr>
                <w:rFonts w:ascii="宋体" w:hAnsi="宋体" w:eastAsia="宋体" w:cs="Times New Roman"/>
                <w:color w:val="auto"/>
                <w:szCs w:val="21"/>
                <w:highlight w:val="none"/>
              </w:rPr>
            </w:pPr>
          </w:p>
        </w:tc>
        <w:tc>
          <w:tcPr>
            <w:tcW w:w="6333" w:type="dxa"/>
            <w:noWrap w:val="0"/>
            <w:vAlign w:val="top"/>
          </w:tcPr>
          <w:p w14:paraId="2288DD80">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w:t>
            </w: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rPr>
              <w:t>只能有一个有效报价。在招标文件没有规定的情况下，不得提交选择性报价，否则由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w:t>
            </w:r>
          </w:p>
        </w:tc>
      </w:tr>
      <w:tr w14:paraId="30E84A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283BE958">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51DE4797">
            <w:pPr>
              <w:spacing w:line="400" w:lineRule="exact"/>
              <w:jc w:val="center"/>
              <w:rPr>
                <w:rFonts w:ascii="宋体" w:hAnsi="宋体" w:eastAsia="宋体" w:cs="Times New Roman"/>
                <w:color w:val="auto"/>
                <w:szCs w:val="21"/>
                <w:highlight w:val="none"/>
              </w:rPr>
            </w:pPr>
          </w:p>
        </w:tc>
        <w:tc>
          <w:tcPr>
            <w:tcW w:w="6333" w:type="dxa"/>
            <w:noWrap w:val="0"/>
            <w:vAlign w:val="top"/>
          </w:tcPr>
          <w:p w14:paraId="2464A815">
            <w:pPr>
              <w:autoSpaceDE w:val="0"/>
              <w:autoSpaceDN w:val="0"/>
              <w:adjustRightInd w:val="0"/>
              <w:snapToGrid w:val="0"/>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w:t>
            </w:r>
            <w:r>
              <w:rPr>
                <w:rFonts w:hint="eastAsia" w:ascii="宋体" w:hAnsi="宋体" w:cs="Times New Roman"/>
                <w:color w:val="auto"/>
                <w:szCs w:val="21"/>
                <w:highlight w:val="none"/>
                <w:lang w:val="en-US" w:eastAsia="zh-CN"/>
              </w:rPr>
              <w:t>9</w:t>
            </w:r>
            <w:r>
              <w:rPr>
                <w:rFonts w:hint="eastAsia" w:ascii="宋体" w:hAnsi="宋体" w:cs="宋体"/>
                <w:color w:val="auto"/>
                <w:kern w:val="0"/>
                <w:highlight w:val="none"/>
                <w:lang w:eastAsia="zh-CN"/>
              </w:rPr>
              <w:t>第六章</w:t>
            </w:r>
            <w:r>
              <w:rPr>
                <w:rFonts w:hint="eastAsia" w:ascii="宋体" w:hAnsi="宋体" w:eastAsia="宋体" w:cs="宋体"/>
                <w:color w:val="auto"/>
                <w:kern w:val="0"/>
                <w:highlight w:val="none"/>
              </w:rPr>
              <w:t xml:space="preserve"> </w:t>
            </w:r>
            <w:r>
              <w:rPr>
                <w:rFonts w:hint="eastAsia" w:ascii="宋体" w:hAnsi="宋体" w:eastAsia="宋体" w:cs="宋体"/>
                <w:color w:val="auto"/>
                <w:kern w:val="0"/>
                <w:highlight w:val="none"/>
                <w:lang w:eastAsia="zh-CN"/>
              </w:rPr>
              <w:t>竞标文件</w:t>
            </w:r>
            <w:r>
              <w:rPr>
                <w:rFonts w:hint="eastAsia" w:ascii="宋体" w:hAnsi="宋体" w:eastAsia="宋体" w:cs="宋体"/>
                <w:color w:val="auto"/>
                <w:kern w:val="0"/>
                <w:highlight w:val="none"/>
              </w:rPr>
              <w:t>格式要求法定代表人或其委托代理人签名（或盖章）的须齐全。</w:t>
            </w:r>
          </w:p>
        </w:tc>
      </w:tr>
      <w:tr w14:paraId="36F89B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32FA8965">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43B2CF4E">
            <w:pPr>
              <w:spacing w:line="400" w:lineRule="exact"/>
              <w:jc w:val="center"/>
              <w:rPr>
                <w:rFonts w:ascii="宋体" w:hAnsi="宋体" w:eastAsia="宋体" w:cs="Times New Roman"/>
                <w:color w:val="auto"/>
                <w:szCs w:val="21"/>
                <w:highlight w:val="none"/>
              </w:rPr>
            </w:pPr>
          </w:p>
        </w:tc>
        <w:tc>
          <w:tcPr>
            <w:tcW w:w="6333" w:type="dxa"/>
            <w:noWrap w:val="0"/>
            <w:vAlign w:val="top"/>
          </w:tcPr>
          <w:p w14:paraId="669D37CA">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w:t>
            </w:r>
            <w:r>
              <w:rPr>
                <w:rFonts w:hint="eastAsia" w:ascii="宋体" w:hAnsi="宋体" w:cs="Times New Roman"/>
                <w:color w:val="auto"/>
                <w:szCs w:val="21"/>
                <w:highlight w:val="none"/>
                <w:lang w:val="en-US" w:eastAsia="zh-CN"/>
              </w:rPr>
              <w:t>10</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法定代表人的委托代理人有法定代表人签署的授权委托书，否则由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w:t>
            </w:r>
          </w:p>
        </w:tc>
      </w:tr>
      <w:tr w14:paraId="0933F3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237" w:type="dxa"/>
            <w:vMerge w:val="continue"/>
            <w:noWrap w:val="0"/>
            <w:vAlign w:val="center"/>
          </w:tcPr>
          <w:p w14:paraId="43CC889A">
            <w:pPr>
              <w:spacing w:line="400" w:lineRule="exact"/>
              <w:jc w:val="center"/>
              <w:rPr>
                <w:rFonts w:ascii="宋体" w:hAnsi="宋体" w:eastAsia="宋体" w:cs="Times New Roman"/>
                <w:color w:val="auto"/>
                <w:szCs w:val="21"/>
                <w:highlight w:val="none"/>
              </w:rPr>
            </w:pPr>
          </w:p>
        </w:tc>
        <w:tc>
          <w:tcPr>
            <w:tcW w:w="1899" w:type="dxa"/>
            <w:vMerge w:val="restart"/>
            <w:noWrap w:val="0"/>
            <w:vAlign w:val="center"/>
          </w:tcPr>
          <w:p w14:paraId="4DCC63ED">
            <w:pPr>
              <w:spacing w:line="40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响应性评审</w:t>
            </w:r>
          </w:p>
        </w:tc>
        <w:tc>
          <w:tcPr>
            <w:tcW w:w="6333" w:type="dxa"/>
            <w:noWrap w:val="0"/>
            <w:vAlign w:val="center"/>
          </w:tcPr>
          <w:p w14:paraId="65FD2356">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A-1</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rPr>
              <w:t>投标总报价不得高于</w:t>
            </w:r>
            <w:r>
              <w:rPr>
                <w:rFonts w:hint="eastAsia" w:ascii="宋体" w:hAnsi="宋体" w:eastAsia="宋体" w:cs="Times New Roman"/>
                <w:color w:val="auto"/>
                <w:szCs w:val="21"/>
                <w:highlight w:val="none"/>
                <w:lang w:eastAsia="zh-CN"/>
              </w:rPr>
              <w:t>比选人</w:t>
            </w:r>
            <w:r>
              <w:rPr>
                <w:rFonts w:hint="eastAsia" w:ascii="宋体" w:hAnsi="宋体" w:eastAsia="宋体" w:cs="Times New Roman"/>
                <w:color w:val="auto"/>
                <w:szCs w:val="21"/>
                <w:highlight w:val="none"/>
              </w:rPr>
              <w:t>公布的投标总报价最高限价，否则由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w:t>
            </w:r>
          </w:p>
        </w:tc>
      </w:tr>
      <w:tr w14:paraId="3F2025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237" w:type="dxa"/>
            <w:vMerge w:val="continue"/>
            <w:noWrap w:val="0"/>
            <w:vAlign w:val="center"/>
          </w:tcPr>
          <w:p w14:paraId="541C1872">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68B69E60">
            <w:pPr>
              <w:spacing w:line="400" w:lineRule="exact"/>
              <w:jc w:val="center"/>
              <w:rPr>
                <w:rFonts w:ascii="宋体" w:hAnsi="宋体" w:eastAsia="宋体" w:cs="Times New Roman"/>
                <w:color w:val="auto"/>
                <w:szCs w:val="21"/>
                <w:highlight w:val="none"/>
              </w:rPr>
            </w:pPr>
          </w:p>
        </w:tc>
        <w:tc>
          <w:tcPr>
            <w:tcW w:w="6333" w:type="dxa"/>
            <w:noWrap w:val="0"/>
            <w:vAlign w:val="center"/>
          </w:tcPr>
          <w:p w14:paraId="503D14AE">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A-1</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投标内容符合第二章“</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须知”第1.3.1项规定，否则由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w:t>
            </w:r>
          </w:p>
        </w:tc>
      </w:tr>
      <w:tr w14:paraId="6AEA24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1C5576C7">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33AECBB3">
            <w:pPr>
              <w:spacing w:line="400" w:lineRule="exact"/>
              <w:jc w:val="center"/>
              <w:rPr>
                <w:rFonts w:ascii="宋体" w:hAnsi="宋体" w:eastAsia="宋体" w:cs="Times New Roman"/>
                <w:color w:val="auto"/>
                <w:szCs w:val="21"/>
                <w:highlight w:val="none"/>
              </w:rPr>
            </w:pPr>
          </w:p>
        </w:tc>
        <w:tc>
          <w:tcPr>
            <w:tcW w:w="6333" w:type="dxa"/>
            <w:noWrap w:val="0"/>
            <w:vAlign w:val="center"/>
          </w:tcPr>
          <w:p w14:paraId="5CDE6C9B">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w:t>
            </w:r>
            <w:r>
              <w:rPr>
                <w:rFonts w:hint="eastAsia" w:ascii="宋体" w:hAnsi="宋体" w:cs="Times New Roman"/>
                <w:color w:val="auto"/>
                <w:szCs w:val="21"/>
                <w:highlight w:val="none"/>
                <w:lang w:val="en-US" w:eastAsia="zh-CN"/>
              </w:rPr>
              <w:t>13</w:t>
            </w:r>
            <w:r>
              <w:rPr>
                <w:rFonts w:hint="eastAsia" w:ascii="宋体" w:hAnsi="宋体" w:eastAsia="宋体" w:cs="Times New Roman"/>
                <w:color w:val="auto"/>
                <w:szCs w:val="21"/>
                <w:highlight w:val="none"/>
              </w:rPr>
              <w:t>工期符合第二章“</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须知”第1.3.2项规定，否则由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w:t>
            </w:r>
          </w:p>
        </w:tc>
      </w:tr>
      <w:tr w14:paraId="7E5B15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1E51C3A7">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3ABFFA9E">
            <w:pPr>
              <w:spacing w:line="400" w:lineRule="exact"/>
              <w:jc w:val="center"/>
              <w:rPr>
                <w:rFonts w:ascii="宋体" w:hAnsi="宋体" w:eastAsia="宋体" w:cs="Times New Roman"/>
                <w:color w:val="auto"/>
                <w:szCs w:val="21"/>
                <w:highlight w:val="none"/>
              </w:rPr>
            </w:pPr>
          </w:p>
        </w:tc>
        <w:tc>
          <w:tcPr>
            <w:tcW w:w="6333" w:type="dxa"/>
            <w:noWrap w:val="0"/>
            <w:vAlign w:val="center"/>
          </w:tcPr>
          <w:p w14:paraId="21274FBB">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w:t>
            </w:r>
            <w:r>
              <w:rPr>
                <w:rFonts w:hint="eastAsia" w:ascii="宋体" w:hAnsi="宋体" w:cs="Times New Roman"/>
                <w:color w:val="auto"/>
                <w:szCs w:val="21"/>
                <w:highlight w:val="none"/>
                <w:lang w:val="en-US" w:eastAsia="zh-CN"/>
              </w:rPr>
              <w:t>14</w:t>
            </w:r>
            <w:r>
              <w:rPr>
                <w:rFonts w:hint="eastAsia" w:ascii="宋体" w:hAnsi="宋体" w:eastAsia="宋体" w:cs="Times New Roman"/>
                <w:color w:val="auto"/>
                <w:szCs w:val="21"/>
                <w:highlight w:val="none"/>
              </w:rPr>
              <w:t>工程质量符合第二章“</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须知”第1.3.3项规定，否则由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w:t>
            </w:r>
          </w:p>
        </w:tc>
      </w:tr>
      <w:tr w14:paraId="72B651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5C0EDD81">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33161600">
            <w:pPr>
              <w:spacing w:line="400" w:lineRule="exact"/>
              <w:jc w:val="center"/>
              <w:rPr>
                <w:rFonts w:ascii="宋体" w:hAnsi="宋体" w:eastAsia="宋体" w:cs="Times New Roman"/>
                <w:color w:val="auto"/>
                <w:szCs w:val="21"/>
                <w:highlight w:val="none"/>
              </w:rPr>
            </w:pPr>
          </w:p>
        </w:tc>
        <w:tc>
          <w:tcPr>
            <w:tcW w:w="6333" w:type="dxa"/>
            <w:noWrap w:val="0"/>
            <w:vAlign w:val="center"/>
          </w:tcPr>
          <w:p w14:paraId="0EB0E5C2">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w:t>
            </w:r>
            <w:r>
              <w:rPr>
                <w:rFonts w:hint="eastAsia" w:ascii="宋体" w:hAnsi="宋体" w:cs="Times New Roman"/>
                <w:color w:val="auto"/>
                <w:szCs w:val="21"/>
                <w:highlight w:val="none"/>
                <w:lang w:val="en-US" w:eastAsia="zh-CN"/>
              </w:rPr>
              <w:t>15</w:t>
            </w:r>
            <w:r>
              <w:rPr>
                <w:rFonts w:hint="eastAsia" w:ascii="宋体" w:hAnsi="宋体" w:eastAsia="宋体" w:cs="Times New Roman"/>
                <w:color w:val="auto"/>
                <w:szCs w:val="21"/>
                <w:highlight w:val="none"/>
              </w:rPr>
              <w:t>投标有效期符合第二章“</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须知”第3.3.1项规定，否则由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w:t>
            </w:r>
          </w:p>
        </w:tc>
      </w:tr>
      <w:tr w14:paraId="538102F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3B35CD06">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633DAFDF">
            <w:pPr>
              <w:spacing w:line="400" w:lineRule="exact"/>
              <w:jc w:val="center"/>
              <w:rPr>
                <w:rFonts w:ascii="宋体" w:hAnsi="宋体" w:eastAsia="宋体" w:cs="Times New Roman"/>
                <w:color w:val="auto"/>
                <w:szCs w:val="21"/>
                <w:highlight w:val="none"/>
              </w:rPr>
            </w:pPr>
          </w:p>
        </w:tc>
        <w:tc>
          <w:tcPr>
            <w:tcW w:w="6333" w:type="dxa"/>
            <w:noWrap w:val="0"/>
            <w:vAlign w:val="center"/>
          </w:tcPr>
          <w:p w14:paraId="488E7CDB">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w:t>
            </w:r>
            <w:r>
              <w:rPr>
                <w:rFonts w:hint="eastAsia" w:ascii="宋体" w:hAnsi="宋体" w:cs="Times New Roman"/>
                <w:color w:val="auto"/>
                <w:szCs w:val="21"/>
                <w:highlight w:val="none"/>
                <w:lang w:val="en-US" w:eastAsia="zh-CN"/>
              </w:rPr>
              <w:t>16</w:t>
            </w:r>
            <w:r>
              <w:rPr>
                <w:rFonts w:hint="eastAsia" w:ascii="宋体" w:hAnsi="宋体" w:eastAsia="宋体" w:cs="Times New Roman"/>
                <w:color w:val="auto"/>
                <w:szCs w:val="21"/>
                <w:highlight w:val="none"/>
                <w:lang w:eastAsia="zh-CN"/>
              </w:rPr>
              <w:t>竞标人</w:t>
            </w:r>
            <w:r>
              <w:rPr>
                <w:rFonts w:ascii="宋体" w:hAnsi="宋体" w:eastAsia="宋体" w:cs="Times New Roman"/>
                <w:color w:val="auto"/>
                <w:szCs w:val="21"/>
                <w:highlight w:val="none"/>
              </w:rPr>
              <w:t>应按</w:t>
            </w:r>
            <w:r>
              <w:rPr>
                <w:rFonts w:hint="eastAsia" w:ascii="宋体" w:hAnsi="宋体" w:eastAsia="宋体" w:cs="Times New Roman"/>
                <w:color w:val="auto"/>
                <w:szCs w:val="21"/>
                <w:highlight w:val="none"/>
                <w:lang w:eastAsia="zh-CN"/>
              </w:rPr>
              <w:t>竞标人</w:t>
            </w:r>
            <w:r>
              <w:rPr>
                <w:rFonts w:ascii="宋体" w:hAnsi="宋体" w:eastAsia="宋体" w:cs="Times New Roman"/>
                <w:color w:val="auto"/>
                <w:szCs w:val="21"/>
                <w:highlight w:val="none"/>
              </w:rPr>
              <w:t>须知前附表</w:t>
            </w:r>
            <w:r>
              <w:rPr>
                <w:rFonts w:hint="eastAsia" w:ascii="宋体" w:hAnsi="宋体" w:eastAsia="宋体" w:cs="Times New Roman"/>
                <w:color w:val="auto"/>
                <w:szCs w:val="21"/>
                <w:highlight w:val="none"/>
              </w:rPr>
              <w:t>第3.4款的</w:t>
            </w:r>
            <w:r>
              <w:rPr>
                <w:rFonts w:ascii="宋体" w:hAnsi="宋体" w:eastAsia="宋体" w:cs="Times New Roman"/>
                <w:color w:val="auto"/>
                <w:szCs w:val="21"/>
                <w:highlight w:val="none"/>
              </w:rPr>
              <w:t>规定递交投标保证金，并作为其</w:t>
            </w:r>
            <w:r>
              <w:rPr>
                <w:rFonts w:hint="eastAsia" w:ascii="宋体" w:hAnsi="宋体" w:eastAsia="宋体" w:cs="Times New Roman"/>
                <w:color w:val="auto"/>
                <w:szCs w:val="21"/>
                <w:highlight w:val="none"/>
                <w:lang w:eastAsia="zh-CN"/>
              </w:rPr>
              <w:t>竞标文件</w:t>
            </w:r>
            <w:r>
              <w:rPr>
                <w:rFonts w:ascii="宋体" w:hAnsi="宋体" w:eastAsia="宋体" w:cs="Times New Roman"/>
                <w:color w:val="auto"/>
                <w:szCs w:val="21"/>
                <w:highlight w:val="none"/>
              </w:rPr>
              <w:t>的组成部分</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否则</w:t>
            </w:r>
            <w:r>
              <w:rPr>
                <w:rFonts w:hint="eastAsia" w:ascii="宋体" w:hAnsi="宋体" w:eastAsia="宋体" w:cs="Times New Roman"/>
                <w:color w:val="auto"/>
                <w:szCs w:val="21"/>
                <w:highlight w:val="none"/>
              </w:rPr>
              <w:t>由</w:t>
            </w:r>
            <w:r>
              <w:rPr>
                <w:rFonts w:hint="eastAsia" w:ascii="宋体" w:hAnsi="宋体" w:eastAsia="宋体" w:cs="Times New Roman"/>
                <w:color w:val="auto"/>
                <w:szCs w:val="21"/>
                <w:highlight w:val="none"/>
                <w:lang w:eastAsia="zh-CN"/>
              </w:rPr>
              <w:t>评审小组</w:t>
            </w:r>
            <w:r>
              <w:rPr>
                <w:rFonts w:ascii="宋体" w:hAnsi="宋体" w:eastAsia="宋体" w:cs="Times New Roman"/>
                <w:color w:val="auto"/>
                <w:szCs w:val="21"/>
                <w:highlight w:val="none"/>
              </w:rPr>
              <w:t>作否决投标处理。</w:t>
            </w:r>
          </w:p>
        </w:tc>
      </w:tr>
      <w:tr w14:paraId="57F6C4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335C57C4">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2DAC86D7">
            <w:pPr>
              <w:spacing w:line="400" w:lineRule="exact"/>
              <w:jc w:val="center"/>
              <w:rPr>
                <w:rFonts w:ascii="宋体" w:hAnsi="宋体" w:eastAsia="宋体" w:cs="Times New Roman"/>
                <w:color w:val="auto"/>
                <w:szCs w:val="21"/>
                <w:highlight w:val="none"/>
              </w:rPr>
            </w:pPr>
          </w:p>
        </w:tc>
        <w:tc>
          <w:tcPr>
            <w:tcW w:w="6333" w:type="dxa"/>
            <w:noWrap w:val="0"/>
            <w:vAlign w:val="center"/>
          </w:tcPr>
          <w:p w14:paraId="3C9A3E63">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w:t>
            </w:r>
            <w:r>
              <w:rPr>
                <w:rFonts w:hint="eastAsia" w:ascii="宋体" w:hAnsi="宋体" w:cs="Times New Roman"/>
                <w:color w:val="auto"/>
                <w:szCs w:val="21"/>
                <w:highlight w:val="none"/>
                <w:lang w:val="en-US" w:eastAsia="zh-CN"/>
              </w:rPr>
              <w:t>17</w:t>
            </w:r>
            <w:r>
              <w:rPr>
                <w:rFonts w:hint="eastAsia" w:ascii="宋体" w:hAnsi="宋体" w:eastAsia="宋体" w:cs="Times New Roman"/>
                <w:color w:val="auto"/>
                <w:szCs w:val="21"/>
                <w:highlight w:val="none"/>
              </w:rPr>
              <w:t>符合第四章“合同条款及格式”规定，</w:t>
            </w:r>
            <w:r>
              <w:rPr>
                <w:rFonts w:hint="eastAsia" w:ascii="宋体" w:hAnsi="宋体" w:eastAsia="宋体" w:cs="Times New Roman"/>
                <w:color w:val="auto"/>
                <w:szCs w:val="21"/>
                <w:highlight w:val="none"/>
                <w:lang w:eastAsia="zh-CN"/>
              </w:rPr>
              <w:t>竞标文件</w:t>
            </w:r>
            <w:r>
              <w:rPr>
                <w:rFonts w:hint="eastAsia" w:ascii="宋体" w:hAnsi="宋体" w:eastAsia="宋体" w:cs="Times New Roman"/>
                <w:color w:val="auto"/>
                <w:szCs w:val="21"/>
                <w:highlight w:val="none"/>
              </w:rPr>
              <w:t>不应附有</w:t>
            </w:r>
            <w:r>
              <w:rPr>
                <w:rFonts w:hint="eastAsia" w:ascii="宋体" w:hAnsi="宋体" w:eastAsia="宋体" w:cs="Times New Roman"/>
                <w:color w:val="auto"/>
                <w:szCs w:val="21"/>
                <w:highlight w:val="none"/>
                <w:lang w:eastAsia="zh-CN"/>
              </w:rPr>
              <w:t>比选人</w:t>
            </w:r>
            <w:r>
              <w:rPr>
                <w:rFonts w:hint="eastAsia" w:ascii="宋体" w:hAnsi="宋体" w:eastAsia="宋体" w:cs="Times New Roman"/>
                <w:color w:val="auto"/>
                <w:szCs w:val="21"/>
                <w:highlight w:val="none"/>
              </w:rPr>
              <w:t>不能接受的条件，否则由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作否决投标处理。（由</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承诺，承诺书格式详见</w:t>
            </w:r>
            <w:r>
              <w:rPr>
                <w:rFonts w:hint="eastAsia" w:ascii="宋体" w:hAnsi="宋体" w:cs="Times New Roman"/>
                <w:color w:val="auto"/>
                <w:szCs w:val="21"/>
                <w:highlight w:val="none"/>
                <w:lang w:eastAsia="zh-CN"/>
              </w:rPr>
              <w:t>第六章</w:t>
            </w:r>
            <w:r>
              <w:rPr>
                <w:rFonts w:hint="eastAsia" w:ascii="宋体" w:hAnsi="宋体" w:eastAsia="宋体" w:cs="Times New Roman"/>
                <w:color w:val="auto"/>
                <w:szCs w:val="21"/>
                <w:highlight w:val="none"/>
                <w:lang w:eastAsia="zh-CN"/>
              </w:rPr>
              <w:t>竞标文件</w:t>
            </w:r>
            <w:r>
              <w:rPr>
                <w:rFonts w:hint="eastAsia" w:ascii="宋体" w:hAnsi="宋体" w:eastAsia="宋体" w:cs="Times New Roman"/>
                <w:color w:val="auto"/>
                <w:szCs w:val="21"/>
                <w:highlight w:val="none"/>
              </w:rPr>
              <w:t>格式。）</w:t>
            </w:r>
          </w:p>
        </w:tc>
      </w:tr>
      <w:tr w14:paraId="78FB3D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6A73457A">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363B085C">
            <w:pPr>
              <w:spacing w:line="400" w:lineRule="exact"/>
              <w:jc w:val="center"/>
              <w:rPr>
                <w:rFonts w:ascii="宋体" w:hAnsi="宋体" w:eastAsia="宋体" w:cs="Times New Roman"/>
                <w:color w:val="auto"/>
                <w:szCs w:val="21"/>
                <w:highlight w:val="none"/>
              </w:rPr>
            </w:pPr>
          </w:p>
        </w:tc>
        <w:tc>
          <w:tcPr>
            <w:tcW w:w="6333" w:type="dxa"/>
            <w:noWrap w:val="0"/>
            <w:vAlign w:val="center"/>
          </w:tcPr>
          <w:p w14:paraId="68C5EA36">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w:t>
            </w:r>
            <w:r>
              <w:rPr>
                <w:rFonts w:hint="eastAsia" w:ascii="宋体" w:hAnsi="宋体" w:cs="Times New Roman"/>
                <w:color w:val="auto"/>
                <w:szCs w:val="21"/>
                <w:highlight w:val="none"/>
                <w:lang w:val="en-US" w:eastAsia="zh-CN"/>
              </w:rPr>
              <w:t>18</w:t>
            </w:r>
            <w:r>
              <w:rPr>
                <w:rFonts w:hint="eastAsia" w:ascii="宋体" w:hAnsi="宋体" w:eastAsia="宋体" w:cs="Times New Roman"/>
                <w:color w:val="auto"/>
                <w:szCs w:val="21"/>
                <w:highlight w:val="none"/>
              </w:rPr>
              <w:t>符合</w:t>
            </w:r>
            <w:r>
              <w:rPr>
                <w:rFonts w:hint="eastAsia" w:ascii="宋体" w:hAnsi="宋体" w:cs="Times New Roman"/>
                <w:color w:val="auto"/>
                <w:szCs w:val="21"/>
                <w:highlight w:val="none"/>
                <w:lang w:eastAsia="zh-CN"/>
              </w:rPr>
              <w:t>第五章</w:t>
            </w:r>
            <w:r>
              <w:rPr>
                <w:rFonts w:hint="eastAsia" w:ascii="宋体" w:hAnsi="宋体" w:eastAsia="宋体" w:cs="Times New Roman"/>
                <w:color w:val="auto"/>
                <w:szCs w:val="21"/>
                <w:highlight w:val="none"/>
              </w:rPr>
              <w:t>“技术标准和要求”规定。否则由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作否决投标处理（如有）。（由</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承诺，承诺书格式详见</w:t>
            </w:r>
            <w:r>
              <w:rPr>
                <w:rFonts w:hint="eastAsia" w:ascii="宋体" w:hAnsi="宋体" w:cs="Times New Roman"/>
                <w:color w:val="auto"/>
                <w:szCs w:val="21"/>
                <w:highlight w:val="none"/>
                <w:lang w:eastAsia="zh-CN"/>
              </w:rPr>
              <w:t>第六章</w:t>
            </w:r>
            <w:r>
              <w:rPr>
                <w:rFonts w:hint="eastAsia" w:ascii="宋体" w:hAnsi="宋体" w:eastAsia="宋体" w:cs="Times New Roman"/>
                <w:color w:val="auto"/>
                <w:szCs w:val="21"/>
                <w:highlight w:val="none"/>
                <w:lang w:eastAsia="zh-CN"/>
              </w:rPr>
              <w:t>竞标文件</w:t>
            </w:r>
            <w:r>
              <w:rPr>
                <w:rFonts w:hint="eastAsia" w:ascii="宋体" w:hAnsi="宋体" w:eastAsia="宋体" w:cs="Times New Roman"/>
                <w:color w:val="auto"/>
                <w:szCs w:val="21"/>
                <w:highlight w:val="none"/>
              </w:rPr>
              <w:t>格式。）</w:t>
            </w:r>
          </w:p>
        </w:tc>
      </w:tr>
      <w:tr w14:paraId="18F8D7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237" w:type="dxa"/>
            <w:vMerge w:val="continue"/>
            <w:noWrap w:val="0"/>
            <w:vAlign w:val="center"/>
          </w:tcPr>
          <w:p w14:paraId="48ED1853">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40EBC187">
            <w:pPr>
              <w:spacing w:line="400" w:lineRule="exact"/>
              <w:jc w:val="center"/>
              <w:rPr>
                <w:rFonts w:ascii="宋体" w:hAnsi="宋体" w:eastAsia="宋体" w:cs="Times New Roman"/>
                <w:color w:val="auto"/>
                <w:szCs w:val="21"/>
                <w:highlight w:val="none"/>
              </w:rPr>
            </w:pPr>
          </w:p>
        </w:tc>
        <w:tc>
          <w:tcPr>
            <w:tcW w:w="6333" w:type="dxa"/>
            <w:noWrap w:val="0"/>
            <w:vAlign w:val="center"/>
          </w:tcPr>
          <w:p w14:paraId="21C2C2DB">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A-2</w:t>
            </w:r>
            <w:r>
              <w:rPr>
                <w:rFonts w:hint="eastAsia" w:ascii="宋体" w:hAnsi="宋体" w:eastAsia="宋体" w:cs="Times New Roman"/>
                <w:color w:val="auto"/>
                <w:szCs w:val="21"/>
                <w:highlight w:val="none"/>
                <w:lang w:val="en-US" w:eastAsia="zh-CN"/>
              </w:rPr>
              <w:t>9</w:t>
            </w:r>
            <w:r>
              <w:rPr>
                <w:rFonts w:hint="eastAsia" w:ascii="宋体" w:hAnsi="宋体" w:eastAsia="宋体" w:cs="Times New Roman"/>
                <w:color w:val="auto"/>
                <w:szCs w:val="21"/>
                <w:highlight w:val="none"/>
                <w:lang w:eastAsia="zh-CN"/>
              </w:rPr>
              <w:t>竞标报价</w:t>
            </w:r>
            <w:r>
              <w:rPr>
                <w:rFonts w:hint="eastAsia" w:ascii="宋体" w:hAnsi="宋体" w:eastAsia="宋体" w:cs="Times New Roman"/>
                <w:color w:val="auto"/>
                <w:szCs w:val="21"/>
                <w:highlight w:val="none"/>
              </w:rPr>
              <w:t>有算术错误的，按照第三章“评标办法”第3.1.3项规定执行，否则由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w:t>
            </w:r>
            <w:r>
              <w:rPr>
                <w:rFonts w:ascii="宋体" w:hAnsi="宋体" w:eastAsia="宋体" w:cs="Times New Roman"/>
                <w:color w:val="auto"/>
                <w:szCs w:val="21"/>
                <w:highlight w:val="none"/>
              </w:rPr>
              <w:t>。</w:t>
            </w:r>
          </w:p>
        </w:tc>
      </w:tr>
      <w:tr w14:paraId="7C133A5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576A8FDB">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545FCD8C">
            <w:pPr>
              <w:spacing w:line="400" w:lineRule="exact"/>
              <w:jc w:val="center"/>
              <w:rPr>
                <w:rFonts w:ascii="宋体" w:hAnsi="宋体" w:eastAsia="宋体" w:cs="Times New Roman"/>
                <w:color w:val="auto"/>
                <w:szCs w:val="21"/>
                <w:highlight w:val="none"/>
              </w:rPr>
            </w:pPr>
          </w:p>
        </w:tc>
        <w:tc>
          <w:tcPr>
            <w:tcW w:w="6333" w:type="dxa"/>
            <w:noWrap w:val="0"/>
            <w:vAlign w:val="center"/>
          </w:tcPr>
          <w:p w14:paraId="68C10890">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A-2</w:t>
            </w:r>
            <w:r>
              <w:rPr>
                <w:rFonts w:hint="eastAsia" w:ascii="宋体" w:hAnsi="宋体" w:cs="Times New Roman"/>
                <w:color w:val="auto"/>
                <w:szCs w:val="21"/>
                <w:highlight w:val="none"/>
                <w:lang w:val="en-US" w:eastAsia="zh-CN"/>
              </w:rPr>
              <w:t>0</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有以下情形之一的，其</w:t>
            </w:r>
            <w:r>
              <w:rPr>
                <w:rFonts w:hint="eastAsia" w:ascii="宋体" w:hAnsi="宋体" w:eastAsia="宋体" w:cs="Times New Roman"/>
                <w:color w:val="auto"/>
                <w:szCs w:val="21"/>
                <w:highlight w:val="none"/>
                <w:lang w:eastAsia="zh-CN"/>
              </w:rPr>
              <w:t>竞标文件</w:t>
            </w:r>
            <w:r>
              <w:rPr>
                <w:rFonts w:hint="eastAsia" w:ascii="宋体" w:hAnsi="宋体" w:eastAsia="宋体" w:cs="Times New Roman"/>
                <w:color w:val="auto"/>
                <w:szCs w:val="21"/>
                <w:highlight w:val="none"/>
              </w:rPr>
              <w:t>由</w:t>
            </w:r>
            <w:r>
              <w:rPr>
                <w:rFonts w:hint="eastAsia" w:ascii="宋体" w:hAnsi="宋体" w:eastAsia="宋体" w:cs="Times New Roman"/>
                <w:color w:val="auto"/>
                <w:szCs w:val="21"/>
                <w:highlight w:val="none"/>
                <w:lang w:eastAsia="zh-CN"/>
              </w:rPr>
              <w:t>评审小组</w:t>
            </w:r>
            <w:r>
              <w:rPr>
                <w:rFonts w:ascii="宋体" w:hAnsi="宋体" w:eastAsia="宋体" w:cs="Times New Roman"/>
                <w:color w:val="auto"/>
                <w:szCs w:val="21"/>
                <w:highlight w:val="none"/>
              </w:rPr>
              <w:t>作否决投标处理</w:t>
            </w:r>
            <w:r>
              <w:rPr>
                <w:rFonts w:hint="eastAsia" w:ascii="宋体" w:hAnsi="宋体" w:eastAsia="宋体" w:cs="Times New Roman"/>
                <w:color w:val="auto"/>
                <w:szCs w:val="21"/>
                <w:highlight w:val="none"/>
              </w:rPr>
              <w:t>：</w:t>
            </w:r>
          </w:p>
          <w:p w14:paraId="5DE91820">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1.第二章“</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须知”第1.4.3项规定的任何一种情形的；</w:t>
            </w:r>
          </w:p>
          <w:p w14:paraId="7BBD093C">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2.本次投标有串通投标、弄虚作假等违反招投标相关法律、法规的行为的；</w:t>
            </w:r>
          </w:p>
          <w:p w14:paraId="6E66CCBE">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3.拒绝按</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要求澄清、说明或补正的。</w:t>
            </w:r>
          </w:p>
        </w:tc>
      </w:tr>
      <w:tr w14:paraId="314052D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noWrap w:val="0"/>
            <w:vAlign w:val="center"/>
          </w:tcPr>
          <w:p w14:paraId="4F6EF7AA">
            <w:pPr>
              <w:spacing w:line="400" w:lineRule="exact"/>
              <w:jc w:val="center"/>
              <w:rPr>
                <w:rFonts w:ascii="宋体" w:hAnsi="宋体" w:eastAsia="宋体" w:cs="Times New Roman"/>
                <w:color w:val="auto"/>
                <w:szCs w:val="21"/>
                <w:highlight w:val="none"/>
              </w:rPr>
            </w:pPr>
            <w:r>
              <w:rPr>
                <w:rFonts w:ascii="宋体" w:hAnsi="宋体" w:eastAsia="宋体" w:cs="Times New Roman"/>
                <w:color w:val="auto"/>
                <w:szCs w:val="21"/>
                <w:highlight w:val="none"/>
              </w:rPr>
              <w:t>其他</w:t>
            </w:r>
          </w:p>
        </w:tc>
        <w:tc>
          <w:tcPr>
            <w:tcW w:w="1899" w:type="dxa"/>
            <w:noWrap w:val="0"/>
            <w:vAlign w:val="center"/>
          </w:tcPr>
          <w:p w14:paraId="769C898F">
            <w:pPr>
              <w:spacing w:line="400" w:lineRule="exact"/>
              <w:jc w:val="center"/>
              <w:rPr>
                <w:rFonts w:ascii="宋体" w:hAnsi="宋体" w:eastAsia="宋体" w:cs="Times New Roman"/>
                <w:color w:val="auto"/>
                <w:szCs w:val="21"/>
                <w:highlight w:val="none"/>
              </w:rPr>
            </w:pPr>
          </w:p>
        </w:tc>
        <w:tc>
          <w:tcPr>
            <w:tcW w:w="6333" w:type="dxa"/>
            <w:noWrap w:val="0"/>
            <w:vAlign w:val="top"/>
          </w:tcPr>
          <w:p w14:paraId="531E7174">
            <w:pPr>
              <w:spacing w:line="400" w:lineRule="exact"/>
              <w:ind w:firstLine="420" w:firstLineChars="200"/>
              <w:rPr>
                <w:rFonts w:hint="eastAsia" w:ascii="宋体" w:hAnsi="宋体" w:eastAsia="宋体" w:cs="Times New Roman"/>
                <w:i/>
                <w:color w:val="auto"/>
                <w:szCs w:val="21"/>
                <w:highlight w:val="none"/>
                <w:lang w:eastAsia="zh-CN"/>
              </w:rPr>
            </w:pPr>
            <w:r>
              <w:rPr>
                <w:rFonts w:hint="eastAsia" w:ascii="宋体" w:hAnsi="宋体" w:eastAsia="宋体" w:cs="Times New Roman"/>
                <w:i w:val="0"/>
                <w:iCs/>
                <w:color w:val="auto"/>
                <w:szCs w:val="21"/>
                <w:highlight w:val="none"/>
                <w:lang w:val="en-US" w:eastAsia="zh-CN"/>
              </w:rPr>
              <w:t>无</w:t>
            </w:r>
          </w:p>
        </w:tc>
      </w:tr>
    </w:tbl>
    <w:p w14:paraId="1B3A6BA9">
      <w:pPr>
        <w:rPr>
          <w:rFonts w:hint="eastAsia" w:ascii="宋体" w:hAnsi="宋体"/>
          <w:color w:val="auto"/>
          <w:kern w:val="0"/>
          <w:highlight w:val="none"/>
        </w:rPr>
      </w:pPr>
      <w:r>
        <w:rPr>
          <w:rFonts w:hint="eastAsia" w:ascii="宋体" w:hAnsi="宋体"/>
          <w:color w:val="auto"/>
          <w:kern w:val="0"/>
          <w:highlight w:val="none"/>
        </w:rPr>
        <w:br w:type="page"/>
      </w:r>
    </w:p>
    <w:p w14:paraId="33123F0B">
      <w:pPr>
        <w:pStyle w:val="2"/>
        <w:spacing w:line="360" w:lineRule="auto"/>
        <w:jc w:val="center"/>
        <w:rPr>
          <w:rFonts w:ascii="宋体" w:hAnsi="宋体"/>
          <w:color w:val="auto"/>
          <w:kern w:val="0"/>
          <w:highlight w:val="none"/>
        </w:rPr>
      </w:pPr>
      <w:bookmarkStart w:id="463" w:name="_Toc16777"/>
      <w:r>
        <w:rPr>
          <w:rFonts w:hint="eastAsia" w:ascii="宋体" w:hAnsi="宋体"/>
          <w:color w:val="auto"/>
          <w:kern w:val="0"/>
          <w:highlight w:val="none"/>
        </w:rPr>
        <w:t>第四章  合同条款及格式</w:t>
      </w:r>
      <w:bookmarkEnd w:id="141"/>
      <w:bookmarkEnd w:id="142"/>
      <w:bookmarkEnd w:id="143"/>
      <w:bookmarkEnd w:id="463"/>
    </w:p>
    <w:p w14:paraId="02FA09AB">
      <w:pPr>
        <w:jc w:val="center"/>
        <w:rPr>
          <w:rFonts w:hint="eastAsia" w:ascii="宋体" w:hAnsi="宋体" w:eastAsia="宋体" w:cs="宋体"/>
          <w:color w:val="auto"/>
          <w:sz w:val="21"/>
          <w:szCs w:val="21"/>
          <w:highlight w:val="none"/>
        </w:rPr>
      </w:pPr>
      <w:r>
        <w:rPr>
          <w:rFonts w:ascii="宋体" w:hAnsi="宋体"/>
          <w:color w:val="auto"/>
          <w:highlight w:val="none"/>
        </w:rPr>
        <w:br w:type="page"/>
      </w:r>
      <w:bookmarkStart w:id="464" w:name="_Toc351203480"/>
      <w:bookmarkStart w:id="465" w:name="_Toc296890982"/>
      <w:bookmarkStart w:id="466" w:name="_Toc296503025"/>
      <w:r>
        <w:rPr>
          <w:rFonts w:hint="eastAsia" w:ascii="方正小标宋_GBK" w:hAnsi="方正小标宋_GBK" w:eastAsia="方正小标宋_GBK" w:cs="方正小标宋_GBK"/>
          <w:color w:val="auto"/>
          <w:sz w:val="44"/>
          <w:szCs w:val="44"/>
          <w:highlight w:val="none"/>
        </w:rPr>
        <w:t>土地</w:t>
      </w:r>
      <w:r>
        <w:rPr>
          <w:rFonts w:hint="eastAsia" w:ascii="方正小标宋_GBK" w:hAnsi="方正小标宋_GBK" w:eastAsia="方正小标宋_GBK" w:cs="方正小标宋_GBK"/>
          <w:color w:val="auto"/>
          <w:sz w:val="44"/>
          <w:szCs w:val="44"/>
          <w:highlight w:val="none"/>
          <w:lang w:val="zh-TW" w:eastAsia="zh-TW"/>
        </w:rPr>
        <w:t>管护</w:t>
      </w:r>
      <w:r>
        <w:rPr>
          <w:rFonts w:hint="eastAsia" w:ascii="方正小标宋_GBK" w:hAnsi="方正小标宋_GBK" w:eastAsia="方正小标宋_GBK" w:cs="方正小标宋_GBK"/>
          <w:color w:val="auto"/>
          <w:sz w:val="44"/>
          <w:szCs w:val="44"/>
          <w:highlight w:val="none"/>
        </w:rPr>
        <w:t>协议</w:t>
      </w:r>
    </w:p>
    <w:p w14:paraId="259883F3">
      <w:pPr>
        <w:jc w:val="center"/>
        <w:rPr>
          <w:rFonts w:hint="eastAsia" w:ascii="宋体" w:hAnsi="宋体" w:eastAsia="宋体" w:cs="宋体"/>
          <w:color w:val="auto"/>
          <w:sz w:val="21"/>
          <w:szCs w:val="21"/>
          <w:highlight w:val="none"/>
          <w:lang w:val="zh-TW" w:eastAsia="zh-TW"/>
        </w:rPr>
      </w:pPr>
    </w:p>
    <w:p w14:paraId="5644C197">
      <w:pPr>
        <w:rPr>
          <w:rFonts w:hint="eastAsia" w:ascii="宋体" w:hAnsi="宋体" w:eastAsia="宋体" w:cs="宋体"/>
          <w:color w:val="auto"/>
          <w:sz w:val="21"/>
          <w:szCs w:val="21"/>
          <w:highlight w:val="none"/>
          <w:lang w:val="zh-TW" w:eastAsia="zh-TW"/>
        </w:rPr>
      </w:pPr>
    </w:p>
    <w:p w14:paraId="62302537">
      <w:pPr>
        <w:spacing w:line="560" w:lineRule="exact"/>
        <w:ind w:firstLine="420" w:firstLineChars="200"/>
        <w:rPr>
          <w:rFonts w:hint="eastAsia" w:ascii="宋体" w:hAnsi="宋体" w:eastAsia="宋体" w:cs="宋体"/>
          <w:color w:val="auto"/>
          <w:sz w:val="21"/>
          <w:szCs w:val="21"/>
          <w:highlight w:val="none"/>
          <w:lang w:val="zh-TW" w:eastAsia="zh-CN"/>
        </w:rPr>
      </w:pPr>
      <w:r>
        <w:rPr>
          <w:rFonts w:hint="eastAsia" w:ascii="宋体" w:hAnsi="宋体" w:eastAsia="宋体" w:cs="宋体"/>
          <w:color w:val="auto"/>
          <w:sz w:val="21"/>
          <w:szCs w:val="21"/>
          <w:highlight w:val="none"/>
          <w:lang w:val="zh-TW"/>
        </w:rPr>
        <w:t>甲方：</w:t>
      </w:r>
      <w:r>
        <w:rPr>
          <w:rFonts w:hint="eastAsia" w:ascii="宋体" w:hAnsi="宋体" w:eastAsia="宋体" w:cs="宋体"/>
          <w:color w:val="auto"/>
          <w:sz w:val="21"/>
          <w:szCs w:val="21"/>
          <w:highlight w:val="none"/>
          <w:lang w:val="zh-TW" w:eastAsia="zh-CN"/>
        </w:rPr>
        <w:t>重庆广阳湾生态城投资发展集团有限公司</w:t>
      </w:r>
    </w:p>
    <w:p w14:paraId="67F39086">
      <w:pPr>
        <w:spacing w:line="560" w:lineRule="exact"/>
        <w:ind w:firstLine="420" w:firstLineChars="200"/>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rPr>
        <w:t>乙方：</w:t>
      </w:r>
      <w:r>
        <w:rPr>
          <w:rFonts w:hint="eastAsia" w:ascii="宋体" w:hAnsi="宋体" w:eastAsia="宋体" w:cs="宋体"/>
          <w:color w:val="auto"/>
          <w:sz w:val="21"/>
          <w:szCs w:val="21"/>
          <w:highlight w:val="none"/>
          <w:lang w:val="zh-TW" w:eastAsia="zh-TW"/>
        </w:rPr>
        <w:t xml:space="preserve"> </w:t>
      </w:r>
    </w:p>
    <w:p w14:paraId="5C1CEB5A">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为了加强对区域土地的管护，根据《中华人民共和国民法典》的有关规定和双方约定，            （以下简称“甲方”）就        (以下简称“土地”)管护事宜与       （以下简称“乙方”）达成一致意见，签订本协议，双方共同遵守执行。</w:t>
      </w:r>
    </w:p>
    <w:p w14:paraId="4D792EA5">
      <w:pPr>
        <w:spacing w:line="560" w:lineRule="exact"/>
        <w:ind w:firstLine="420" w:firstLineChars="200"/>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rPr>
        <w:t>第一条  管护范围及内容</w:t>
      </w:r>
      <w:r>
        <w:rPr>
          <w:rFonts w:hint="eastAsia" w:ascii="宋体" w:hAnsi="宋体" w:eastAsia="宋体" w:cs="宋体"/>
          <w:color w:val="auto"/>
          <w:sz w:val="21"/>
          <w:szCs w:val="21"/>
          <w:highlight w:val="none"/>
          <w:lang w:val="zh-TW" w:eastAsia="zh-TW"/>
        </w:rPr>
        <w:tab/>
      </w:r>
    </w:p>
    <w:p w14:paraId="21E8692A">
      <w:pPr>
        <w:spacing w:line="560" w:lineRule="exact"/>
        <w:ind w:firstLine="420" w:firstLineChars="200"/>
        <w:rPr>
          <w:rFonts w:hint="eastAsia" w:ascii="宋体" w:hAnsi="宋体" w:eastAsia="宋体" w:cs="宋体"/>
          <w:color w:val="auto"/>
          <w:sz w:val="21"/>
          <w:szCs w:val="21"/>
          <w:highlight w:val="none"/>
          <w:lang w:val="zh-TW"/>
        </w:rPr>
      </w:pPr>
      <w:r>
        <w:rPr>
          <w:rFonts w:hint="eastAsia" w:ascii="宋体" w:hAnsi="宋体" w:eastAsia="宋体" w:cs="宋体"/>
          <w:color w:val="auto"/>
          <w:sz w:val="21"/>
          <w:szCs w:val="21"/>
          <w:highlight w:val="none"/>
        </w:rPr>
        <w:t>（一）管护</w:t>
      </w:r>
      <w:r>
        <w:rPr>
          <w:rFonts w:hint="eastAsia" w:ascii="宋体" w:hAnsi="宋体" w:eastAsia="宋体" w:cs="宋体"/>
          <w:color w:val="auto"/>
          <w:sz w:val="21"/>
          <w:szCs w:val="21"/>
          <w:highlight w:val="none"/>
          <w:lang w:val="zh-TW" w:eastAsia="zh-TW"/>
        </w:rPr>
        <w:t>项目名称：</w:t>
      </w:r>
    </w:p>
    <w:p w14:paraId="3B7ADF97">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（二）管护规模</w:t>
      </w:r>
      <w:r>
        <w:rPr>
          <w:rFonts w:hint="eastAsia" w:ascii="宋体" w:hAnsi="宋体" w:eastAsia="宋体" w:cs="宋体"/>
          <w:color w:val="auto"/>
          <w:sz w:val="21"/>
          <w:szCs w:val="21"/>
          <w:highlight w:val="none"/>
          <w:lang w:val="zh-TW" w:eastAsia="zh-TW"/>
        </w:rPr>
        <w:t>：</w:t>
      </w:r>
      <w:r>
        <w:rPr>
          <w:rFonts w:hint="eastAsia" w:ascii="宋体" w:hAnsi="宋体" w:eastAsia="宋体" w:cs="宋体"/>
          <w:color w:val="auto"/>
          <w:sz w:val="21"/>
          <w:szCs w:val="21"/>
          <w:highlight w:val="none"/>
        </w:rPr>
        <w:t>面积    亩。（最终以双方核定面积为准），位于      区域。</w:t>
      </w:r>
    </w:p>
    <w:p w14:paraId="0A1F7C6A">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（三）乙方对该区域土地进行看护、环境保护及安全管理等。</w:t>
      </w:r>
    </w:p>
    <w:p w14:paraId="126B808F">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（四）甲方有权单方面调整管护范围，无需取得乙方同意，以书面通知为准，乙方需无条件接受；调整管护范围的结算单价以本协议单价为准计算费用，乙方不得另行追偿。</w:t>
      </w:r>
    </w:p>
    <w:p w14:paraId="6BD990EE">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第二条  管护期限</w:t>
      </w:r>
    </w:p>
    <w:p w14:paraId="411270FB">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（一）管护期限暂定为1年，从  年 月  日起至    年月 日止（管护结束时间以甲方书面通知结束之日为准）。若甲方因用地需要提前收回管护权，乙方无条件将土地按原貌交还给甲方。</w:t>
      </w:r>
    </w:p>
    <w:p w14:paraId="4C0CD222">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（二）本协议服务期满，未经甲方同意不能擅自离场，否则，甲方有权扣除乙方的履约保证金。</w:t>
      </w:r>
    </w:p>
    <w:p w14:paraId="719BC435">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第三条  进场要求</w:t>
      </w:r>
    </w:p>
    <w:p w14:paraId="37CA9327">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（一）人员配置：</w:t>
      </w:r>
    </w:p>
    <w:p w14:paraId="09778536">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乙方指定土地管护总负责人及派备足额人员对土地管护区域进行24小时巡逻，且须提前将人员安排情况交甲方备案。乙方工作人员若有增、减或调整，乙方应当提前三个工作日告知甲方。</w:t>
      </w:r>
    </w:p>
    <w:p w14:paraId="2BB2F7EA">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（二）设备配置</w:t>
      </w:r>
    </w:p>
    <w:p w14:paraId="6B2FBCF4">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在管护范围附近必须有值班岗亭，岗亭内必须配备合格灭火器、强光手电、安全警示带、锥形桶等设备，岗亭搭建、接水电、购买设备所产生的费用由乙方负责，日常巡查制度与管理安全措施必须在值班岗亭外显眼处张贴。合同签定一周内，相应设备必须全部配备到位，每缺少一项，甲方按500元/项扣除乙方的管护费用作为违约金。</w:t>
      </w:r>
    </w:p>
    <w:p w14:paraId="34D7F26F">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第四条  委托管护服务费用及支付方式</w:t>
      </w:r>
    </w:p>
    <w:p w14:paraId="1DD33003">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（一）管护服务费标准。</w:t>
      </w:r>
    </w:p>
    <w:p w14:paraId="70205F6D">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管护费用以中标价为包干价计价。（人民币： X元/亩/年）。乙方向甲方开具增值税专用发票，以实际管护亩数据实开具发票并进行结算。</w:t>
      </w:r>
    </w:p>
    <w:p w14:paraId="74BA455F">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（二）结算原则</w:t>
      </w:r>
    </w:p>
    <w:p w14:paraId="3444AA7F">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1.结算单价：按单价进行结算，且固定不变，不因市场因素作任何调整。</w:t>
      </w:r>
    </w:p>
    <w:p w14:paraId="45E8D2CC">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此单价为乙方进行管护所需的一切费用，包括且不限于以下内容：人员工资、劳动保障、劳动用品、安全风险、工具设备及其维修加班和突发处置费用等作业成本以及适当的管理费用、利润、税金、风险等。</w:t>
      </w:r>
    </w:p>
    <w:p w14:paraId="39555910">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2.计量原则：按照实际管护面积及管护时间进行计量</w:t>
      </w:r>
    </w:p>
    <w:p w14:paraId="7CDD48C6">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3.因自然灾害等不可抗力产生的破坏，需要进行整改的，其所需费用超过2000元/次另行计算，但乙方无正当理由不得拒绝甲方安排的整改工作。</w:t>
      </w:r>
    </w:p>
    <w:p w14:paraId="70D577D6">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4.结算价款：</w:t>
      </w:r>
    </w:p>
    <w:p w14:paraId="60BC4ADA">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结算价款=（单价*管护时间*实际管护面积-当月考核扣减金额。</w:t>
      </w:r>
    </w:p>
    <w:p w14:paraId="66D83DAE">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（三）支付方式。</w:t>
      </w:r>
    </w:p>
    <w:p w14:paraId="64528551">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签订协议后第二个月的第15日内支付前一个月管护费用，乙方向甲方开具相应增值税专用发票。</w:t>
      </w:r>
    </w:p>
    <w:p w14:paraId="7AF8407E">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（四）若因国家建设或甲方需要提前解除合同,甲方有权单方面解除合同，费用应按实际管护的时间结算。</w:t>
      </w:r>
    </w:p>
    <w:p w14:paraId="04C035CB">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第五条 履约保证金</w:t>
      </w:r>
    </w:p>
    <w:p w14:paraId="0F65522B">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乙方向甲方一次性支付人民币  万元作为履约保证金，管护到期验收合格后在15个工作日内一次性无息退还。</w:t>
      </w:r>
    </w:p>
    <w:p w14:paraId="3A5D8694">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第六条 双方责任</w:t>
      </w:r>
    </w:p>
    <w:p w14:paraId="693D63B5">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（一）甲方责任</w:t>
      </w:r>
    </w:p>
    <w:p w14:paraId="5295B7B8">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1.负责提供乙方管护的地块位置、地块边界红线、土地面积，与乙方现场清点、核对后签订《土地移交管护备忘录》。</w:t>
      </w:r>
    </w:p>
    <w:p w14:paraId="3DE6FB85">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2.收回地块时，与乙方到现场进行现场清点、核对，无误后签订《土地交回管护权备忘录》。</w:t>
      </w:r>
    </w:p>
    <w:p w14:paraId="2AFFCD8A">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3.有权对管护土地区域进行跟踪动态监督。</w:t>
      </w:r>
    </w:p>
    <w:p w14:paraId="74A452F3">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4.按合同约定支付管护费用。</w:t>
      </w:r>
    </w:p>
    <w:p w14:paraId="6C7CC80B">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（二）乙方责任</w:t>
      </w:r>
    </w:p>
    <w:p w14:paraId="36DF819F">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乙方代为甲方履行土地管护职责，负责土地管护具体工作：包括但不限于以下事项：</w:t>
      </w:r>
    </w:p>
    <w:p w14:paraId="54CD366B">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1.各类现场问题协调、处置，如非法侵占、乱倾乱倒、安全管理、信访投诉、图斑整改等；</w:t>
      </w:r>
    </w:p>
    <w:p w14:paraId="61FC50ED">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2.建立管护巡查台账、影像记录，留存备查。</w:t>
      </w:r>
    </w:p>
    <w:p w14:paraId="1A96A82D">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3.保护土地上甲方指定的基础设施、建（构）筑物等；</w:t>
      </w:r>
    </w:p>
    <w:p w14:paraId="13AF2BC4">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4.甲方向第三方移交或收回土地时，乙方应到场配合交地，甲方任何时候向第三方移交或收回土地时，乙方都应保证该土地内无其他异常问题。</w:t>
      </w:r>
    </w:p>
    <w:p w14:paraId="63C9CC4E">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5.因土地管护导致的一切责任由乙方承担（包括但不限于安全、环保、工伤、劳务纠纷等）。</w:t>
      </w:r>
    </w:p>
    <w:p w14:paraId="0D6BAFB9">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第七条  违约责任</w:t>
      </w:r>
    </w:p>
    <w:p w14:paraId="15163CC7">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（一）若甲方未能按合同约定向乙方支付管护服务费用的，按应付管护服务费用金额每日万分之一计算向乙方支付违约金。</w:t>
      </w:r>
    </w:p>
    <w:p w14:paraId="1EC3C548">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若乙方未按合同第六条第（二）款1-5项的约定履行义务，每发生一次，乙方应当按管护服务费年总额的千分之一向甲方支付违约金，发现三次或以上的甲方有权解除合同并有权要求乙方按管护土地的管护服务费用年总额的百分之二十支付违约金。如因乙方原因，导致甲方不能按时按照向乙方交地前的土地的状态向第三方移交土地的，每延迟一天移交土地，乙方须按   元/天向甲方支付土地占用损失。如甲方受到的实际损失超出乙方应当支付的违约金的，甲方有权要求乙方进行赔偿。</w:t>
      </w:r>
    </w:p>
    <w:p w14:paraId="56AF1C8A">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未依约履责，导致委托土地出现被侵占、已有建筑被破坏等不利情况的，甲方因此而产生的整改费用、向第三方承担的违约责任或赔偿责任以及甲方因上述原因向第三方维权追索产生的费用损失（含律师费、诉讼费等）等，由乙方承担。</w:t>
      </w:r>
    </w:p>
    <w:p w14:paraId="13F6D14D">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第八条  其他约定</w:t>
      </w:r>
    </w:p>
    <w:p w14:paraId="4CDCE003">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1.乙方必须具有足够的资金周转能力，乙方不得以任何理由影响、拖延和停止养护，由此产生的一切后果由乙方承担。</w:t>
      </w:r>
    </w:p>
    <w:p w14:paraId="49A618E5">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2.如甲方在乙方管护范围内存放物品、机具，乙方有义务进行管护，如因乙方管理不到位造成存放物品、机具损毁、遗失的，相关维修、重新购买的费用由乙方承担。</w:t>
      </w:r>
    </w:p>
    <w:p w14:paraId="589D7962">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3.乙方负责其工作人员的管理，其工作人员发生的任何劳动纠纷均与甲方无关，由乙方自行解决。</w:t>
      </w:r>
    </w:p>
    <w:p w14:paraId="1645B75D">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4.乙方负责办理本项目的工作人员的财产、人身安全等保险业务，并承担相应费用，其工作人员发生的任何伤亡事故与甲方无关，由乙方自行处置。</w:t>
      </w:r>
    </w:p>
    <w:p w14:paraId="74D81B18">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5.乙方必须按照国家和重庆市的相关规定完善本公司所有工作人员的社会保险（如养老保险、工伤保险等）。</w:t>
      </w:r>
    </w:p>
    <w:p w14:paraId="2EF819DC">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在工作中应服从甲方的安排和调动，若因乙方原因未按时、按质完成甲方工作安排内容的，甲方有权安排其他公司或人员完成，乙方应当按照所产生费用的二倍向甲方承担违约赔偿责任，同时甲方有权从乙方的管理费中直接扣除上述违约金。</w:t>
      </w:r>
    </w:p>
    <w:p w14:paraId="26A9FDC3">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在乙方管理的责任区内，因乙方管理巡查不到位，未及时排除安全隐患或未及时安放警示标志，无论何种原因造成第三方生命及财产损失的情况，由乙方承担相应的赔偿费用，与甲方无关。若甲方因此对第三方承担赔偿责任的，甲方有权向乙方追偿，追偿范围包括但不限于赔偿金、甲方因承担赔偿责任和向乙方追偿所产生的律师费、诉讼费、交通费等一切费用。</w:t>
      </w:r>
    </w:p>
    <w:p w14:paraId="4765784B">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8.乙方在工作区内的活动仅限于本合同约定的内容，未经甲方许可，乙方不得在工作区内从事与本合同无关的经营活动。</w:t>
      </w:r>
    </w:p>
    <w:p w14:paraId="233B7E6D">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9.甲方地址:  </w:t>
      </w:r>
    </w:p>
    <w:p w14:paraId="702E7415">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联系人：              ；联系电话：                     </w:t>
      </w:r>
    </w:p>
    <w:p w14:paraId="480BEEA6">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乙方地址:  </w:t>
      </w:r>
    </w:p>
    <w:p w14:paraId="591ECA14">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联系人：              ；联系电话：                                </w:t>
      </w:r>
    </w:p>
    <w:p w14:paraId="28C82BCD">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在履行本合同过程中所发出的函件，可直接送达，也可邮寄，邮寄应以特快专递按本上列通信地址寄发。从发出之日起第五日视为收到。当一方通信地址发生变动的，应当提前书面通知对方，否则原通信地址仍有效，按原地址寄发的文件视为成功送达。</w:t>
      </w:r>
    </w:p>
    <w:p w14:paraId="27D47A92">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本合同履行过程中，合同当事人依法、依约发出的解除合同书面通知自送达对方之日起生效。</w:t>
      </w:r>
    </w:p>
    <w:p w14:paraId="014D1031">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10.本合同自双方签章之日起生效。其他未明确事宜，双方另行协商。</w:t>
      </w:r>
    </w:p>
    <w:p w14:paraId="657D4DCE">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11.本合同一式陆份，甲乙双方各执叁份，具有同等法律效力。</w:t>
      </w:r>
    </w:p>
    <w:p w14:paraId="259B3E81">
      <w:pPr>
        <w:rPr>
          <w:color w:val="auto"/>
          <w:highlight w:val="none"/>
        </w:rPr>
      </w:pPr>
    </w:p>
    <w:p w14:paraId="0934123E">
      <w:pPr>
        <w:rPr>
          <w:color w:val="auto"/>
          <w:highlight w:val="none"/>
        </w:rPr>
      </w:pPr>
      <w:r>
        <w:rPr>
          <w:color w:val="auto"/>
          <w:highlight w:val="none"/>
        </w:rPr>
        <w:t>附件</w:t>
      </w:r>
      <w:r>
        <w:rPr>
          <w:rFonts w:hint="eastAsia"/>
          <w:color w:val="auto"/>
          <w:highlight w:val="none"/>
        </w:rPr>
        <w:t>1</w:t>
      </w:r>
      <w:r>
        <w:rPr>
          <w:color w:val="auto"/>
          <w:highlight w:val="none"/>
        </w:rPr>
        <w:t>：</w:t>
      </w:r>
      <w:r>
        <w:rPr>
          <w:rFonts w:hint="eastAsia"/>
          <w:color w:val="auto"/>
          <w:highlight w:val="none"/>
        </w:rPr>
        <w:t>土地管护范围</w:t>
      </w:r>
      <w:r>
        <w:rPr>
          <w:color w:val="auto"/>
          <w:highlight w:val="none"/>
        </w:rPr>
        <w:t>示意图</w:t>
      </w:r>
    </w:p>
    <w:p w14:paraId="05437069">
      <w:pPr>
        <w:rPr>
          <w:color w:val="auto"/>
          <w:highlight w:val="none"/>
        </w:rPr>
      </w:pPr>
      <w:r>
        <w:rPr>
          <w:color w:val="auto"/>
          <w:highlight w:val="none"/>
        </w:rPr>
        <w:t>附</w:t>
      </w:r>
      <w:r>
        <w:rPr>
          <w:rFonts w:hint="eastAsia"/>
          <w:color w:val="auto"/>
          <w:highlight w:val="none"/>
        </w:rPr>
        <w:t>件2：</w:t>
      </w:r>
      <w:r>
        <w:rPr>
          <w:rFonts w:hint="eastAsia"/>
          <w:bCs/>
          <w:color w:val="auto"/>
          <w:highlight w:val="none"/>
        </w:rPr>
        <w:t>绩效考核打分表</w:t>
      </w:r>
    </w:p>
    <w:p w14:paraId="31860F2F">
      <w:pPr>
        <w:ind w:firstLine="0" w:firstLineChars="0"/>
        <w:rPr>
          <w:color w:val="auto"/>
          <w:highlight w:val="none"/>
        </w:rPr>
      </w:pPr>
    </w:p>
    <w:p w14:paraId="09366C61">
      <w:pPr>
        <w:ind w:firstLine="0" w:firstLineChars="0"/>
        <w:rPr>
          <w:color w:val="auto"/>
          <w:highlight w:val="none"/>
        </w:rPr>
      </w:pPr>
    </w:p>
    <w:p w14:paraId="753DB395">
      <w:pPr>
        <w:ind w:firstLine="0" w:firstLineChars="0"/>
        <w:rPr>
          <w:color w:val="auto"/>
          <w:highlight w:val="none"/>
        </w:rPr>
      </w:pPr>
    </w:p>
    <w:p w14:paraId="649D9561">
      <w:pPr>
        <w:ind w:firstLine="0" w:firstLineChars="0"/>
        <w:rPr>
          <w:rFonts w:hint="eastAsia"/>
          <w:color w:val="auto"/>
          <w:highlight w:val="none"/>
        </w:rPr>
      </w:pPr>
    </w:p>
    <w:p w14:paraId="42BE8DCC">
      <w:pPr>
        <w:ind w:firstLine="0" w:firstLineChars="0"/>
        <w:rPr>
          <w:rFonts w:hint="eastAsia"/>
          <w:color w:val="auto"/>
          <w:highlight w:val="none"/>
        </w:rPr>
      </w:pPr>
    </w:p>
    <w:p w14:paraId="50FF2E9C">
      <w:pPr>
        <w:ind w:firstLine="0" w:firstLineChars="0"/>
        <w:rPr>
          <w:rFonts w:hint="eastAsia"/>
          <w:color w:val="auto"/>
          <w:highlight w:val="none"/>
        </w:rPr>
      </w:pPr>
    </w:p>
    <w:p w14:paraId="47F3D847">
      <w:pPr>
        <w:ind w:firstLine="0" w:firstLineChars="0"/>
        <w:rPr>
          <w:rFonts w:hint="eastAsia"/>
          <w:color w:val="auto"/>
          <w:highlight w:val="none"/>
        </w:rPr>
      </w:pPr>
    </w:p>
    <w:p w14:paraId="0E3DD4B1">
      <w:pPr>
        <w:ind w:firstLine="0" w:firstLineChars="0"/>
        <w:rPr>
          <w:rFonts w:hint="eastAsia"/>
          <w:color w:val="auto"/>
          <w:highlight w:val="none"/>
        </w:rPr>
      </w:pPr>
    </w:p>
    <w:p w14:paraId="030873D4">
      <w:pPr>
        <w:ind w:firstLine="0" w:firstLineChars="0"/>
        <w:rPr>
          <w:rFonts w:hint="eastAsia"/>
          <w:color w:val="auto"/>
          <w:highlight w:val="none"/>
        </w:rPr>
      </w:pPr>
    </w:p>
    <w:p w14:paraId="79663EDC">
      <w:pPr>
        <w:ind w:firstLine="0" w:firstLineChars="0"/>
        <w:rPr>
          <w:color w:val="auto"/>
          <w:highlight w:val="none"/>
        </w:rPr>
      </w:pPr>
      <w:r>
        <w:rPr>
          <w:rFonts w:hint="eastAsia"/>
          <w:color w:val="auto"/>
          <w:highlight w:val="none"/>
        </w:rPr>
        <w:t>以下为签署页。</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3EF2E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9264B76">
            <w:pPr>
              <w:ind w:firstLine="0" w:firstLineChars="0"/>
              <w:rPr>
                <w:color w:val="auto"/>
                <w:highlight w:val="none"/>
              </w:rPr>
            </w:pPr>
            <w:r>
              <w:rPr>
                <w:rFonts w:hint="eastAsia"/>
                <w:color w:val="auto"/>
                <w:highlight w:val="none"/>
              </w:rPr>
              <w:t>甲方：           （盖章）</w:t>
            </w:r>
          </w:p>
          <w:p w14:paraId="2D29D9C4">
            <w:pPr>
              <w:ind w:firstLine="0" w:firstLineChars="0"/>
              <w:rPr>
                <w:color w:val="auto"/>
                <w:highlight w:val="none"/>
              </w:rPr>
            </w:pPr>
          </w:p>
          <w:p w14:paraId="3993FD42">
            <w:pPr>
              <w:ind w:firstLine="0" w:firstLineChars="0"/>
              <w:rPr>
                <w:color w:val="auto"/>
                <w:highlight w:val="none"/>
              </w:rPr>
            </w:pPr>
            <w:r>
              <w:rPr>
                <w:rFonts w:hint="eastAsia"/>
                <w:color w:val="auto"/>
                <w:highlight w:val="none"/>
              </w:rPr>
              <w:t>法定代表人：</w:t>
            </w:r>
          </w:p>
          <w:p w14:paraId="509554FB">
            <w:pPr>
              <w:ind w:firstLine="0" w:firstLineChars="0"/>
              <w:rPr>
                <w:color w:val="auto"/>
                <w:highlight w:val="none"/>
              </w:rPr>
            </w:pPr>
            <w:r>
              <w:rPr>
                <w:color w:val="auto"/>
                <w:highlight w:val="none"/>
              </w:rPr>
              <w:t>经</w:t>
            </w:r>
            <w:r>
              <w:rPr>
                <w:rFonts w:hint="eastAsia"/>
                <w:color w:val="auto"/>
                <w:highlight w:val="none"/>
              </w:rPr>
              <w:t>办部门</w:t>
            </w:r>
            <w:r>
              <w:rPr>
                <w:color w:val="auto"/>
                <w:highlight w:val="none"/>
              </w:rPr>
              <w:t>：</w:t>
            </w:r>
            <w:r>
              <w:rPr>
                <w:rFonts w:hint="eastAsia"/>
                <w:color w:val="auto"/>
                <w:highlight w:val="none"/>
              </w:rPr>
              <w:t xml:space="preserve"> </w:t>
            </w:r>
          </w:p>
          <w:p w14:paraId="4742735E">
            <w:pPr>
              <w:ind w:firstLine="0" w:firstLineChars="0"/>
              <w:rPr>
                <w:color w:val="auto"/>
                <w:highlight w:val="none"/>
              </w:rPr>
            </w:pPr>
            <w:r>
              <w:rPr>
                <w:color w:val="auto"/>
                <w:highlight w:val="none"/>
              </w:rPr>
              <w:t>经</w:t>
            </w:r>
            <w:r>
              <w:rPr>
                <w:rFonts w:hint="eastAsia"/>
                <w:color w:val="auto"/>
                <w:highlight w:val="none"/>
              </w:rPr>
              <w:t>办人</w:t>
            </w:r>
            <w:r>
              <w:rPr>
                <w:color w:val="auto"/>
                <w:highlight w:val="none"/>
              </w:rPr>
              <w:t>：</w:t>
            </w:r>
          </w:p>
          <w:p w14:paraId="2797210E">
            <w:pPr>
              <w:ind w:firstLine="0" w:firstLineChars="0"/>
              <w:rPr>
                <w:color w:val="auto"/>
                <w:highlight w:val="none"/>
              </w:rPr>
            </w:pPr>
            <w:r>
              <w:rPr>
                <w:rFonts w:hint="eastAsia"/>
                <w:color w:val="auto"/>
                <w:highlight w:val="none"/>
              </w:rPr>
              <w:t xml:space="preserve">电话： </w:t>
            </w:r>
          </w:p>
          <w:p w14:paraId="36009FE5">
            <w:pPr>
              <w:ind w:firstLine="0" w:firstLineChars="0"/>
              <w:rPr>
                <w:color w:val="auto"/>
                <w:highlight w:val="none"/>
              </w:rPr>
            </w:pPr>
            <w:r>
              <w:rPr>
                <w:rFonts w:hint="eastAsia"/>
                <w:color w:val="auto"/>
                <w:highlight w:val="none"/>
              </w:rPr>
              <w:t>地址：</w:t>
            </w:r>
            <w:r>
              <w:rPr>
                <w:color w:val="auto"/>
                <w:highlight w:val="none"/>
              </w:rPr>
              <w:t>重庆市南岸区</w:t>
            </w:r>
            <w:r>
              <w:rPr>
                <w:rFonts w:hint="eastAsia"/>
                <w:color w:val="auto"/>
                <w:highlight w:val="none"/>
              </w:rPr>
              <w:t>江桥路1号附1号</w:t>
            </w:r>
          </w:p>
          <w:p w14:paraId="5102E809">
            <w:pPr>
              <w:ind w:firstLine="0" w:firstLineChars="0"/>
              <w:rPr>
                <w:color w:val="auto"/>
                <w:highlight w:val="none"/>
              </w:rPr>
            </w:pPr>
            <w:r>
              <w:rPr>
                <w:rFonts w:hint="eastAsia"/>
                <w:color w:val="auto"/>
                <w:highlight w:val="none"/>
              </w:rPr>
              <w:t>开户银行：重庆三峡银行股份有限公司茶园支行</w:t>
            </w:r>
          </w:p>
          <w:p w14:paraId="64D441E6">
            <w:pPr>
              <w:ind w:firstLine="0" w:firstLineChars="0"/>
              <w:rPr>
                <w:color w:val="auto"/>
                <w:highlight w:val="none"/>
              </w:rPr>
            </w:pPr>
            <w:r>
              <w:rPr>
                <w:rFonts w:hint="eastAsia"/>
                <w:color w:val="auto"/>
                <w:highlight w:val="none"/>
              </w:rPr>
              <w:t>账号：0131014210001208</w:t>
            </w:r>
          </w:p>
          <w:p w14:paraId="643D6D94">
            <w:pPr>
              <w:ind w:firstLine="0" w:firstLineChars="0"/>
              <w:rPr>
                <w:color w:val="auto"/>
                <w:highlight w:val="none"/>
              </w:rPr>
            </w:pPr>
            <w:r>
              <w:rPr>
                <w:rFonts w:hint="eastAsia"/>
                <w:color w:val="auto"/>
                <w:highlight w:val="none"/>
              </w:rPr>
              <w:t>电  话：</w:t>
            </w:r>
            <w:r>
              <w:rPr>
                <w:color w:val="auto"/>
                <w:highlight w:val="none"/>
              </w:rPr>
              <w:t>6277 4971</w:t>
            </w:r>
          </w:p>
          <w:p w14:paraId="23A1B3CA">
            <w:pPr>
              <w:ind w:firstLine="0" w:firstLineChars="0"/>
              <w:rPr>
                <w:color w:val="auto"/>
                <w:highlight w:val="none"/>
              </w:rPr>
            </w:pPr>
            <w:r>
              <w:rPr>
                <w:rFonts w:hint="eastAsia"/>
                <w:color w:val="auto"/>
                <w:highlight w:val="none"/>
              </w:rPr>
              <w:t>传  真：</w:t>
            </w:r>
          </w:p>
          <w:p w14:paraId="0D7B0AE0">
            <w:pPr>
              <w:ind w:firstLine="0" w:firstLineChars="0"/>
              <w:rPr>
                <w:color w:val="auto"/>
                <w:highlight w:val="none"/>
              </w:rPr>
            </w:pPr>
          </w:p>
          <w:p w14:paraId="445CF995">
            <w:pPr>
              <w:ind w:firstLine="0" w:firstLineChars="0"/>
              <w:rPr>
                <w:color w:val="auto"/>
                <w:highlight w:val="none"/>
              </w:rPr>
            </w:pPr>
            <w:r>
              <w:rPr>
                <w:rFonts w:hint="eastAsia"/>
                <w:color w:val="auto"/>
                <w:highlight w:val="none"/>
              </w:rPr>
              <w:t>2024年   月   日</w:t>
            </w:r>
          </w:p>
        </w:tc>
        <w:tc>
          <w:tcPr>
            <w:tcW w:w="4261" w:type="dxa"/>
          </w:tcPr>
          <w:p w14:paraId="489E28B4">
            <w:pPr>
              <w:ind w:firstLine="0" w:firstLineChars="0"/>
              <w:rPr>
                <w:color w:val="auto"/>
                <w:highlight w:val="none"/>
              </w:rPr>
            </w:pPr>
            <w:r>
              <w:rPr>
                <w:rFonts w:hint="eastAsia"/>
                <w:color w:val="auto"/>
                <w:highlight w:val="none"/>
              </w:rPr>
              <w:t>乙方：          （盖章）</w:t>
            </w:r>
          </w:p>
          <w:p w14:paraId="768C608C">
            <w:pPr>
              <w:ind w:firstLine="0" w:firstLineChars="0"/>
              <w:rPr>
                <w:color w:val="auto"/>
                <w:highlight w:val="none"/>
              </w:rPr>
            </w:pPr>
          </w:p>
          <w:p w14:paraId="0260CEED">
            <w:pPr>
              <w:ind w:firstLine="0" w:firstLineChars="0"/>
              <w:rPr>
                <w:color w:val="auto"/>
                <w:highlight w:val="none"/>
              </w:rPr>
            </w:pPr>
            <w:r>
              <w:rPr>
                <w:rFonts w:hint="eastAsia"/>
                <w:color w:val="auto"/>
                <w:highlight w:val="none"/>
              </w:rPr>
              <w:t>法定代表人：</w:t>
            </w:r>
          </w:p>
          <w:p w14:paraId="56EF1B82">
            <w:pPr>
              <w:ind w:firstLine="0" w:firstLineChars="0"/>
              <w:rPr>
                <w:color w:val="auto"/>
                <w:highlight w:val="none"/>
              </w:rPr>
            </w:pPr>
            <w:r>
              <w:rPr>
                <w:rFonts w:hint="eastAsia"/>
                <w:color w:val="auto"/>
                <w:highlight w:val="none"/>
              </w:rPr>
              <w:t>经办部门：</w:t>
            </w:r>
          </w:p>
          <w:p w14:paraId="2DFF3A06">
            <w:pPr>
              <w:ind w:firstLine="0" w:firstLineChars="0"/>
              <w:rPr>
                <w:color w:val="auto"/>
                <w:highlight w:val="none"/>
              </w:rPr>
            </w:pPr>
            <w:r>
              <w:rPr>
                <w:rFonts w:hint="eastAsia"/>
                <w:color w:val="auto"/>
                <w:highlight w:val="none"/>
              </w:rPr>
              <w:t xml:space="preserve">经办人： </w:t>
            </w:r>
          </w:p>
          <w:p w14:paraId="3361C2F6">
            <w:pPr>
              <w:ind w:firstLine="0" w:firstLineChars="0"/>
              <w:rPr>
                <w:color w:val="auto"/>
                <w:highlight w:val="none"/>
              </w:rPr>
            </w:pPr>
            <w:r>
              <w:rPr>
                <w:rFonts w:hint="eastAsia"/>
                <w:color w:val="auto"/>
                <w:highlight w:val="none"/>
              </w:rPr>
              <w:t>电话：</w:t>
            </w:r>
            <w:r>
              <w:rPr>
                <w:color w:val="auto"/>
                <w:highlight w:val="none"/>
              </w:rPr>
              <w:t xml:space="preserve"> </w:t>
            </w:r>
          </w:p>
          <w:p w14:paraId="4881157C">
            <w:pPr>
              <w:ind w:firstLine="0" w:firstLineChars="0"/>
              <w:rPr>
                <w:color w:val="auto"/>
                <w:highlight w:val="none"/>
              </w:rPr>
            </w:pPr>
            <w:r>
              <w:rPr>
                <w:rFonts w:hint="eastAsia"/>
                <w:color w:val="auto"/>
                <w:highlight w:val="none"/>
              </w:rPr>
              <w:t>地址：</w:t>
            </w:r>
          </w:p>
          <w:p w14:paraId="1B21FFC7">
            <w:pPr>
              <w:ind w:firstLine="0" w:firstLineChars="0"/>
              <w:rPr>
                <w:color w:val="auto"/>
                <w:highlight w:val="none"/>
              </w:rPr>
            </w:pPr>
            <w:r>
              <w:rPr>
                <w:rFonts w:hint="eastAsia"/>
                <w:color w:val="auto"/>
                <w:highlight w:val="none"/>
              </w:rPr>
              <w:t xml:space="preserve">开户银行： </w:t>
            </w:r>
          </w:p>
          <w:p w14:paraId="025E44F2">
            <w:pPr>
              <w:ind w:firstLine="0" w:firstLineChars="0"/>
              <w:rPr>
                <w:color w:val="auto"/>
                <w:highlight w:val="none"/>
              </w:rPr>
            </w:pPr>
            <w:r>
              <w:rPr>
                <w:rFonts w:hint="eastAsia"/>
                <w:color w:val="auto"/>
                <w:highlight w:val="none"/>
              </w:rPr>
              <w:t>账号：</w:t>
            </w:r>
            <w:r>
              <w:rPr>
                <w:color w:val="auto"/>
                <w:highlight w:val="none"/>
              </w:rPr>
              <w:t xml:space="preserve"> </w:t>
            </w:r>
          </w:p>
          <w:p w14:paraId="7587AE9C">
            <w:pPr>
              <w:ind w:firstLine="0" w:firstLineChars="0"/>
              <w:rPr>
                <w:color w:val="auto"/>
                <w:highlight w:val="none"/>
              </w:rPr>
            </w:pPr>
            <w:r>
              <w:rPr>
                <w:rFonts w:hint="eastAsia"/>
                <w:color w:val="auto"/>
                <w:highlight w:val="none"/>
              </w:rPr>
              <w:t xml:space="preserve">行号: </w:t>
            </w:r>
            <w:r>
              <w:rPr>
                <w:color w:val="auto"/>
                <w:highlight w:val="none"/>
              </w:rPr>
              <w:t xml:space="preserve"> </w:t>
            </w:r>
          </w:p>
          <w:p w14:paraId="71428770">
            <w:pPr>
              <w:ind w:firstLine="0" w:firstLineChars="0"/>
              <w:rPr>
                <w:color w:val="auto"/>
                <w:highlight w:val="none"/>
              </w:rPr>
            </w:pPr>
          </w:p>
          <w:p w14:paraId="2052D2B1">
            <w:pPr>
              <w:ind w:firstLine="0" w:firstLineChars="0"/>
              <w:rPr>
                <w:color w:val="auto"/>
                <w:highlight w:val="none"/>
              </w:rPr>
            </w:pPr>
            <w:r>
              <w:rPr>
                <w:rFonts w:hint="eastAsia"/>
                <w:color w:val="auto"/>
                <w:highlight w:val="none"/>
              </w:rPr>
              <w:t xml:space="preserve">电 </w:t>
            </w:r>
            <w:r>
              <w:rPr>
                <w:color w:val="auto"/>
                <w:highlight w:val="none"/>
              </w:rPr>
              <w:t xml:space="preserve"> </w:t>
            </w:r>
            <w:r>
              <w:rPr>
                <w:rFonts w:hint="eastAsia"/>
                <w:color w:val="auto"/>
                <w:highlight w:val="none"/>
              </w:rPr>
              <w:t>话：</w:t>
            </w:r>
            <w:r>
              <w:rPr>
                <w:color w:val="auto"/>
                <w:highlight w:val="none"/>
              </w:rPr>
              <w:t xml:space="preserve"> </w:t>
            </w:r>
          </w:p>
          <w:p w14:paraId="2469A5A5">
            <w:pPr>
              <w:ind w:firstLine="0" w:firstLineChars="0"/>
              <w:rPr>
                <w:color w:val="auto"/>
                <w:highlight w:val="none"/>
              </w:rPr>
            </w:pPr>
            <w:r>
              <w:rPr>
                <w:rFonts w:hint="eastAsia"/>
                <w:color w:val="auto"/>
                <w:highlight w:val="none"/>
              </w:rPr>
              <w:t>传  真：</w:t>
            </w:r>
          </w:p>
          <w:p w14:paraId="04048083">
            <w:pPr>
              <w:ind w:firstLine="0" w:firstLineChars="0"/>
              <w:rPr>
                <w:color w:val="auto"/>
                <w:highlight w:val="none"/>
              </w:rPr>
            </w:pPr>
          </w:p>
          <w:p w14:paraId="3BC2E5B3">
            <w:pPr>
              <w:ind w:firstLine="0" w:firstLineChars="0"/>
              <w:rPr>
                <w:color w:val="auto"/>
                <w:highlight w:val="none"/>
              </w:rPr>
            </w:pPr>
            <w:r>
              <w:rPr>
                <w:rFonts w:hint="eastAsia"/>
                <w:color w:val="auto"/>
                <w:highlight w:val="none"/>
              </w:rPr>
              <w:t>2024年   月   日</w:t>
            </w:r>
          </w:p>
        </w:tc>
      </w:tr>
    </w:tbl>
    <w:p w14:paraId="06DA37F4">
      <w:pPr>
        <w:ind w:firstLine="0" w:firstLineChars="0"/>
        <w:rPr>
          <w:color w:val="auto"/>
          <w:highlight w:val="none"/>
        </w:rPr>
      </w:pPr>
    </w:p>
    <w:p w14:paraId="4D60C0F7">
      <w:pPr>
        <w:ind w:firstLine="0" w:firstLineChars="0"/>
        <w:rPr>
          <w:rFonts w:ascii="方正仿宋_GBK"/>
          <w:color w:val="auto"/>
          <w:highlight w:val="none"/>
        </w:rPr>
      </w:pPr>
    </w:p>
    <w:p w14:paraId="274D2A44">
      <w:pPr>
        <w:ind w:firstLine="0" w:firstLineChars="0"/>
        <w:rPr>
          <w:rFonts w:ascii="方正仿宋_GBK"/>
          <w:color w:val="auto"/>
          <w:highlight w:val="none"/>
        </w:rPr>
      </w:pPr>
    </w:p>
    <w:p w14:paraId="6E04FA20">
      <w:pPr>
        <w:ind w:firstLine="0" w:firstLineChars="0"/>
        <w:rPr>
          <w:rFonts w:ascii="方正仿宋_GBK"/>
          <w:color w:val="auto"/>
          <w:highlight w:val="none"/>
        </w:rPr>
      </w:pPr>
    </w:p>
    <w:p w14:paraId="789A4EF0">
      <w:pPr>
        <w:ind w:firstLine="0" w:firstLineChars="0"/>
        <w:rPr>
          <w:rFonts w:ascii="方正仿宋_GBK"/>
          <w:color w:val="auto"/>
          <w:highlight w:val="none"/>
        </w:rPr>
      </w:pPr>
    </w:p>
    <w:p w14:paraId="0F8F6768">
      <w:pPr>
        <w:ind w:firstLine="0" w:firstLineChars="0"/>
        <w:rPr>
          <w:rFonts w:ascii="方正仿宋_GBK"/>
          <w:color w:val="auto"/>
          <w:highlight w:val="none"/>
        </w:rPr>
      </w:pPr>
    </w:p>
    <w:p w14:paraId="446ACABE">
      <w:pPr>
        <w:ind w:firstLine="0" w:firstLineChars="0"/>
        <w:rPr>
          <w:rFonts w:ascii="方正仿宋_GBK"/>
          <w:color w:val="auto"/>
          <w:highlight w:val="none"/>
        </w:rPr>
      </w:pPr>
    </w:p>
    <w:p w14:paraId="28FB75E4">
      <w:pPr>
        <w:ind w:firstLine="0" w:firstLineChars="0"/>
        <w:rPr>
          <w:rFonts w:ascii="方正仿宋_GBK"/>
          <w:color w:val="auto"/>
          <w:highlight w:val="none"/>
        </w:rPr>
      </w:pPr>
    </w:p>
    <w:p w14:paraId="21D2AC9E">
      <w:pPr>
        <w:ind w:firstLine="0" w:firstLineChars="0"/>
        <w:rPr>
          <w:rFonts w:ascii="方正仿宋_GBK"/>
          <w:color w:val="auto"/>
          <w:highlight w:val="none"/>
        </w:rPr>
      </w:pPr>
    </w:p>
    <w:p w14:paraId="51E56CB9">
      <w:pPr>
        <w:ind w:firstLine="0" w:firstLineChars="0"/>
        <w:rPr>
          <w:rFonts w:ascii="方正仿宋_GBK"/>
          <w:color w:val="auto"/>
          <w:highlight w:val="none"/>
        </w:rPr>
      </w:pPr>
    </w:p>
    <w:p w14:paraId="5C3F4C9B">
      <w:pPr>
        <w:ind w:firstLine="0" w:firstLineChars="0"/>
        <w:rPr>
          <w:rFonts w:ascii="方正仿宋_GBK"/>
          <w:color w:val="auto"/>
          <w:highlight w:val="none"/>
        </w:rPr>
      </w:pPr>
    </w:p>
    <w:p w14:paraId="6E5C27A2">
      <w:pPr>
        <w:ind w:firstLine="0" w:firstLineChars="0"/>
        <w:rPr>
          <w:rFonts w:ascii="方正仿宋_GBK"/>
          <w:color w:val="auto"/>
          <w:highlight w:val="none"/>
        </w:rPr>
      </w:pPr>
    </w:p>
    <w:p w14:paraId="7D059083">
      <w:pPr>
        <w:ind w:firstLine="0" w:firstLineChars="0"/>
        <w:rPr>
          <w:rFonts w:ascii="方正仿宋_GBK"/>
          <w:color w:val="auto"/>
          <w:highlight w:val="none"/>
        </w:rPr>
      </w:pPr>
      <w:r>
        <w:rPr>
          <w:rFonts w:hint="eastAsia" w:ascii="方正仿宋_GBK"/>
          <w:color w:val="auto"/>
          <w:highlight w:val="none"/>
        </w:rPr>
        <w:t>附件1：土地管护示意图</w:t>
      </w:r>
    </w:p>
    <w:p w14:paraId="5985EE45">
      <w:pPr>
        <w:rPr>
          <w:rFonts w:ascii="方正仿宋_GBK"/>
          <w:color w:val="auto"/>
          <w:highlight w:val="none"/>
        </w:rPr>
      </w:pPr>
    </w:p>
    <w:p w14:paraId="3721357B">
      <w:pPr>
        <w:rPr>
          <w:rFonts w:ascii="方正仿宋_GBK"/>
          <w:color w:val="auto"/>
          <w:highlight w:val="none"/>
        </w:rPr>
      </w:pPr>
    </w:p>
    <w:p w14:paraId="0AF480D1">
      <w:pPr>
        <w:rPr>
          <w:rFonts w:ascii="方正仿宋_GBK"/>
          <w:color w:val="auto"/>
          <w:highlight w:val="none"/>
        </w:rPr>
      </w:pPr>
    </w:p>
    <w:p w14:paraId="45F1C3EC">
      <w:pPr>
        <w:rPr>
          <w:rFonts w:ascii="方正仿宋_GBK"/>
          <w:color w:val="auto"/>
          <w:highlight w:val="none"/>
        </w:rPr>
      </w:pPr>
      <w:r>
        <w:rPr>
          <w:rFonts w:hint="eastAsia" w:ascii="方正仿宋_GBK" w:eastAsia="宋体"/>
          <w:color w:val="auto"/>
          <w:highlight w:val="none"/>
          <w:lang w:eastAsia="zh-CN"/>
        </w:rPr>
        <w:drawing>
          <wp:inline distT="0" distB="0" distL="114300" distR="114300">
            <wp:extent cx="4777740" cy="5673090"/>
            <wp:effectExtent l="0" t="0" r="3810" b="3810"/>
            <wp:docPr id="1" name="图片 1" descr="e0830c22860d83ba66d15fe75e904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0830c22860d83ba66d15fe75e904e8"/>
                    <pic:cNvPicPr>
                      <a:picLocks noChangeAspect="1"/>
                    </pic:cNvPicPr>
                  </pic:nvPicPr>
                  <pic:blipFill>
                    <a:blip r:embed="rId10"/>
                    <a:stretch>
                      <a:fillRect/>
                    </a:stretch>
                  </pic:blipFill>
                  <pic:spPr>
                    <a:xfrm>
                      <a:off x="0" y="0"/>
                      <a:ext cx="4777740" cy="5673090"/>
                    </a:xfrm>
                    <a:prstGeom prst="rect">
                      <a:avLst/>
                    </a:prstGeom>
                  </pic:spPr>
                </pic:pic>
              </a:graphicData>
            </a:graphic>
          </wp:inline>
        </w:drawing>
      </w:r>
    </w:p>
    <w:p w14:paraId="0AF4449F">
      <w:pPr>
        <w:rPr>
          <w:rFonts w:ascii="方正仿宋_GBK"/>
          <w:color w:val="auto"/>
          <w:highlight w:val="none"/>
        </w:rPr>
      </w:pPr>
    </w:p>
    <w:p w14:paraId="4C575F14">
      <w:pPr>
        <w:rPr>
          <w:rFonts w:ascii="方正仿宋_GBK"/>
          <w:color w:val="auto"/>
          <w:highlight w:val="none"/>
        </w:rPr>
      </w:pPr>
    </w:p>
    <w:p w14:paraId="194E31A1">
      <w:pPr>
        <w:rPr>
          <w:rFonts w:ascii="方正仿宋_GBK"/>
          <w:color w:val="auto"/>
          <w:highlight w:val="none"/>
        </w:rPr>
      </w:pPr>
    </w:p>
    <w:p w14:paraId="373B9F83">
      <w:pPr>
        <w:rPr>
          <w:rFonts w:ascii="方正仿宋_GBK"/>
          <w:color w:val="auto"/>
          <w:highlight w:val="none"/>
        </w:rPr>
      </w:pPr>
    </w:p>
    <w:p w14:paraId="314741BD">
      <w:pPr>
        <w:rPr>
          <w:rFonts w:ascii="方正仿宋_GBK"/>
          <w:color w:val="auto"/>
          <w:highlight w:val="none"/>
        </w:rPr>
      </w:pPr>
    </w:p>
    <w:p w14:paraId="77077C88">
      <w:pPr>
        <w:rPr>
          <w:rFonts w:ascii="方正仿宋_GBK"/>
          <w:color w:val="auto"/>
          <w:highlight w:val="none"/>
        </w:rPr>
      </w:pPr>
    </w:p>
    <w:p w14:paraId="52C3363E">
      <w:pPr>
        <w:rPr>
          <w:rFonts w:ascii="方正仿宋_GBK"/>
          <w:color w:val="auto"/>
          <w:highlight w:val="none"/>
        </w:rPr>
      </w:pPr>
    </w:p>
    <w:p w14:paraId="5DE4F695">
      <w:pPr>
        <w:rPr>
          <w:rFonts w:hint="eastAsia" w:ascii="方正仿宋_GBK"/>
          <w:color w:val="auto"/>
          <w:highlight w:val="none"/>
          <w:lang w:eastAsia="zh-CN"/>
        </w:rPr>
      </w:pPr>
    </w:p>
    <w:p w14:paraId="3E657995">
      <w:pPr>
        <w:rPr>
          <w:rFonts w:hint="eastAsia" w:ascii="方正仿宋_GBK"/>
          <w:color w:val="auto"/>
          <w:highlight w:val="none"/>
          <w:lang w:eastAsia="zh-CN"/>
        </w:rPr>
      </w:pPr>
    </w:p>
    <w:p w14:paraId="20FE6B01">
      <w:pPr>
        <w:rPr>
          <w:rFonts w:hint="eastAsia" w:ascii="方正仿宋_GBK"/>
          <w:color w:val="auto"/>
          <w:highlight w:val="none"/>
          <w:lang w:eastAsia="zh-CN"/>
        </w:rPr>
      </w:pPr>
    </w:p>
    <w:p w14:paraId="6AB4F1E4">
      <w:pPr>
        <w:rPr>
          <w:rFonts w:ascii="方正仿宋_GBK"/>
          <w:color w:val="auto"/>
          <w:highlight w:val="none"/>
        </w:rPr>
      </w:pPr>
    </w:p>
    <w:p w14:paraId="60FE8314">
      <w:pPr>
        <w:rPr>
          <w:rFonts w:ascii="方正仿宋_GBK"/>
          <w:color w:val="auto"/>
          <w:highlight w:val="none"/>
        </w:rPr>
      </w:pPr>
    </w:p>
    <w:p w14:paraId="1EF7761A">
      <w:pPr>
        <w:ind w:firstLine="0" w:firstLineChars="0"/>
        <w:rPr>
          <w:rFonts w:ascii="方正仿宋_GBK"/>
          <w:bCs/>
          <w:color w:val="auto"/>
          <w:highlight w:val="none"/>
        </w:rPr>
      </w:pPr>
      <w:r>
        <w:rPr>
          <w:rFonts w:hint="eastAsia" w:ascii="方正仿宋_GBK"/>
          <w:color w:val="auto"/>
          <w:highlight w:val="none"/>
        </w:rPr>
        <w:t>附件2：</w:t>
      </w:r>
      <w:r>
        <w:rPr>
          <w:rFonts w:hint="eastAsia" w:ascii="方正仿宋_GBK"/>
          <w:bCs/>
          <w:color w:val="auto"/>
          <w:highlight w:val="none"/>
        </w:rPr>
        <w:t>绩效考核打分表</w:t>
      </w:r>
    </w:p>
    <w:tbl>
      <w:tblPr>
        <w:tblStyle w:val="46"/>
        <w:tblW w:w="5000" w:type="pct"/>
        <w:tblInd w:w="0" w:type="dxa"/>
        <w:tblLayout w:type="fixed"/>
        <w:tblCellMar>
          <w:top w:w="0" w:type="dxa"/>
          <w:left w:w="108" w:type="dxa"/>
          <w:bottom w:w="0" w:type="dxa"/>
          <w:right w:w="108" w:type="dxa"/>
        </w:tblCellMar>
      </w:tblPr>
      <w:tblGrid>
        <w:gridCol w:w="795"/>
        <w:gridCol w:w="1185"/>
        <w:gridCol w:w="3807"/>
        <w:gridCol w:w="2468"/>
        <w:gridCol w:w="841"/>
        <w:gridCol w:w="587"/>
      </w:tblGrid>
      <w:tr w14:paraId="34FBFFB2">
        <w:tblPrEx>
          <w:tblCellMar>
            <w:top w:w="0" w:type="dxa"/>
            <w:left w:w="108" w:type="dxa"/>
            <w:bottom w:w="0" w:type="dxa"/>
            <w:right w:w="108" w:type="dxa"/>
          </w:tblCellMar>
        </w:tblPrEx>
        <w:trPr>
          <w:trHeight w:val="756" w:hRule="atLeast"/>
        </w:trPr>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3D63B3F8">
            <w:pPr>
              <w:widowControl/>
              <w:spacing w:line="240" w:lineRule="auto"/>
              <w:ind w:firstLine="562" w:firstLineChars="0"/>
              <w:jc w:val="center"/>
              <w:textAlignment w:val="center"/>
              <w:rPr>
                <w:rFonts w:ascii="仿宋" w:hAnsi="仿宋" w:eastAsia="仿宋" w:cs="宋体"/>
                <w:b/>
                <w:bCs/>
                <w:color w:val="auto"/>
                <w:sz w:val="21"/>
                <w:szCs w:val="28"/>
                <w:highlight w:val="none"/>
              </w:rPr>
            </w:pPr>
            <w:r>
              <w:rPr>
                <w:rFonts w:hint="eastAsia" w:ascii="仿宋" w:hAnsi="仿宋" w:eastAsia="仿宋" w:cs="宋体"/>
                <w:b/>
                <w:bCs/>
                <w:color w:val="auto"/>
                <w:kern w:val="0"/>
                <w:sz w:val="21"/>
                <w:szCs w:val="28"/>
                <w:highlight w:val="none"/>
                <w:lang w:bidi="ar"/>
              </w:rPr>
              <w:t>绩效考核打分表</w:t>
            </w:r>
          </w:p>
        </w:tc>
      </w:tr>
      <w:tr w14:paraId="3D4D818C">
        <w:tblPrEx>
          <w:tblCellMar>
            <w:top w:w="0" w:type="dxa"/>
            <w:left w:w="108" w:type="dxa"/>
            <w:bottom w:w="0" w:type="dxa"/>
            <w:right w:w="108" w:type="dxa"/>
          </w:tblCellMar>
        </w:tblPrEx>
        <w:trPr>
          <w:trHeight w:val="694" w:hRule="atLeast"/>
        </w:trPr>
        <w:tc>
          <w:tcPr>
            <w:tcW w:w="410" w:type="pct"/>
            <w:tcBorders>
              <w:top w:val="single" w:color="000000" w:sz="4" w:space="0"/>
              <w:left w:val="single" w:color="000000" w:sz="4" w:space="0"/>
              <w:bottom w:val="single" w:color="auto" w:sz="4" w:space="0"/>
              <w:right w:val="single" w:color="000000" w:sz="4" w:space="0"/>
            </w:tcBorders>
            <w:vAlign w:val="center"/>
          </w:tcPr>
          <w:p w14:paraId="428D17E5">
            <w:pPr>
              <w:widowControl/>
              <w:spacing w:line="240" w:lineRule="auto"/>
              <w:ind w:firstLine="0" w:firstLineChars="0"/>
              <w:textAlignment w:val="center"/>
              <w:rPr>
                <w:rFonts w:ascii="仿宋" w:hAnsi="仿宋" w:eastAsia="仿宋" w:cs="宋体"/>
                <w:b/>
                <w:bCs/>
                <w:color w:val="auto"/>
                <w:sz w:val="21"/>
                <w:szCs w:val="21"/>
                <w:highlight w:val="none"/>
              </w:rPr>
            </w:pPr>
            <w:r>
              <w:rPr>
                <w:rFonts w:hint="eastAsia" w:ascii="仿宋" w:hAnsi="仿宋" w:eastAsia="仿宋" w:cs="宋体"/>
                <w:b/>
                <w:bCs/>
                <w:color w:val="auto"/>
                <w:sz w:val="21"/>
                <w:szCs w:val="21"/>
                <w:highlight w:val="none"/>
              </w:rPr>
              <w:t>序号</w:t>
            </w:r>
          </w:p>
        </w:tc>
        <w:tc>
          <w:tcPr>
            <w:tcW w:w="612" w:type="pct"/>
            <w:tcBorders>
              <w:top w:val="single" w:color="000000" w:sz="4" w:space="0"/>
              <w:left w:val="single" w:color="000000" w:sz="4" w:space="0"/>
              <w:bottom w:val="single" w:color="000000" w:sz="4" w:space="0"/>
              <w:right w:val="single" w:color="000000" w:sz="4" w:space="0"/>
            </w:tcBorders>
            <w:vAlign w:val="center"/>
          </w:tcPr>
          <w:p w14:paraId="39DA89ED">
            <w:pPr>
              <w:widowControl/>
              <w:spacing w:line="240" w:lineRule="auto"/>
              <w:ind w:firstLine="209" w:firstLineChars="99"/>
              <w:textAlignment w:val="center"/>
              <w:rPr>
                <w:rFonts w:ascii="仿宋" w:hAnsi="仿宋" w:eastAsia="仿宋" w:cs="宋体"/>
                <w:b/>
                <w:bCs/>
                <w:color w:val="auto"/>
                <w:sz w:val="21"/>
                <w:szCs w:val="21"/>
                <w:highlight w:val="none"/>
              </w:rPr>
            </w:pPr>
            <w:r>
              <w:rPr>
                <w:rFonts w:hint="eastAsia" w:ascii="仿宋" w:hAnsi="仿宋" w:eastAsia="仿宋" w:cs="宋体"/>
                <w:b/>
                <w:bCs/>
                <w:color w:val="auto"/>
                <w:sz w:val="21"/>
                <w:szCs w:val="21"/>
                <w:highlight w:val="none"/>
              </w:rPr>
              <w:t>项目</w:t>
            </w:r>
          </w:p>
        </w:tc>
        <w:tc>
          <w:tcPr>
            <w:tcW w:w="1966" w:type="pct"/>
            <w:tcBorders>
              <w:top w:val="single" w:color="000000" w:sz="4" w:space="0"/>
              <w:left w:val="single" w:color="000000" w:sz="4" w:space="0"/>
              <w:bottom w:val="single" w:color="000000" w:sz="4" w:space="0"/>
              <w:right w:val="single" w:color="000000" w:sz="4" w:space="0"/>
            </w:tcBorders>
            <w:vAlign w:val="center"/>
          </w:tcPr>
          <w:p w14:paraId="0FEA2BDB">
            <w:pPr>
              <w:widowControl/>
              <w:spacing w:line="240" w:lineRule="auto"/>
              <w:ind w:firstLine="422" w:firstLineChars="0"/>
              <w:jc w:val="center"/>
              <w:textAlignment w:val="center"/>
              <w:rPr>
                <w:rFonts w:ascii="仿宋" w:hAnsi="仿宋" w:eastAsia="仿宋" w:cs="宋体"/>
                <w:b/>
                <w:bCs/>
                <w:color w:val="auto"/>
                <w:sz w:val="21"/>
                <w:szCs w:val="21"/>
                <w:highlight w:val="none"/>
              </w:rPr>
            </w:pPr>
            <w:r>
              <w:rPr>
                <w:rFonts w:hint="eastAsia" w:ascii="仿宋" w:hAnsi="仿宋" w:eastAsia="仿宋" w:cs="宋体"/>
                <w:b/>
                <w:bCs/>
                <w:color w:val="auto"/>
                <w:kern w:val="0"/>
                <w:sz w:val="21"/>
                <w:szCs w:val="21"/>
                <w:highlight w:val="none"/>
                <w:lang w:bidi="ar"/>
              </w:rPr>
              <w:t>检查内容</w:t>
            </w:r>
          </w:p>
        </w:tc>
        <w:tc>
          <w:tcPr>
            <w:tcW w:w="1275" w:type="pct"/>
            <w:tcBorders>
              <w:top w:val="single" w:color="000000" w:sz="4" w:space="0"/>
              <w:left w:val="single" w:color="000000" w:sz="4" w:space="0"/>
              <w:right w:val="single" w:color="000000" w:sz="4" w:space="0"/>
            </w:tcBorders>
            <w:vAlign w:val="center"/>
          </w:tcPr>
          <w:p w14:paraId="25A13379">
            <w:pPr>
              <w:widowControl/>
              <w:spacing w:line="240" w:lineRule="auto"/>
              <w:ind w:firstLine="632" w:firstLineChars="300"/>
              <w:textAlignment w:val="center"/>
              <w:rPr>
                <w:rFonts w:ascii="仿宋" w:hAnsi="仿宋" w:eastAsia="仿宋" w:cs="宋体"/>
                <w:b/>
                <w:bCs/>
                <w:color w:val="auto"/>
                <w:sz w:val="21"/>
                <w:szCs w:val="21"/>
                <w:highlight w:val="none"/>
              </w:rPr>
            </w:pPr>
            <w:r>
              <w:rPr>
                <w:rFonts w:hint="eastAsia" w:ascii="仿宋" w:hAnsi="仿宋" w:eastAsia="仿宋" w:cs="宋体"/>
                <w:b/>
                <w:bCs/>
                <w:color w:val="auto"/>
                <w:kern w:val="0"/>
                <w:sz w:val="21"/>
                <w:szCs w:val="21"/>
                <w:highlight w:val="none"/>
                <w:lang w:bidi="ar"/>
              </w:rPr>
              <w:t>评分标准</w:t>
            </w:r>
          </w:p>
        </w:tc>
        <w:tc>
          <w:tcPr>
            <w:tcW w:w="434" w:type="pct"/>
            <w:tcBorders>
              <w:top w:val="single" w:color="000000" w:sz="4" w:space="0"/>
              <w:left w:val="single" w:color="000000" w:sz="4" w:space="0"/>
              <w:bottom w:val="single" w:color="000000" w:sz="4" w:space="0"/>
              <w:right w:val="single" w:color="000000" w:sz="4" w:space="0"/>
            </w:tcBorders>
            <w:vAlign w:val="center"/>
          </w:tcPr>
          <w:p w14:paraId="3440644D">
            <w:pPr>
              <w:widowControl/>
              <w:spacing w:line="240" w:lineRule="auto"/>
              <w:ind w:firstLine="0" w:firstLineChars="0"/>
              <w:jc w:val="left"/>
              <w:textAlignment w:val="center"/>
              <w:rPr>
                <w:rFonts w:ascii="仿宋" w:hAnsi="仿宋" w:eastAsia="仿宋" w:cs="宋体"/>
                <w:b/>
                <w:bCs/>
                <w:color w:val="auto"/>
                <w:sz w:val="21"/>
                <w:szCs w:val="21"/>
                <w:highlight w:val="none"/>
              </w:rPr>
            </w:pPr>
            <w:r>
              <w:rPr>
                <w:rFonts w:hint="eastAsia" w:ascii="仿宋" w:hAnsi="仿宋" w:eastAsia="仿宋" w:cs="宋体"/>
                <w:b/>
                <w:bCs/>
                <w:color w:val="auto"/>
                <w:kern w:val="0"/>
                <w:sz w:val="21"/>
                <w:szCs w:val="21"/>
                <w:highlight w:val="none"/>
                <w:lang w:bidi="ar"/>
              </w:rPr>
              <w:t>考核扣分</w:t>
            </w:r>
          </w:p>
        </w:tc>
        <w:tc>
          <w:tcPr>
            <w:tcW w:w="303" w:type="pct"/>
            <w:tcBorders>
              <w:top w:val="single" w:color="000000" w:sz="4" w:space="0"/>
              <w:left w:val="single" w:color="000000" w:sz="4" w:space="0"/>
              <w:bottom w:val="single" w:color="000000" w:sz="4" w:space="0"/>
              <w:right w:val="single" w:color="000000" w:sz="4" w:space="0"/>
            </w:tcBorders>
            <w:vAlign w:val="center"/>
          </w:tcPr>
          <w:p w14:paraId="2554B26B">
            <w:pPr>
              <w:widowControl/>
              <w:spacing w:line="240" w:lineRule="auto"/>
              <w:ind w:firstLine="0" w:firstLineChars="0"/>
              <w:textAlignment w:val="center"/>
              <w:rPr>
                <w:rFonts w:ascii="仿宋" w:hAnsi="仿宋" w:eastAsia="仿宋" w:cs="宋体"/>
                <w:b/>
                <w:bCs/>
                <w:color w:val="auto"/>
                <w:sz w:val="21"/>
                <w:szCs w:val="21"/>
                <w:highlight w:val="none"/>
              </w:rPr>
            </w:pPr>
            <w:r>
              <w:rPr>
                <w:rFonts w:ascii="仿宋" w:hAnsi="仿宋" w:eastAsia="仿宋" w:cs="宋体"/>
                <w:b/>
                <w:bCs/>
                <w:color w:val="auto"/>
                <w:sz w:val="21"/>
                <w:szCs w:val="21"/>
                <w:highlight w:val="none"/>
              </w:rPr>
              <w:t>备注</w:t>
            </w:r>
          </w:p>
        </w:tc>
      </w:tr>
      <w:tr w14:paraId="31BE1303">
        <w:tblPrEx>
          <w:tblCellMar>
            <w:top w:w="0" w:type="dxa"/>
            <w:left w:w="108" w:type="dxa"/>
            <w:bottom w:w="0" w:type="dxa"/>
            <w:right w:w="108" w:type="dxa"/>
          </w:tblCellMar>
        </w:tblPrEx>
        <w:trPr>
          <w:trHeight w:val="1132" w:hRule="atLeast"/>
        </w:trPr>
        <w:tc>
          <w:tcPr>
            <w:tcW w:w="410" w:type="pct"/>
            <w:vMerge w:val="restart"/>
            <w:tcBorders>
              <w:top w:val="single" w:color="auto" w:sz="4" w:space="0"/>
              <w:left w:val="single" w:color="000000" w:sz="4" w:space="0"/>
              <w:bottom w:val="single" w:color="auto" w:sz="4" w:space="0"/>
              <w:right w:val="single" w:color="000000" w:sz="4" w:space="0"/>
            </w:tcBorders>
            <w:vAlign w:val="center"/>
          </w:tcPr>
          <w:p w14:paraId="616FA70F">
            <w:pPr>
              <w:widowControl/>
              <w:spacing w:line="240" w:lineRule="auto"/>
              <w:ind w:firstLine="0" w:firstLineChars="0"/>
              <w:jc w:val="left"/>
              <w:textAlignment w:val="center"/>
              <w:rPr>
                <w:rFonts w:ascii="仿宋" w:hAnsi="仿宋" w:eastAsia="仿宋" w:cs="宋体"/>
                <w:color w:val="auto"/>
                <w:kern w:val="0"/>
                <w:sz w:val="21"/>
                <w:szCs w:val="21"/>
                <w:highlight w:val="none"/>
                <w:lang w:bidi="ar"/>
              </w:rPr>
            </w:pPr>
            <w:r>
              <w:rPr>
                <w:rFonts w:hint="eastAsia" w:ascii="仿宋" w:hAnsi="仿宋" w:eastAsia="仿宋" w:cs="宋体"/>
                <w:color w:val="auto"/>
                <w:kern w:val="0"/>
                <w:sz w:val="21"/>
                <w:szCs w:val="21"/>
                <w:highlight w:val="none"/>
                <w:lang w:bidi="ar"/>
              </w:rPr>
              <w:t>一、</w:t>
            </w:r>
          </w:p>
          <w:p w14:paraId="1368C411">
            <w:pPr>
              <w:widowControl/>
              <w:spacing w:line="240" w:lineRule="auto"/>
              <w:ind w:firstLine="0" w:firstLineChars="0"/>
              <w:jc w:val="left"/>
              <w:textAlignment w:val="center"/>
              <w:rPr>
                <w:rFonts w:ascii="仿宋" w:hAnsi="仿宋" w:eastAsia="仿宋" w:cs="宋体"/>
                <w:color w:val="auto"/>
                <w:sz w:val="21"/>
                <w:szCs w:val="21"/>
                <w:highlight w:val="none"/>
              </w:rPr>
            </w:pPr>
            <w:r>
              <w:rPr>
                <w:rFonts w:hint="eastAsia" w:ascii="仿宋" w:hAnsi="仿宋" w:eastAsia="仿宋" w:cs="宋体"/>
                <w:color w:val="auto"/>
                <w:kern w:val="0"/>
                <w:sz w:val="21"/>
                <w:szCs w:val="21"/>
                <w:highlight w:val="none"/>
                <w:lang w:bidi="ar"/>
              </w:rPr>
              <w:t>人员管理</w:t>
            </w:r>
          </w:p>
        </w:tc>
        <w:tc>
          <w:tcPr>
            <w:tcW w:w="612" w:type="pct"/>
            <w:tcBorders>
              <w:top w:val="single" w:color="000000" w:sz="4" w:space="0"/>
              <w:left w:val="single" w:color="000000" w:sz="4" w:space="0"/>
              <w:bottom w:val="single" w:color="000000" w:sz="4" w:space="0"/>
              <w:right w:val="single" w:color="000000" w:sz="4" w:space="0"/>
            </w:tcBorders>
            <w:vAlign w:val="center"/>
          </w:tcPr>
          <w:p w14:paraId="35367CF2">
            <w:pPr>
              <w:widowControl/>
              <w:spacing w:line="240" w:lineRule="auto"/>
              <w:ind w:firstLine="0" w:firstLineChars="0"/>
              <w:jc w:val="left"/>
              <w:textAlignment w:val="center"/>
              <w:rPr>
                <w:rFonts w:ascii="仿宋" w:hAnsi="仿宋" w:eastAsia="仿宋" w:cs="宋体"/>
                <w:color w:val="auto"/>
                <w:sz w:val="21"/>
                <w:szCs w:val="21"/>
                <w:highlight w:val="none"/>
              </w:rPr>
            </w:pPr>
            <w:r>
              <w:rPr>
                <w:rFonts w:hint="eastAsia" w:ascii="仿宋" w:hAnsi="仿宋" w:eastAsia="仿宋" w:cs="宋体"/>
                <w:color w:val="auto"/>
                <w:kern w:val="0"/>
                <w:sz w:val="21"/>
                <w:szCs w:val="21"/>
                <w:highlight w:val="none"/>
                <w:lang w:bidi="ar"/>
              </w:rPr>
              <w:t>1.1 人员在岗情况</w:t>
            </w:r>
          </w:p>
        </w:tc>
        <w:tc>
          <w:tcPr>
            <w:tcW w:w="1966" w:type="pct"/>
            <w:tcBorders>
              <w:top w:val="single" w:color="000000" w:sz="4" w:space="0"/>
              <w:left w:val="single" w:color="000000" w:sz="4" w:space="0"/>
              <w:bottom w:val="single" w:color="000000" w:sz="4" w:space="0"/>
              <w:right w:val="single" w:color="000000" w:sz="4" w:space="0"/>
            </w:tcBorders>
            <w:vAlign w:val="center"/>
          </w:tcPr>
          <w:p w14:paraId="06640F4F">
            <w:pPr>
              <w:spacing w:line="240" w:lineRule="auto"/>
              <w:ind w:firstLine="0" w:firstLineChars="0"/>
              <w:jc w:val="left"/>
              <w:rPr>
                <w:rFonts w:ascii="仿宋" w:hAnsi="仿宋" w:eastAsia="仿宋"/>
                <w:color w:val="auto"/>
                <w:sz w:val="21"/>
                <w:szCs w:val="21"/>
                <w:highlight w:val="none"/>
                <w:lang w:bidi="ar"/>
              </w:rPr>
            </w:pPr>
            <w:r>
              <w:rPr>
                <w:rFonts w:hint="eastAsia" w:ascii="仿宋" w:hAnsi="仿宋" w:eastAsia="仿宋"/>
                <w:color w:val="auto"/>
                <w:sz w:val="21"/>
                <w:szCs w:val="21"/>
                <w:highlight w:val="none"/>
                <w:lang w:bidi="ar"/>
              </w:rPr>
              <w:t>管护人员必须24小时在岗，不能出现脱岗、离岗、空岗现象。</w:t>
            </w:r>
          </w:p>
        </w:tc>
        <w:tc>
          <w:tcPr>
            <w:tcW w:w="1275" w:type="pct"/>
            <w:tcBorders>
              <w:top w:val="single" w:color="000000" w:sz="4" w:space="0"/>
              <w:left w:val="single" w:color="000000" w:sz="4" w:space="0"/>
              <w:bottom w:val="single" w:color="000000" w:sz="4" w:space="0"/>
              <w:right w:val="single" w:color="000000" w:sz="4" w:space="0"/>
            </w:tcBorders>
            <w:vAlign w:val="center"/>
          </w:tcPr>
          <w:p w14:paraId="47ABF070">
            <w:pPr>
              <w:spacing w:line="240" w:lineRule="auto"/>
              <w:ind w:firstLine="0" w:firstLineChars="0"/>
              <w:rPr>
                <w:rFonts w:ascii="仿宋" w:hAnsi="仿宋" w:eastAsia="仿宋"/>
                <w:color w:val="auto"/>
                <w:sz w:val="21"/>
                <w:szCs w:val="21"/>
                <w:highlight w:val="none"/>
                <w:lang w:bidi="ar"/>
              </w:rPr>
            </w:pPr>
            <w:r>
              <w:rPr>
                <w:rFonts w:hint="eastAsia" w:ascii="仿宋" w:hAnsi="仿宋" w:eastAsia="仿宋"/>
                <w:color w:val="auto"/>
                <w:sz w:val="21"/>
                <w:szCs w:val="21"/>
                <w:highlight w:val="none"/>
                <w:lang w:bidi="ar"/>
              </w:rPr>
              <w:t>发生人员脱岗、离岗、空岗现象扣</w:t>
            </w:r>
            <w:r>
              <w:rPr>
                <w:rFonts w:ascii="仿宋" w:hAnsi="仿宋" w:eastAsia="仿宋"/>
                <w:color w:val="auto"/>
                <w:sz w:val="21"/>
                <w:szCs w:val="21"/>
                <w:highlight w:val="none"/>
                <w:lang w:bidi="ar"/>
              </w:rPr>
              <w:t>1</w:t>
            </w:r>
            <w:r>
              <w:rPr>
                <w:rFonts w:hint="eastAsia" w:ascii="仿宋" w:hAnsi="仿宋" w:eastAsia="仿宋"/>
                <w:color w:val="auto"/>
                <w:sz w:val="21"/>
                <w:szCs w:val="21"/>
                <w:highlight w:val="none"/>
                <w:lang w:bidi="ar"/>
              </w:rPr>
              <w:t>分。</w:t>
            </w:r>
          </w:p>
        </w:tc>
        <w:tc>
          <w:tcPr>
            <w:tcW w:w="434" w:type="pct"/>
            <w:tcBorders>
              <w:top w:val="single" w:color="000000" w:sz="4" w:space="0"/>
              <w:left w:val="single" w:color="000000" w:sz="4" w:space="0"/>
              <w:bottom w:val="single" w:color="000000" w:sz="4" w:space="0"/>
              <w:right w:val="single" w:color="000000" w:sz="4" w:space="0"/>
            </w:tcBorders>
            <w:vAlign w:val="center"/>
          </w:tcPr>
          <w:p w14:paraId="2A33CF02">
            <w:pPr>
              <w:spacing w:line="240" w:lineRule="auto"/>
              <w:ind w:firstLine="420" w:firstLineChars="0"/>
              <w:jc w:val="left"/>
              <w:rPr>
                <w:rFonts w:ascii="仿宋" w:hAnsi="仿宋" w:eastAsia="仿宋" w:cs="宋体"/>
                <w:color w:val="auto"/>
                <w:sz w:val="21"/>
                <w:szCs w:val="21"/>
                <w:highlight w:val="none"/>
              </w:rPr>
            </w:pPr>
          </w:p>
        </w:tc>
        <w:tc>
          <w:tcPr>
            <w:tcW w:w="303" w:type="pct"/>
            <w:tcBorders>
              <w:top w:val="single" w:color="000000" w:sz="4" w:space="0"/>
              <w:left w:val="single" w:color="000000" w:sz="4" w:space="0"/>
              <w:bottom w:val="single" w:color="000000" w:sz="4" w:space="0"/>
              <w:right w:val="single" w:color="000000" w:sz="4" w:space="0"/>
            </w:tcBorders>
            <w:vAlign w:val="center"/>
          </w:tcPr>
          <w:p w14:paraId="20993CCC">
            <w:pPr>
              <w:spacing w:line="240" w:lineRule="auto"/>
              <w:ind w:firstLine="400" w:firstLineChars="0"/>
              <w:jc w:val="left"/>
              <w:rPr>
                <w:rFonts w:ascii="仿宋" w:hAnsi="仿宋" w:eastAsia="仿宋" w:cs="宋体"/>
                <w:color w:val="auto"/>
                <w:sz w:val="20"/>
                <w:szCs w:val="20"/>
                <w:highlight w:val="none"/>
              </w:rPr>
            </w:pPr>
          </w:p>
        </w:tc>
      </w:tr>
      <w:tr w14:paraId="7C6B0E73">
        <w:tblPrEx>
          <w:tblCellMar>
            <w:top w:w="0" w:type="dxa"/>
            <w:left w:w="108" w:type="dxa"/>
            <w:bottom w:w="0" w:type="dxa"/>
            <w:right w:w="108" w:type="dxa"/>
          </w:tblCellMar>
        </w:tblPrEx>
        <w:trPr>
          <w:trHeight w:val="989" w:hRule="atLeast"/>
        </w:trPr>
        <w:tc>
          <w:tcPr>
            <w:tcW w:w="410" w:type="pct"/>
            <w:vMerge w:val="continue"/>
            <w:tcBorders>
              <w:top w:val="single" w:color="auto" w:sz="4" w:space="0"/>
              <w:left w:val="single" w:color="000000" w:sz="4" w:space="0"/>
              <w:bottom w:val="single" w:color="auto" w:sz="4" w:space="0"/>
              <w:right w:val="single" w:color="000000" w:sz="4" w:space="0"/>
            </w:tcBorders>
            <w:vAlign w:val="center"/>
          </w:tcPr>
          <w:p w14:paraId="63EC16B4">
            <w:pPr>
              <w:spacing w:line="240" w:lineRule="auto"/>
              <w:ind w:firstLine="420" w:firstLineChars="0"/>
              <w:jc w:val="left"/>
              <w:rPr>
                <w:rFonts w:ascii="仿宋" w:hAnsi="仿宋" w:eastAsia="仿宋" w:cs="宋体"/>
                <w:color w:val="auto"/>
                <w:sz w:val="21"/>
                <w:szCs w:val="21"/>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14:paraId="732FF591">
            <w:pPr>
              <w:widowControl/>
              <w:spacing w:line="240" w:lineRule="auto"/>
              <w:ind w:firstLine="0" w:firstLineChars="0"/>
              <w:jc w:val="left"/>
              <w:textAlignment w:val="center"/>
              <w:rPr>
                <w:rFonts w:ascii="仿宋" w:hAnsi="仿宋" w:eastAsia="仿宋" w:cs="宋体"/>
                <w:color w:val="auto"/>
                <w:sz w:val="21"/>
                <w:szCs w:val="21"/>
                <w:highlight w:val="none"/>
              </w:rPr>
            </w:pPr>
            <w:r>
              <w:rPr>
                <w:rFonts w:hint="eastAsia" w:ascii="仿宋" w:hAnsi="仿宋" w:eastAsia="仿宋" w:cs="宋体"/>
                <w:color w:val="auto"/>
                <w:kern w:val="0"/>
                <w:sz w:val="21"/>
                <w:szCs w:val="21"/>
                <w:highlight w:val="none"/>
                <w:lang w:bidi="ar"/>
              </w:rPr>
              <w:t>1.2人员着装情况</w:t>
            </w:r>
          </w:p>
        </w:tc>
        <w:tc>
          <w:tcPr>
            <w:tcW w:w="1966" w:type="pct"/>
            <w:tcBorders>
              <w:top w:val="single" w:color="000000" w:sz="4" w:space="0"/>
              <w:left w:val="single" w:color="000000" w:sz="4" w:space="0"/>
              <w:bottom w:val="single" w:color="000000" w:sz="4" w:space="0"/>
              <w:right w:val="single" w:color="000000" w:sz="4" w:space="0"/>
            </w:tcBorders>
            <w:vAlign w:val="center"/>
          </w:tcPr>
          <w:p w14:paraId="11ECB763">
            <w:pPr>
              <w:widowControl/>
              <w:spacing w:line="240" w:lineRule="auto"/>
              <w:ind w:firstLine="0" w:firstLineChars="0"/>
              <w:jc w:val="left"/>
              <w:textAlignment w:val="center"/>
              <w:rPr>
                <w:rFonts w:ascii="仿宋" w:hAnsi="仿宋" w:eastAsia="仿宋" w:cs="宋体"/>
                <w:color w:val="auto"/>
                <w:sz w:val="21"/>
                <w:szCs w:val="21"/>
                <w:highlight w:val="none"/>
              </w:rPr>
            </w:pPr>
            <w:r>
              <w:rPr>
                <w:rFonts w:hint="eastAsia" w:ascii="仿宋" w:hAnsi="仿宋" w:eastAsia="仿宋" w:cs="宋体"/>
                <w:color w:val="auto"/>
                <w:kern w:val="0"/>
                <w:sz w:val="21"/>
                <w:szCs w:val="21"/>
                <w:highlight w:val="none"/>
                <w:lang w:bidi="ar"/>
              </w:rPr>
              <w:t>保持良好的管护人员形象，配备对讲机、保安哨笛、移动电话、强光手电筒、警戒带等管护工具。</w:t>
            </w:r>
          </w:p>
        </w:tc>
        <w:tc>
          <w:tcPr>
            <w:tcW w:w="1275" w:type="pct"/>
            <w:tcBorders>
              <w:top w:val="single" w:color="000000" w:sz="4" w:space="0"/>
              <w:left w:val="single" w:color="000000" w:sz="4" w:space="0"/>
              <w:bottom w:val="single" w:color="000000" w:sz="4" w:space="0"/>
              <w:right w:val="single" w:color="000000" w:sz="4" w:space="0"/>
            </w:tcBorders>
            <w:vAlign w:val="center"/>
          </w:tcPr>
          <w:p w14:paraId="4144003F">
            <w:pPr>
              <w:widowControl/>
              <w:spacing w:line="240" w:lineRule="auto"/>
              <w:ind w:firstLine="0" w:firstLineChars="0"/>
              <w:textAlignment w:val="center"/>
              <w:rPr>
                <w:rFonts w:ascii="仿宋" w:hAnsi="仿宋" w:eastAsia="仿宋" w:cs="宋体"/>
                <w:color w:val="auto"/>
                <w:sz w:val="21"/>
                <w:szCs w:val="21"/>
                <w:highlight w:val="none"/>
              </w:rPr>
            </w:pPr>
            <w:r>
              <w:rPr>
                <w:rFonts w:hint="eastAsia" w:ascii="仿宋" w:hAnsi="仿宋" w:eastAsia="仿宋" w:cs="宋体"/>
                <w:color w:val="auto"/>
                <w:kern w:val="0"/>
                <w:sz w:val="21"/>
                <w:szCs w:val="21"/>
                <w:highlight w:val="none"/>
                <w:lang w:bidi="ar"/>
              </w:rPr>
              <w:t>着装不整、未携带管护工具扣1分。</w:t>
            </w:r>
          </w:p>
        </w:tc>
        <w:tc>
          <w:tcPr>
            <w:tcW w:w="434" w:type="pct"/>
            <w:tcBorders>
              <w:top w:val="single" w:color="000000" w:sz="4" w:space="0"/>
              <w:left w:val="single" w:color="000000" w:sz="4" w:space="0"/>
              <w:bottom w:val="single" w:color="000000" w:sz="4" w:space="0"/>
              <w:right w:val="single" w:color="000000" w:sz="4" w:space="0"/>
            </w:tcBorders>
            <w:vAlign w:val="center"/>
          </w:tcPr>
          <w:p w14:paraId="68CA3BF6">
            <w:pPr>
              <w:spacing w:line="240" w:lineRule="auto"/>
              <w:ind w:firstLine="420" w:firstLineChars="0"/>
              <w:jc w:val="left"/>
              <w:rPr>
                <w:rFonts w:ascii="仿宋" w:hAnsi="仿宋" w:eastAsia="仿宋" w:cs="宋体"/>
                <w:color w:val="auto"/>
                <w:sz w:val="21"/>
                <w:szCs w:val="21"/>
                <w:highlight w:val="none"/>
              </w:rPr>
            </w:pPr>
          </w:p>
        </w:tc>
        <w:tc>
          <w:tcPr>
            <w:tcW w:w="303" w:type="pct"/>
            <w:tcBorders>
              <w:top w:val="single" w:color="000000" w:sz="4" w:space="0"/>
              <w:left w:val="single" w:color="000000" w:sz="4" w:space="0"/>
              <w:bottom w:val="single" w:color="000000" w:sz="4" w:space="0"/>
              <w:right w:val="single" w:color="000000" w:sz="4" w:space="0"/>
            </w:tcBorders>
            <w:vAlign w:val="center"/>
          </w:tcPr>
          <w:p w14:paraId="316B4CB8">
            <w:pPr>
              <w:spacing w:line="240" w:lineRule="auto"/>
              <w:ind w:firstLine="400" w:firstLineChars="0"/>
              <w:jc w:val="left"/>
              <w:rPr>
                <w:rFonts w:ascii="仿宋" w:hAnsi="仿宋" w:eastAsia="仿宋" w:cs="宋体"/>
                <w:color w:val="auto"/>
                <w:sz w:val="20"/>
                <w:szCs w:val="20"/>
                <w:highlight w:val="none"/>
              </w:rPr>
            </w:pPr>
          </w:p>
        </w:tc>
      </w:tr>
      <w:tr w14:paraId="51032ABF">
        <w:tblPrEx>
          <w:tblCellMar>
            <w:top w:w="0" w:type="dxa"/>
            <w:left w:w="108" w:type="dxa"/>
            <w:bottom w:w="0" w:type="dxa"/>
            <w:right w:w="108" w:type="dxa"/>
          </w:tblCellMar>
        </w:tblPrEx>
        <w:trPr>
          <w:trHeight w:val="2555" w:hRule="atLeast"/>
        </w:trPr>
        <w:tc>
          <w:tcPr>
            <w:tcW w:w="410" w:type="pct"/>
            <w:vMerge w:val="continue"/>
            <w:tcBorders>
              <w:top w:val="single" w:color="auto" w:sz="4" w:space="0"/>
              <w:left w:val="single" w:color="000000" w:sz="4" w:space="0"/>
              <w:bottom w:val="single" w:color="auto" w:sz="4" w:space="0"/>
              <w:right w:val="single" w:color="000000" w:sz="4" w:space="0"/>
            </w:tcBorders>
            <w:vAlign w:val="center"/>
          </w:tcPr>
          <w:p w14:paraId="3216494A">
            <w:pPr>
              <w:spacing w:line="240" w:lineRule="auto"/>
              <w:ind w:firstLine="420" w:firstLineChars="0"/>
              <w:jc w:val="left"/>
              <w:rPr>
                <w:rFonts w:ascii="仿宋" w:hAnsi="仿宋" w:eastAsia="仿宋" w:cs="宋体"/>
                <w:color w:val="auto"/>
                <w:sz w:val="21"/>
                <w:szCs w:val="21"/>
                <w:highlight w:val="none"/>
              </w:rPr>
            </w:pPr>
          </w:p>
        </w:tc>
        <w:tc>
          <w:tcPr>
            <w:tcW w:w="612" w:type="pct"/>
            <w:tcBorders>
              <w:top w:val="single" w:color="000000" w:sz="4" w:space="0"/>
              <w:left w:val="single" w:color="000000" w:sz="4" w:space="0"/>
              <w:bottom w:val="single" w:color="000000" w:sz="4" w:space="0"/>
              <w:right w:val="single" w:color="000000" w:sz="4" w:space="0"/>
            </w:tcBorders>
            <w:noWrap/>
            <w:vAlign w:val="center"/>
          </w:tcPr>
          <w:p w14:paraId="1C066AEF">
            <w:pPr>
              <w:widowControl/>
              <w:spacing w:line="240" w:lineRule="auto"/>
              <w:ind w:firstLine="0" w:firstLineChars="0"/>
              <w:jc w:val="left"/>
              <w:textAlignment w:val="center"/>
              <w:rPr>
                <w:rFonts w:ascii="仿宋" w:hAnsi="仿宋" w:eastAsia="仿宋" w:cs="宋体"/>
                <w:color w:val="auto"/>
                <w:sz w:val="21"/>
                <w:szCs w:val="21"/>
                <w:highlight w:val="none"/>
              </w:rPr>
            </w:pPr>
            <w:r>
              <w:rPr>
                <w:rFonts w:hint="eastAsia" w:ascii="仿宋" w:hAnsi="仿宋" w:eastAsia="仿宋" w:cs="宋体"/>
                <w:color w:val="auto"/>
                <w:kern w:val="0"/>
                <w:sz w:val="21"/>
                <w:szCs w:val="21"/>
                <w:highlight w:val="none"/>
                <w:lang w:bidi="ar"/>
              </w:rPr>
              <w:t>1.3人员巡护情况</w:t>
            </w:r>
          </w:p>
        </w:tc>
        <w:tc>
          <w:tcPr>
            <w:tcW w:w="1966" w:type="pct"/>
            <w:tcBorders>
              <w:top w:val="single" w:color="000000" w:sz="4" w:space="0"/>
              <w:left w:val="single" w:color="000000" w:sz="4" w:space="0"/>
              <w:bottom w:val="single" w:color="000000" w:sz="4" w:space="0"/>
              <w:right w:val="single" w:color="000000" w:sz="4" w:space="0"/>
            </w:tcBorders>
            <w:vAlign w:val="center"/>
          </w:tcPr>
          <w:p w14:paraId="3D411E81">
            <w:pPr>
              <w:widowControl/>
              <w:spacing w:line="240" w:lineRule="auto"/>
              <w:ind w:firstLine="0" w:firstLineChars="0"/>
              <w:jc w:val="left"/>
              <w:textAlignment w:val="center"/>
              <w:rPr>
                <w:rFonts w:ascii="仿宋" w:hAnsi="仿宋" w:eastAsia="仿宋" w:cs="宋体"/>
                <w:color w:val="auto"/>
                <w:sz w:val="21"/>
                <w:szCs w:val="21"/>
                <w:highlight w:val="none"/>
              </w:rPr>
            </w:pPr>
            <w:r>
              <w:rPr>
                <w:rFonts w:hint="eastAsia" w:ascii="仿宋" w:hAnsi="仿宋" w:eastAsia="仿宋" w:cs="宋体"/>
                <w:color w:val="auto"/>
                <w:kern w:val="0"/>
                <w:sz w:val="21"/>
                <w:szCs w:val="21"/>
                <w:highlight w:val="none"/>
                <w:lang w:bidi="ar"/>
              </w:rPr>
              <w:t>巡护人员24小时不间断、交叉对管护区域严密巡查，做到巡查无空区、管护无死角由于管护得当，熟悉土地边界与地形地貌及各种行经路线，主要针对围网（墙）的维护，标识牌的维护，基础设施、建构筑物及其他附着物的管理和保护。</w:t>
            </w:r>
          </w:p>
        </w:tc>
        <w:tc>
          <w:tcPr>
            <w:tcW w:w="1275" w:type="pct"/>
            <w:tcBorders>
              <w:top w:val="single" w:color="000000" w:sz="4" w:space="0"/>
              <w:left w:val="single" w:color="000000" w:sz="4" w:space="0"/>
              <w:bottom w:val="single" w:color="000000" w:sz="4" w:space="0"/>
              <w:right w:val="single" w:color="000000" w:sz="4" w:space="0"/>
            </w:tcBorders>
            <w:vAlign w:val="center"/>
          </w:tcPr>
          <w:p w14:paraId="063BFFE0">
            <w:pPr>
              <w:widowControl/>
              <w:spacing w:line="240" w:lineRule="auto"/>
              <w:ind w:firstLine="0" w:firstLineChars="0"/>
              <w:textAlignment w:val="center"/>
              <w:rPr>
                <w:rFonts w:ascii="仿宋" w:hAnsi="仿宋" w:eastAsia="仿宋" w:cs="宋体"/>
                <w:color w:val="auto"/>
                <w:sz w:val="21"/>
                <w:szCs w:val="21"/>
                <w:highlight w:val="none"/>
              </w:rPr>
            </w:pPr>
            <w:r>
              <w:rPr>
                <w:rFonts w:hint="eastAsia" w:ascii="仿宋" w:hAnsi="仿宋" w:eastAsia="仿宋" w:cs="宋体"/>
                <w:color w:val="auto"/>
                <w:kern w:val="0"/>
                <w:sz w:val="21"/>
                <w:szCs w:val="21"/>
                <w:highlight w:val="none"/>
                <w:lang w:bidi="ar"/>
              </w:rPr>
              <w:t>由于未巡查或因巡查问题从而造成标识牌、设施被破坏，扣</w:t>
            </w:r>
            <w:r>
              <w:rPr>
                <w:rFonts w:ascii="仿宋" w:hAnsi="仿宋" w:eastAsia="仿宋" w:cs="宋体"/>
                <w:color w:val="auto"/>
                <w:kern w:val="0"/>
                <w:sz w:val="21"/>
                <w:szCs w:val="21"/>
                <w:highlight w:val="none"/>
                <w:lang w:bidi="ar"/>
              </w:rPr>
              <w:t>1</w:t>
            </w:r>
            <w:r>
              <w:rPr>
                <w:rFonts w:hint="eastAsia" w:ascii="仿宋" w:hAnsi="仿宋" w:eastAsia="仿宋" w:cs="宋体"/>
                <w:color w:val="auto"/>
                <w:kern w:val="0"/>
                <w:sz w:val="21"/>
                <w:szCs w:val="21"/>
                <w:highlight w:val="none"/>
                <w:lang w:bidi="ar"/>
              </w:rPr>
              <w:t>分</w:t>
            </w:r>
          </w:p>
        </w:tc>
        <w:tc>
          <w:tcPr>
            <w:tcW w:w="434" w:type="pct"/>
            <w:tcBorders>
              <w:top w:val="single" w:color="000000" w:sz="4" w:space="0"/>
              <w:left w:val="single" w:color="000000" w:sz="4" w:space="0"/>
              <w:bottom w:val="single" w:color="000000" w:sz="4" w:space="0"/>
              <w:right w:val="single" w:color="000000" w:sz="4" w:space="0"/>
            </w:tcBorders>
            <w:noWrap/>
            <w:vAlign w:val="center"/>
          </w:tcPr>
          <w:p w14:paraId="46D3F304">
            <w:pPr>
              <w:spacing w:line="240" w:lineRule="auto"/>
              <w:ind w:firstLine="420" w:firstLineChars="0"/>
              <w:jc w:val="left"/>
              <w:rPr>
                <w:rFonts w:ascii="仿宋" w:hAnsi="仿宋" w:eastAsia="仿宋" w:cs="宋体"/>
                <w:color w:val="auto"/>
                <w:sz w:val="21"/>
                <w:szCs w:val="21"/>
                <w:highlight w:val="none"/>
              </w:rPr>
            </w:pP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4C1EB499">
            <w:pPr>
              <w:spacing w:line="240" w:lineRule="auto"/>
              <w:ind w:firstLine="400" w:firstLineChars="0"/>
              <w:jc w:val="left"/>
              <w:rPr>
                <w:rFonts w:ascii="仿宋" w:hAnsi="仿宋" w:eastAsia="仿宋" w:cs="宋体"/>
                <w:color w:val="auto"/>
                <w:sz w:val="20"/>
                <w:szCs w:val="20"/>
                <w:highlight w:val="none"/>
              </w:rPr>
            </w:pPr>
          </w:p>
        </w:tc>
      </w:tr>
      <w:tr w14:paraId="50A7EBFB">
        <w:tblPrEx>
          <w:tblCellMar>
            <w:top w:w="0" w:type="dxa"/>
            <w:left w:w="108" w:type="dxa"/>
            <w:bottom w:w="0" w:type="dxa"/>
            <w:right w:w="108" w:type="dxa"/>
          </w:tblCellMar>
        </w:tblPrEx>
        <w:trPr>
          <w:trHeight w:val="982" w:hRule="atLeast"/>
        </w:trPr>
        <w:tc>
          <w:tcPr>
            <w:tcW w:w="410" w:type="pct"/>
            <w:vMerge w:val="continue"/>
            <w:tcBorders>
              <w:top w:val="single" w:color="auto" w:sz="4" w:space="0"/>
              <w:left w:val="single" w:color="000000" w:sz="4" w:space="0"/>
              <w:bottom w:val="single" w:color="auto" w:sz="4" w:space="0"/>
              <w:right w:val="single" w:color="000000" w:sz="4" w:space="0"/>
            </w:tcBorders>
            <w:vAlign w:val="center"/>
          </w:tcPr>
          <w:p w14:paraId="018BC113">
            <w:pPr>
              <w:spacing w:line="240" w:lineRule="auto"/>
              <w:ind w:firstLine="420" w:firstLineChars="0"/>
              <w:jc w:val="left"/>
              <w:rPr>
                <w:rFonts w:ascii="仿宋" w:hAnsi="仿宋" w:eastAsia="仿宋" w:cs="宋体"/>
                <w:color w:val="auto"/>
                <w:sz w:val="21"/>
                <w:szCs w:val="21"/>
                <w:highlight w:val="none"/>
              </w:rPr>
            </w:pPr>
          </w:p>
        </w:tc>
        <w:tc>
          <w:tcPr>
            <w:tcW w:w="612" w:type="pct"/>
            <w:tcBorders>
              <w:top w:val="single" w:color="000000" w:sz="4" w:space="0"/>
              <w:left w:val="single" w:color="000000" w:sz="4" w:space="0"/>
              <w:bottom w:val="single" w:color="000000" w:sz="4" w:space="0"/>
              <w:right w:val="single" w:color="000000" w:sz="4" w:space="0"/>
            </w:tcBorders>
            <w:noWrap/>
            <w:vAlign w:val="center"/>
          </w:tcPr>
          <w:p w14:paraId="697AA7A7">
            <w:pPr>
              <w:widowControl/>
              <w:spacing w:line="240" w:lineRule="auto"/>
              <w:ind w:firstLine="0" w:firstLineChars="0"/>
              <w:jc w:val="left"/>
              <w:textAlignment w:val="center"/>
              <w:rPr>
                <w:rFonts w:ascii="仿宋" w:hAnsi="仿宋" w:eastAsia="仿宋" w:cs="宋体"/>
                <w:color w:val="auto"/>
                <w:kern w:val="0"/>
                <w:sz w:val="21"/>
                <w:szCs w:val="21"/>
                <w:highlight w:val="none"/>
                <w:lang w:bidi="ar"/>
              </w:rPr>
            </w:pPr>
            <w:r>
              <w:rPr>
                <w:rFonts w:hint="eastAsia" w:ascii="仿宋" w:hAnsi="仿宋" w:eastAsia="仿宋" w:cs="宋体"/>
                <w:color w:val="auto"/>
                <w:kern w:val="0"/>
                <w:sz w:val="21"/>
                <w:szCs w:val="21"/>
                <w:highlight w:val="none"/>
                <w:lang w:bidi="ar"/>
              </w:rPr>
              <w:t>1</w:t>
            </w:r>
            <w:r>
              <w:rPr>
                <w:rFonts w:ascii="仿宋" w:hAnsi="仿宋" w:eastAsia="仿宋" w:cs="宋体"/>
                <w:color w:val="auto"/>
                <w:kern w:val="0"/>
                <w:sz w:val="21"/>
                <w:szCs w:val="21"/>
                <w:highlight w:val="none"/>
                <w:lang w:bidi="ar"/>
              </w:rPr>
              <w:t>.4</w:t>
            </w:r>
            <w:r>
              <w:rPr>
                <w:rFonts w:hint="eastAsia" w:ascii="仿宋" w:hAnsi="仿宋" w:eastAsia="仿宋" w:cs="宋体"/>
                <w:color w:val="auto"/>
                <w:kern w:val="0"/>
                <w:sz w:val="21"/>
                <w:szCs w:val="21"/>
                <w:highlight w:val="none"/>
                <w:lang w:bidi="ar"/>
              </w:rPr>
              <w:t>人员动态管理</w:t>
            </w:r>
          </w:p>
        </w:tc>
        <w:tc>
          <w:tcPr>
            <w:tcW w:w="1966" w:type="pct"/>
            <w:tcBorders>
              <w:top w:val="single" w:color="000000" w:sz="4" w:space="0"/>
              <w:left w:val="single" w:color="000000" w:sz="4" w:space="0"/>
              <w:bottom w:val="single" w:color="000000" w:sz="4" w:space="0"/>
              <w:right w:val="single" w:color="000000" w:sz="4" w:space="0"/>
            </w:tcBorders>
            <w:vAlign w:val="center"/>
          </w:tcPr>
          <w:p w14:paraId="217EA2E3">
            <w:pPr>
              <w:widowControl/>
              <w:spacing w:line="240" w:lineRule="auto"/>
              <w:ind w:firstLine="0" w:firstLineChars="0"/>
              <w:jc w:val="center"/>
              <w:textAlignment w:val="center"/>
              <w:rPr>
                <w:rFonts w:ascii="仿宋" w:hAnsi="仿宋" w:eastAsia="仿宋" w:cs="宋体"/>
                <w:color w:val="auto"/>
                <w:kern w:val="0"/>
                <w:sz w:val="21"/>
                <w:szCs w:val="21"/>
                <w:highlight w:val="none"/>
                <w:lang w:bidi="ar"/>
              </w:rPr>
            </w:pPr>
            <w:r>
              <w:rPr>
                <w:rFonts w:hint="eastAsia" w:ascii="仿宋" w:hAnsi="仿宋" w:eastAsia="仿宋" w:cs="宋体"/>
                <w:color w:val="auto"/>
                <w:kern w:val="0"/>
                <w:sz w:val="21"/>
                <w:szCs w:val="21"/>
                <w:highlight w:val="none"/>
                <w:lang w:bidi="ar"/>
              </w:rPr>
              <w:t>人员动态管理台帐。</w:t>
            </w:r>
          </w:p>
        </w:tc>
        <w:tc>
          <w:tcPr>
            <w:tcW w:w="1275" w:type="pct"/>
            <w:tcBorders>
              <w:top w:val="single" w:color="000000" w:sz="4" w:space="0"/>
              <w:left w:val="single" w:color="000000" w:sz="4" w:space="0"/>
              <w:bottom w:val="single" w:color="000000" w:sz="4" w:space="0"/>
              <w:right w:val="single" w:color="000000" w:sz="4" w:space="0"/>
            </w:tcBorders>
            <w:vAlign w:val="center"/>
          </w:tcPr>
          <w:p w14:paraId="123BAF04">
            <w:pPr>
              <w:widowControl/>
              <w:spacing w:line="240" w:lineRule="auto"/>
              <w:ind w:firstLine="0" w:firstLineChars="0"/>
              <w:textAlignment w:val="center"/>
              <w:rPr>
                <w:rFonts w:ascii="仿宋" w:hAnsi="仿宋" w:eastAsia="仿宋" w:cs="宋体"/>
                <w:color w:val="auto"/>
                <w:kern w:val="0"/>
                <w:sz w:val="21"/>
                <w:szCs w:val="21"/>
                <w:highlight w:val="none"/>
                <w:lang w:bidi="ar"/>
              </w:rPr>
            </w:pPr>
            <w:r>
              <w:rPr>
                <w:rFonts w:hint="eastAsia" w:ascii="仿宋" w:hAnsi="仿宋" w:eastAsia="仿宋" w:cs="宋体"/>
                <w:color w:val="auto"/>
                <w:kern w:val="0"/>
                <w:sz w:val="21"/>
                <w:szCs w:val="21"/>
                <w:highlight w:val="none"/>
                <w:lang w:bidi="ar"/>
              </w:rPr>
              <w:t>人员变动无手续和记录；考勤记录、巡查记录未上墙扣1分</w:t>
            </w:r>
          </w:p>
        </w:tc>
        <w:tc>
          <w:tcPr>
            <w:tcW w:w="434" w:type="pct"/>
            <w:tcBorders>
              <w:top w:val="single" w:color="000000" w:sz="4" w:space="0"/>
              <w:left w:val="single" w:color="000000" w:sz="4" w:space="0"/>
              <w:bottom w:val="single" w:color="000000" w:sz="4" w:space="0"/>
              <w:right w:val="single" w:color="000000" w:sz="4" w:space="0"/>
            </w:tcBorders>
            <w:noWrap/>
            <w:vAlign w:val="center"/>
          </w:tcPr>
          <w:p w14:paraId="16B5EA0C">
            <w:pPr>
              <w:spacing w:line="240" w:lineRule="auto"/>
              <w:ind w:firstLine="420" w:firstLineChars="0"/>
              <w:jc w:val="left"/>
              <w:rPr>
                <w:rFonts w:ascii="仿宋" w:hAnsi="仿宋" w:eastAsia="仿宋" w:cs="宋体"/>
                <w:color w:val="auto"/>
                <w:sz w:val="21"/>
                <w:szCs w:val="21"/>
                <w:highlight w:val="none"/>
              </w:rPr>
            </w:pP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5BE08DAC">
            <w:pPr>
              <w:spacing w:line="240" w:lineRule="auto"/>
              <w:ind w:firstLine="400" w:firstLineChars="0"/>
              <w:jc w:val="left"/>
              <w:rPr>
                <w:rFonts w:ascii="仿宋" w:hAnsi="仿宋" w:eastAsia="仿宋" w:cs="宋体"/>
                <w:color w:val="auto"/>
                <w:sz w:val="20"/>
                <w:szCs w:val="20"/>
                <w:highlight w:val="none"/>
              </w:rPr>
            </w:pPr>
          </w:p>
        </w:tc>
      </w:tr>
      <w:tr w14:paraId="6335D7B0">
        <w:tblPrEx>
          <w:tblCellMar>
            <w:top w:w="0" w:type="dxa"/>
            <w:left w:w="108" w:type="dxa"/>
            <w:bottom w:w="0" w:type="dxa"/>
            <w:right w:w="108" w:type="dxa"/>
          </w:tblCellMar>
        </w:tblPrEx>
        <w:trPr>
          <w:trHeight w:val="982" w:hRule="atLeast"/>
        </w:trPr>
        <w:tc>
          <w:tcPr>
            <w:tcW w:w="410" w:type="pct"/>
            <w:vMerge w:val="continue"/>
            <w:tcBorders>
              <w:top w:val="single" w:color="auto" w:sz="4" w:space="0"/>
              <w:left w:val="single" w:color="000000" w:sz="4" w:space="0"/>
              <w:bottom w:val="single" w:color="auto" w:sz="4" w:space="0"/>
              <w:right w:val="single" w:color="000000" w:sz="4" w:space="0"/>
            </w:tcBorders>
            <w:vAlign w:val="center"/>
          </w:tcPr>
          <w:p w14:paraId="5514D69F">
            <w:pPr>
              <w:spacing w:line="240" w:lineRule="auto"/>
              <w:ind w:firstLine="420" w:firstLineChars="0"/>
              <w:jc w:val="left"/>
              <w:rPr>
                <w:rFonts w:ascii="仿宋" w:hAnsi="仿宋" w:eastAsia="仿宋" w:cs="宋体"/>
                <w:color w:val="auto"/>
                <w:sz w:val="21"/>
                <w:szCs w:val="21"/>
                <w:highlight w:val="none"/>
              </w:rPr>
            </w:pPr>
          </w:p>
        </w:tc>
        <w:tc>
          <w:tcPr>
            <w:tcW w:w="612" w:type="pct"/>
            <w:tcBorders>
              <w:top w:val="single" w:color="000000" w:sz="4" w:space="0"/>
              <w:left w:val="single" w:color="000000" w:sz="4" w:space="0"/>
              <w:bottom w:val="single" w:color="000000" w:sz="4" w:space="0"/>
              <w:right w:val="single" w:color="000000" w:sz="4" w:space="0"/>
            </w:tcBorders>
            <w:noWrap/>
            <w:vAlign w:val="center"/>
          </w:tcPr>
          <w:p w14:paraId="1B7A74D2">
            <w:pPr>
              <w:widowControl/>
              <w:spacing w:line="240" w:lineRule="auto"/>
              <w:ind w:firstLine="0" w:firstLineChars="0"/>
              <w:jc w:val="left"/>
              <w:textAlignment w:val="center"/>
              <w:rPr>
                <w:rFonts w:ascii="仿宋" w:hAnsi="仿宋" w:eastAsia="仿宋" w:cs="宋体"/>
                <w:color w:val="auto"/>
                <w:kern w:val="0"/>
                <w:sz w:val="21"/>
                <w:szCs w:val="21"/>
                <w:highlight w:val="none"/>
                <w:lang w:bidi="ar"/>
              </w:rPr>
            </w:pPr>
            <w:r>
              <w:rPr>
                <w:rFonts w:hint="eastAsia" w:ascii="仿宋" w:hAnsi="仿宋" w:eastAsia="仿宋" w:cs="宋体"/>
                <w:color w:val="auto"/>
                <w:kern w:val="0"/>
                <w:sz w:val="21"/>
                <w:szCs w:val="21"/>
                <w:highlight w:val="none"/>
                <w:lang w:bidi="ar"/>
              </w:rPr>
              <w:t>1</w:t>
            </w:r>
            <w:r>
              <w:rPr>
                <w:rFonts w:ascii="仿宋" w:hAnsi="仿宋" w:eastAsia="仿宋" w:cs="宋体"/>
                <w:color w:val="auto"/>
                <w:kern w:val="0"/>
                <w:sz w:val="21"/>
                <w:szCs w:val="21"/>
                <w:highlight w:val="none"/>
                <w:lang w:bidi="ar"/>
              </w:rPr>
              <w:t>.5</w:t>
            </w:r>
            <w:r>
              <w:rPr>
                <w:rFonts w:hint="eastAsia" w:ascii="仿宋" w:hAnsi="仿宋" w:eastAsia="仿宋" w:cs="宋体"/>
                <w:color w:val="auto"/>
                <w:kern w:val="0"/>
                <w:sz w:val="21"/>
                <w:szCs w:val="21"/>
                <w:highlight w:val="none"/>
                <w:lang w:bidi="ar"/>
              </w:rPr>
              <w:t>人员培训</w:t>
            </w:r>
          </w:p>
        </w:tc>
        <w:tc>
          <w:tcPr>
            <w:tcW w:w="1966" w:type="pct"/>
            <w:tcBorders>
              <w:top w:val="single" w:color="000000" w:sz="4" w:space="0"/>
              <w:left w:val="single" w:color="000000" w:sz="4" w:space="0"/>
              <w:bottom w:val="single" w:color="000000" w:sz="4" w:space="0"/>
              <w:right w:val="single" w:color="000000" w:sz="4" w:space="0"/>
            </w:tcBorders>
            <w:vAlign w:val="center"/>
          </w:tcPr>
          <w:p w14:paraId="43E054B6">
            <w:pPr>
              <w:widowControl/>
              <w:spacing w:line="240" w:lineRule="auto"/>
              <w:ind w:firstLine="0" w:firstLineChars="0"/>
              <w:textAlignment w:val="center"/>
              <w:rPr>
                <w:rFonts w:ascii="仿宋" w:hAnsi="仿宋" w:eastAsia="仿宋" w:cs="宋体"/>
                <w:color w:val="auto"/>
                <w:kern w:val="0"/>
                <w:sz w:val="21"/>
                <w:szCs w:val="21"/>
                <w:highlight w:val="none"/>
                <w:lang w:bidi="ar"/>
              </w:rPr>
            </w:pPr>
            <w:r>
              <w:rPr>
                <w:rFonts w:hint="eastAsia" w:ascii="仿宋" w:hAnsi="仿宋" w:eastAsia="仿宋" w:cs="宋体"/>
                <w:color w:val="auto"/>
                <w:kern w:val="0"/>
                <w:sz w:val="21"/>
                <w:szCs w:val="21"/>
                <w:highlight w:val="none"/>
                <w:lang w:bidi="ar"/>
              </w:rPr>
              <w:t>人员岗前培训：</w:t>
            </w:r>
          </w:p>
          <w:p w14:paraId="101E9B58">
            <w:pPr>
              <w:widowControl/>
              <w:spacing w:line="240" w:lineRule="auto"/>
              <w:ind w:firstLine="0" w:firstLineChars="0"/>
              <w:textAlignment w:val="center"/>
              <w:rPr>
                <w:rFonts w:ascii="仿宋" w:hAnsi="仿宋" w:eastAsia="仿宋" w:cs="宋体"/>
                <w:color w:val="auto"/>
                <w:kern w:val="0"/>
                <w:sz w:val="21"/>
                <w:szCs w:val="21"/>
                <w:highlight w:val="none"/>
                <w:lang w:bidi="ar"/>
              </w:rPr>
            </w:pPr>
            <w:r>
              <w:rPr>
                <w:rFonts w:hint="eastAsia" w:ascii="仿宋" w:hAnsi="仿宋" w:eastAsia="仿宋" w:cs="宋体"/>
                <w:color w:val="auto"/>
                <w:kern w:val="0"/>
                <w:sz w:val="21"/>
                <w:szCs w:val="21"/>
                <w:highlight w:val="none"/>
                <w:lang w:bidi="ar"/>
              </w:rPr>
              <w:t>(1)国家、省、市法律法规和各项规章制度；</w:t>
            </w:r>
          </w:p>
          <w:p w14:paraId="013A2E8D">
            <w:pPr>
              <w:widowControl/>
              <w:spacing w:line="240" w:lineRule="auto"/>
              <w:ind w:firstLine="0" w:firstLineChars="0"/>
              <w:textAlignment w:val="center"/>
              <w:rPr>
                <w:rFonts w:ascii="仿宋" w:hAnsi="仿宋" w:eastAsia="仿宋" w:cs="宋体"/>
                <w:color w:val="auto"/>
                <w:kern w:val="0"/>
                <w:sz w:val="21"/>
                <w:szCs w:val="21"/>
                <w:highlight w:val="none"/>
                <w:lang w:bidi="ar"/>
              </w:rPr>
            </w:pPr>
            <w:r>
              <w:rPr>
                <w:rFonts w:hint="eastAsia" w:ascii="仿宋" w:hAnsi="仿宋" w:eastAsia="仿宋" w:cs="宋体"/>
                <w:color w:val="auto"/>
                <w:kern w:val="0"/>
                <w:sz w:val="21"/>
                <w:szCs w:val="21"/>
                <w:highlight w:val="none"/>
                <w:lang w:bidi="ar"/>
              </w:rPr>
              <w:t>(</w:t>
            </w:r>
            <w:r>
              <w:rPr>
                <w:rFonts w:ascii="仿宋" w:hAnsi="仿宋" w:eastAsia="仿宋" w:cs="宋体"/>
                <w:color w:val="auto"/>
                <w:kern w:val="0"/>
                <w:sz w:val="21"/>
                <w:szCs w:val="21"/>
                <w:highlight w:val="none"/>
                <w:lang w:bidi="ar"/>
              </w:rPr>
              <w:t>2</w:t>
            </w:r>
            <w:r>
              <w:rPr>
                <w:rFonts w:hint="eastAsia" w:ascii="仿宋" w:hAnsi="仿宋" w:eastAsia="仿宋" w:cs="宋体"/>
                <w:color w:val="auto"/>
                <w:kern w:val="0"/>
                <w:sz w:val="21"/>
                <w:szCs w:val="21"/>
                <w:highlight w:val="none"/>
                <w:lang w:bidi="ar"/>
              </w:rPr>
              <w:t>) 治安、安全、消防知识技能；</w:t>
            </w:r>
          </w:p>
          <w:p w14:paraId="301897D0">
            <w:pPr>
              <w:widowControl/>
              <w:spacing w:line="240" w:lineRule="auto"/>
              <w:ind w:firstLine="0" w:firstLineChars="0"/>
              <w:textAlignment w:val="center"/>
              <w:rPr>
                <w:rFonts w:ascii="仿宋" w:hAnsi="仿宋" w:eastAsia="仿宋" w:cs="宋体"/>
                <w:color w:val="auto"/>
                <w:kern w:val="0"/>
                <w:sz w:val="21"/>
                <w:szCs w:val="21"/>
                <w:highlight w:val="none"/>
                <w:lang w:bidi="ar"/>
              </w:rPr>
            </w:pPr>
            <w:r>
              <w:rPr>
                <w:rFonts w:hint="eastAsia" w:ascii="仿宋" w:hAnsi="仿宋" w:eastAsia="仿宋" w:cs="宋体"/>
                <w:color w:val="auto"/>
                <w:kern w:val="0"/>
                <w:sz w:val="21"/>
                <w:szCs w:val="21"/>
                <w:highlight w:val="none"/>
                <w:lang w:bidi="ar"/>
              </w:rPr>
              <w:t>(</w:t>
            </w:r>
            <w:r>
              <w:rPr>
                <w:rFonts w:ascii="仿宋" w:hAnsi="仿宋" w:eastAsia="仿宋" w:cs="宋体"/>
                <w:color w:val="auto"/>
                <w:kern w:val="0"/>
                <w:sz w:val="21"/>
                <w:szCs w:val="21"/>
                <w:highlight w:val="none"/>
                <w:lang w:bidi="ar"/>
              </w:rPr>
              <w:t>3</w:t>
            </w:r>
            <w:r>
              <w:rPr>
                <w:rFonts w:hint="eastAsia" w:ascii="仿宋" w:hAnsi="仿宋" w:eastAsia="仿宋" w:cs="宋体"/>
                <w:color w:val="auto"/>
                <w:kern w:val="0"/>
                <w:sz w:val="21"/>
                <w:szCs w:val="21"/>
                <w:highlight w:val="none"/>
                <w:lang w:bidi="ar"/>
              </w:rPr>
              <w:t>)应急突发事件的处理方法与措施。</w:t>
            </w:r>
          </w:p>
        </w:tc>
        <w:tc>
          <w:tcPr>
            <w:tcW w:w="1275" w:type="pct"/>
            <w:tcBorders>
              <w:top w:val="single" w:color="000000" w:sz="4" w:space="0"/>
              <w:left w:val="single" w:color="000000" w:sz="4" w:space="0"/>
              <w:bottom w:val="single" w:color="000000" w:sz="4" w:space="0"/>
              <w:right w:val="single" w:color="000000" w:sz="4" w:space="0"/>
            </w:tcBorders>
            <w:vAlign w:val="center"/>
          </w:tcPr>
          <w:p w14:paraId="3A84D012">
            <w:pPr>
              <w:widowControl/>
              <w:spacing w:line="240" w:lineRule="auto"/>
              <w:ind w:firstLine="0" w:firstLineChars="0"/>
              <w:textAlignment w:val="center"/>
              <w:rPr>
                <w:rFonts w:ascii="仿宋" w:hAnsi="仿宋" w:eastAsia="仿宋" w:cs="宋体"/>
                <w:color w:val="auto"/>
                <w:kern w:val="0"/>
                <w:sz w:val="21"/>
                <w:szCs w:val="21"/>
                <w:highlight w:val="none"/>
                <w:lang w:bidi="ar"/>
              </w:rPr>
            </w:pPr>
            <w:r>
              <w:rPr>
                <w:rFonts w:hint="eastAsia" w:ascii="仿宋" w:hAnsi="仿宋" w:eastAsia="仿宋" w:cs="宋体"/>
                <w:color w:val="auto"/>
                <w:kern w:val="0"/>
                <w:sz w:val="21"/>
                <w:szCs w:val="21"/>
                <w:highlight w:val="none"/>
                <w:lang w:bidi="ar"/>
              </w:rPr>
              <w:t>无人员岗前培训记录扣1</w:t>
            </w:r>
            <w:r>
              <w:rPr>
                <w:rFonts w:ascii="仿宋" w:hAnsi="仿宋" w:eastAsia="仿宋" w:cs="宋体"/>
                <w:color w:val="auto"/>
                <w:kern w:val="0"/>
                <w:sz w:val="21"/>
                <w:szCs w:val="21"/>
                <w:highlight w:val="none"/>
                <w:lang w:bidi="ar"/>
              </w:rPr>
              <w:t xml:space="preserve"> </w:t>
            </w:r>
            <w:r>
              <w:rPr>
                <w:rFonts w:hint="eastAsia" w:ascii="仿宋" w:hAnsi="仿宋" w:eastAsia="仿宋" w:cs="宋体"/>
                <w:color w:val="auto"/>
                <w:kern w:val="0"/>
                <w:sz w:val="21"/>
                <w:szCs w:val="21"/>
                <w:highlight w:val="none"/>
                <w:lang w:bidi="ar"/>
              </w:rPr>
              <w:t>分。</w:t>
            </w:r>
          </w:p>
        </w:tc>
        <w:tc>
          <w:tcPr>
            <w:tcW w:w="434" w:type="pct"/>
            <w:tcBorders>
              <w:top w:val="single" w:color="000000" w:sz="4" w:space="0"/>
              <w:left w:val="single" w:color="000000" w:sz="4" w:space="0"/>
              <w:bottom w:val="single" w:color="000000" w:sz="4" w:space="0"/>
              <w:right w:val="single" w:color="000000" w:sz="4" w:space="0"/>
            </w:tcBorders>
            <w:noWrap/>
            <w:vAlign w:val="center"/>
          </w:tcPr>
          <w:p w14:paraId="142F08CA">
            <w:pPr>
              <w:spacing w:line="240" w:lineRule="auto"/>
              <w:ind w:firstLine="420" w:firstLineChars="0"/>
              <w:jc w:val="left"/>
              <w:rPr>
                <w:rFonts w:ascii="仿宋" w:hAnsi="仿宋" w:eastAsia="仿宋" w:cs="宋体"/>
                <w:color w:val="auto"/>
                <w:sz w:val="21"/>
                <w:szCs w:val="21"/>
                <w:highlight w:val="none"/>
              </w:rPr>
            </w:pP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6B70D8B0">
            <w:pPr>
              <w:spacing w:line="240" w:lineRule="auto"/>
              <w:ind w:firstLine="400" w:firstLineChars="0"/>
              <w:jc w:val="left"/>
              <w:rPr>
                <w:rFonts w:ascii="仿宋" w:hAnsi="仿宋" w:eastAsia="仿宋" w:cs="宋体"/>
                <w:color w:val="auto"/>
                <w:sz w:val="20"/>
                <w:szCs w:val="20"/>
                <w:highlight w:val="none"/>
              </w:rPr>
            </w:pPr>
          </w:p>
        </w:tc>
      </w:tr>
      <w:tr w14:paraId="29C4B6FA">
        <w:tblPrEx>
          <w:tblCellMar>
            <w:top w:w="0" w:type="dxa"/>
            <w:left w:w="108" w:type="dxa"/>
            <w:bottom w:w="0" w:type="dxa"/>
            <w:right w:w="108" w:type="dxa"/>
          </w:tblCellMar>
        </w:tblPrEx>
        <w:trPr>
          <w:trHeight w:val="699" w:hRule="atLeast"/>
        </w:trPr>
        <w:tc>
          <w:tcPr>
            <w:tcW w:w="410" w:type="pct"/>
            <w:vMerge w:val="continue"/>
            <w:tcBorders>
              <w:top w:val="single" w:color="auto" w:sz="4" w:space="0"/>
              <w:left w:val="single" w:color="000000" w:sz="4" w:space="0"/>
              <w:bottom w:val="single" w:color="auto" w:sz="4" w:space="0"/>
              <w:right w:val="single" w:color="000000" w:sz="4" w:space="0"/>
            </w:tcBorders>
            <w:vAlign w:val="center"/>
          </w:tcPr>
          <w:p w14:paraId="23A06F9A">
            <w:pPr>
              <w:spacing w:line="240" w:lineRule="auto"/>
              <w:ind w:firstLine="420" w:firstLineChars="0"/>
              <w:jc w:val="left"/>
              <w:rPr>
                <w:rFonts w:ascii="仿宋" w:hAnsi="仿宋" w:eastAsia="仿宋" w:cs="宋体"/>
                <w:color w:val="auto"/>
                <w:sz w:val="21"/>
                <w:szCs w:val="21"/>
                <w:highlight w:val="none"/>
              </w:rPr>
            </w:pPr>
          </w:p>
        </w:tc>
        <w:tc>
          <w:tcPr>
            <w:tcW w:w="612" w:type="pct"/>
            <w:tcBorders>
              <w:top w:val="single" w:color="000000" w:sz="4" w:space="0"/>
              <w:left w:val="single" w:color="000000" w:sz="4" w:space="0"/>
              <w:bottom w:val="single" w:color="auto" w:sz="4" w:space="0"/>
              <w:right w:val="single" w:color="000000" w:sz="4" w:space="0"/>
            </w:tcBorders>
            <w:noWrap/>
            <w:vAlign w:val="center"/>
          </w:tcPr>
          <w:p w14:paraId="5CE639AA">
            <w:pPr>
              <w:widowControl/>
              <w:spacing w:line="240" w:lineRule="auto"/>
              <w:ind w:firstLine="0" w:firstLineChars="0"/>
              <w:jc w:val="left"/>
              <w:textAlignment w:val="center"/>
              <w:rPr>
                <w:rFonts w:ascii="仿宋" w:hAnsi="仿宋" w:eastAsia="仿宋" w:cs="宋体"/>
                <w:color w:val="auto"/>
                <w:kern w:val="0"/>
                <w:sz w:val="21"/>
                <w:szCs w:val="21"/>
                <w:highlight w:val="none"/>
                <w:lang w:bidi="ar"/>
              </w:rPr>
            </w:pPr>
            <w:r>
              <w:rPr>
                <w:rFonts w:hint="eastAsia" w:ascii="仿宋" w:hAnsi="仿宋" w:eastAsia="仿宋" w:cs="宋体"/>
                <w:color w:val="auto"/>
                <w:kern w:val="0"/>
                <w:sz w:val="21"/>
                <w:szCs w:val="21"/>
                <w:highlight w:val="none"/>
                <w:lang w:bidi="ar"/>
              </w:rPr>
              <w:t>1</w:t>
            </w:r>
            <w:r>
              <w:rPr>
                <w:rFonts w:ascii="仿宋" w:hAnsi="仿宋" w:eastAsia="仿宋" w:cs="宋体"/>
                <w:color w:val="auto"/>
                <w:kern w:val="0"/>
                <w:sz w:val="21"/>
                <w:szCs w:val="21"/>
                <w:highlight w:val="none"/>
                <w:lang w:bidi="ar"/>
              </w:rPr>
              <w:t>.6</w:t>
            </w:r>
            <w:r>
              <w:rPr>
                <w:rFonts w:hint="eastAsia" w:ascii="仿宋" w:hAnsi="仿宋" w:eastAsia="仿宋" w:cs="宋体"/>
                <w:color w:val="auto"/>
                <w:kern w:val="0"/>
                <w:sz w:val="21"/>
                <w:szCs w:val="21"/>
                <w:highlight w:val="none"/>
                <w:lang w:bidi="ar"/>
              </w:rPr>
              <w:t>人员玩忽职守、滥用职权</w:t>
            </w:r>
          </w:p>
        </w:tc>
        <w:tc>
          <w:tcPr>
            <w:tcW w:w="1966" w:type="pct"/>
            <w:tcBorders>
              <w:top w:val="single" w:color="000000" w:sz="4" w:space="0"/>
              <w:left w:val="single" w:color="000000" w:sz="4" w:space="0"/>
              <w:bottom w:val="single" w:color="000000" w:sz="4" w:space="0"/>
              <w:right w:val="single" w:color="000000" w:sz="4" w:space="0"/>
            </w:tcBorders>
            <w:vAlign w:val="center"/>
          </w:tcPr>
          <w:p w14:paraId="073F1CFB">
            <w:pPr>
              <w:widowControl/>
              <w:spacing w:line="240" w:lineRule="auto"/>
              <w:ind w:firstLine="0" w:firstLineChars="0"/>
              <w:jc w:val="left"/>
              <w:textAlignment w:val="center"/>
              <w:rPr>
                <w:rFonts w:ascii="仿宋" w:hAnsi="仿宋" w:eastAsia="仿宋" w:cs="宋体"/>
                <w:color w:val="auto"/>
                <w:kern w:val="0"/>
                <w:sz w:val="21"/>
                <w:szCs w:val="21"/>
                <w:highlight w:val="none"/>
                <w:lang w:bidi="ar"/>
              </w:rPr>
            </w:pPr>
            <w:r>
              <w:rPr>
                <w:rFonts w:hint="eastAsia" w:ascii="仿宋" w:hAnsi="仿宋" w:eastAsia="仿宋" w:cs="宋体"/>
                <w:color w:val="auto"/>
                <w:kern w:val="0"/>
                <w:sz w:val="21"/>
                <w:szCs w:val="21"/>
                <w:highlight w:val="none"/>
                <w:lang w:bidi="ar"/>
              </w:rPr>
              <w:t>管护人员如有玩忽职守、滥用职权，给国家、集体造成重大损失或利用职务便利，在土地管护过程中索取和非法收受他人财物的根据情节轻重，给予相应的处分；构成犯罪的，将依法追究刑事责任。</w:t>
            </w:r>
          </w:p>
        </w:tc>
        <w:tc>
          <w:tcPr>
            <w:tcW w:w="1275" w:type="pct"/>
            <w:tcBorders>
              <w:top w:val="single" w:color="000000" w:sz="4" w:space="0"/>
              <w:left w:val="single" w:color="000000" w:sz="4" w:space="0"/>
              <w:bottom w:val="single" w:color="000000" w:sz="4" w:space="0"/>
              <w:right w:val="single" w:color="000000" w:sz="4" w:space="0"/>
            </w:tcBorders>
            <w:vAlign w:val="center"/>
          </w:tcPr>
          <w:p w14:paraId="6A9D4D57">
            <w:pPr>
              <w:widowControl/>
              <w:spacing w:line="240" w:lineRule="auto"/>
              <w:ind w:firstLine="0" w:firstLineChars="0"/>
              <w:textAlignment w:val="center"/>
              <w:rPr>
                <w:rFonts w:ascii="仿宋" w:hAnsi="仿宋" w:eastAsia="仿宋" w:cs="宋体"/>
                <w:color w:val="auto"/>
                <w:kern w:val="0"/>
                <w:sz w:val="21"/>
                <w:szCs w:val="21"/>
                <w:highlight w:val="none"/>
                <w:lang w:bidi="ar"/>
              </w:rPr>
            </w:pPr>
            <w:r>
              <w:rPr>
                <w:rFonts w:hint="eastAsia" w:ascii="仿宋" w:hAnsi="仿宋" w:eastAsia="仿宋" w:cs="宋体"/>
                <w:color w:val="auto"/>
                <w:kern w:val="0"/>
                <w:sz w:val="21"/>
                <w:szCs w:val="21"/>
                <w:highlight w:val="none"/>
                <w:lang w:bidi="ar"/>
              </w:rPr>
              <w:t>玩忽职守、滥用职权，给国家、集体造成重大损失或利用职务便利，在土地管护过程中索取和非法收受他人财物的根据情节轻重，给予相应的处分；构成犯罪的，将依法追究刑事责任。绩效考核为不合格。</w:t>
            </w:r>
          </w:p>
          <w:p w14:paraId="1B478414">
            <w:pPr>
              <w:widowControl/>
              <w:spacing w:line="240" w:lineRule="auto"/>
              <w:ind w:firstLine="0" w:firstLineChars="0"/>
              <w:textAlignment w:val="center"/>
              <w:rPr>
                <w:rFonts w:ascii="仿宋" w:hAnsi="仿宋" w:eastAsia="仿宋" w:cs="宋体"/>
                <w:color w:val="auto"/>
                <w:kern w:val="0"/>
                <w:sz w:val="21"/>
                <w:szCs w:val="21"/>
                <w:highlight w:val="none"/>
                <w:lang w:bidi="ar"/>
              </w:rPr>
            </w:pPr>
          </w:p>
        </w:tc>
        <w:tc>
          <w:tcPr>
            <w:tcW w:w="434" w:type="pct"/>
            <w:tcBorders>
              <w:top w:val="single" w:color="000000" w:sz="4" w:space="0"/>
              <w:left w:val="single" w:color="000000" w:sz="4" w:space="0"/>
              <w:bottom w:val="single" w:color="000000" w:sz="4" w:space="0"/>
              <w:right w:val="single" w:color="000000" w:sz="4" w:space="0"/>
            </w:tcBorders>
            <w:noWrap/>
            <w:vAlign w:val="center"/>
          </w:tcPr>
          <w:p w14:paraId="21A2C444">
            <w:pPr>
              <w:spacing w:line="240" w:lineRule="auto"/>
              <w:ind w:firstLine="420" w:firstLineChars="0"/>
              <w:jc w:val="left"/>
              <w:rPr>
                <w:rFonts w:ascii="仿宋" w:hAnsi="仿宋" w:eastAsia="仿宋" w:cs="宋体"/>
                <w:color w:val="auto"/>
                <w:sz w:val="21"/>
                <w:szCs w:val="21"/>
                <w:highlight w:val="none"/>
              </w:rPr>
            </w:pP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7C5025BD">
            <w:pPr>
              <w:spacing w:line="240" w:lineRule="auto"/>
              <w:ind w:firstLine="400" w:firstLineChars="0"/>
              <w:jc w:val="left"/>
              <w:rPr>
                <w:rFonts w:ascii="仿宋" w:hAnsi="仿宋" w:eastAsia="仿宋" w:cs="宋体"/>
                <w:color w:val="auto"/>
                <w:sz w:val="20"/>
                <w:szCs w:val="20"/>
                <w:highlight w:val="none"/>
              </w:rPr>
            </w:pPr>
          </w:p>
        </w:tc>
      </w:tr>
      <w:tr w14:paraId="105337ED">
        <w:tblPrEx>
          <w:tblCellMar>
            <w:top w:w="0" w:type="dxa"/>
            <w:left w:w="108" w:type="dxa"/>
            <w:bottom w:w="0" w:type="dxa"/>
            <w:right w:w="108" w:type="dxa"/>
          </w:tblCellMar>
        </w:tblPrEx>
        <w:trPr>
          <w:trHeight w:val="699" w:hRule="atLeast"/>
        </w:trPr>
        <w:tc>
          <w:tcPr>
            <w:tcW w:w="410" w:type="pct"/>
            <w:vMerge w:val="restart"/>
            <w:tcBorders>
              <w:top w:val="single" w:color="auto" w:sz="4" w:space="0"/>
              <w:left w:val="single" w:color="000000" w:sz="4" w:space="0"/>
              <w:bottom w:val="single" w:color="000000" w:sz="4" w:space="0"/>
              <w:right w:val="single" w:color="000000" w:sz="4" w:space="0"/>
            </w:tcBorders>
            <w:vAlign w:val="center"/>
          </w:tcPr>
          <w:p w14:paraId="7AAC5D46">
            <w:pPr>
              <w:widowControl/>
              <w:spacing w:line="240" w:lineRule="auto"/>
              <w:ind w:firstLine="0" w:firstLineChars="0"/>
              <w:jc w:val="left"/>
              <w:textAlignment w:val="center"/>
              <w:rPr>
                <w:rFonts w:ascii="仿宋" w:hAnsi="仿宋" w:eastAsia="仿宋" w:cs="宋体"/>
                <w:color w:val="auto"/>
                <w:kern w:val="0"/>
                <w:sz w:val="21"/>
                <w:szCs w:val="21"/>
                <w:highlight w:val="none"/>
                <w:lang w:bidi="ar"/>
              </w:rPr>
            </w:pPr>
            <w:r>
              <w:rPr>
                <w:rFonts w:hint="eastAsia" w:ascii="仿宋" w:hAnsi="仿宋" w:eastAsia="仿宋" w:cs="宋体"/>
                <w:color w:val="auto"/>
                <w:kern w:val="0"/>
                <w:sz w:val="21"/>
                <w:szCs w:val="21"/>
                <w:highlight w:val="none"/>
                <w:lang w:bidi="ar"/>
              </w:rPr>
              <w:t>二、</w:t>
            </w:r>
          </w:p>
          <w:p w14:paraId="41833912">
            <w:pPr>
              <w:widowControl/>
              <w:spacing w:line="240" w:lineRule="auto"/>
              <w:ind w:firstLine="0" w:firstLineChars="0"/>
              <w:jc w:val="left"/>
              <w:textAlignment w:val="center"/>
              <w:rPr>
                <w:rFonts w:ascii="仿宋" w:hAnsi="仿宋" w:eastAsia="仿宋" w:cs="宋体"/>
                <w:color w:val="auto"/>
                <w:sz w:val="21"/>
                <w:szCs w:val="21"/>
                <w:highlight w:val="none"/>
              </w:rPr>
            </w:pPr>
            <w:r>
              <w:rPr>
                <w:rFonts w:hint="eastAsia" w:ascii="仿宋" w:hAnsi="仿宋" w:eastAsia="仿宋" w:cs="宋体"/>
                <w:color w:val="auto"/>
                <w:kern w:val="0"/>
                <w:sz w:val="21"/>
                <w:szCs w:val="21"/>
                <w:highlight w:val="none"/>
                <w:lang w:bidi="ar"/>
              </w:rPr>
              <w:t>检查情况</w:t>
            </w:r>
          </w:p>
        </w:tc>
        <w:tc>
          <w:tcPr>
            <w:tcW w:w="612" w:type="pct"/>
            <w:vMerge w:val="restart"/>
            <w:tcBorders>
              <w:top w:val="single" w:color="auto" w:sz="4" w:space="0"/>
              <w:left w:val="single" w:color="000000" w:sz="4" w:space="0"/>
              <w:bottom w:val="single" w:color="auto" w:sz="4" w:space="0"/>
              <w:right w:val="single" w:color="000000" w:sz="4" w:space="0"/>
            </w:tcBorders>
            <w:vAlign w:val="center"/>
          </w:tcPr>
          <w:p w14:paraId="62313E14">
            <w:pPr>
              <w:widowControl/>
              <w:spacing w:line="240" w:lineRule="auto"/>
              <w:ind w:firstLine="0" w:firstLineChars="0"/>
              <w:jc w:val="left"/>
              <w:textAlignment w:val="center"/>
              <w:rPr>
                <w:rFonts w:ascii="仿宋" w:hAnsi="仿宋" w:eastAsia="仿宋" w:cs="宋体"/>
                <w:color w:val="auto"/>
                <w:sz w:val="21"/>
                <w:szCs w:val="21"/>
                <w:highlight w:val="none"/>
              </w:rPr>
            </w:pPr>
            <w:r>
              <w:rPr>
                <w:rFonts w:hint="eastAsia" w:ascii="仿宋" w:hAnsi="仿宋" w:eastAsia="仿宋" w:cs="宋体"/>
                <w:color w:val="auto"/>
                <w:kern w:val="0"/>
                <w:sz w:val="21"/>
                <w:szCs w:val="21"/>
                <w:highlight w:val="none"/>
                <w:lang w:bidi="ar"/>
              </w:rPr>
              <w:t>2.1管护情况</w:t>
            </w:r>
          </w:p>
        </w:tc>
        <w:tc>
          <w:tcPr>
            <w:tcW w:w="1966" w:type="pct"/>
            <w:vMerge w:val="restart"/>
            <w:tcBorders>
              <w:top w:val="single" w:color="000000" w:sz="4" w:space="0"/>
              <w:left w:val="single" w:color="000000" w:sz="4" w:space="0"/>
              <w:bottom w:val="single" w:color="000000" w:sz="4" w:space="0"/>
              <w:right w:val="single" w:color="000000" w:sz="4" w:space="0"/>
            </w:tcBorders>
            <w:vAlign w:val="center"/>
          </w:tcPr>
          <w:p w14:paraId="16277D9A">
            <w:pPr>
              <w:widowControl/>
              <w:spacing w:line="240" w:lineRule="auto"/>
              <w:ind w:firstLine="0" w:firstLineChars="0"/>
              <w:jc w:val="left"/>
              <w:textAlignment w:val="center"/>
              <w:rPr>
                <w:rFonts w:ascii="仿宋" w:hAnsi="仿宋" w:eastAsia="仿宋" w:cs="宋体"/>
                <w:color w:val="auto"/>
                <w:sz w:val="21"/>
                <w:szCs w:val="21"/>
                <w:highlight w:val="none"/>
              </w:rPr>
            </w:pPr>
            <w:r>
              <w:rPr>
                <w:rFonts w:hint="eastAsia" w:ascii="仿宋" w:hAnsi="仿宋" w:eastAsia="仿宋" w:cs="宋体"/>
                <w:color w:val="auto"/>
                <w:kern w:val="0"/>
                <w:sz w:val="21"/>
                <w:szCs w:val="21"/>
                <w:highlight w:val="none"/>
                <w:lang w:bidi="ar"/>
              </w:rPr>
              <w:t>现管护土地内存在新增违法用地、违法建筑、乱砍滥发林木、超过规定标准排放污染物、乱倒淤泥渣土、建筑垃圾等行为，应当及时采取措施予以阻止并及时上报，做好现场调查、拍照取证等工作。存在不安全的地段进行全面排查并清除安全隐患。检查完毕后及时更新台账记录。</w:t>
            </w:r>
          </w:p>
        </w:tc>
        <w:tc>
          <w:tcPr>
            <w:tcW w:w="1275" w:type="pct"/>
            <w:tcBorders>
              <w:top w:val="single" w:color="000000" w:sz="4" w:space="0"/>
              <w:left w:val="single" w:color="000000" w:sz="4" w:space="0"/>
              <w:bottom w:val="single" w:color="000000" w:sz="4" w:space="0"/>
              <w:right w:val="single" w:color="000000" w:sz="4" w:space="0"/>
            </w:tcBorders>
            <w:vAlign w:val="center"/>
          </w:tcPr>
          <w:p w14:paraId="040A4BD9">
            <w:pPr>
              <w:widowControl/>
              <w:spacing w:line="240" w:lineRule="auto"/>
              <w:ind w:firstLine="0" w:firstLineChars="0"/>
              <w:textAlignment w:val="center"/>
              <w:rPr>
                <w:rFonts w:ascii="仿宋" w:hAnsi="仿宋" w:eastAsia="仿宋" w:cs="宋体"/>
                <w:color w:val="auto"/>
                <w:sz w:val="21"/>
                <w:szCs w:val="21"/>
                <w:highlight w:val="none"/>
              </w:rPr>
            </w:pPr>
            <w:r>
              <w:rPr>
                <w:rFonts w:hint="eastAsia" w:ascii="仿宋" w:hAnsi="仿宋" w:eastAsia="仿宋" w:cs="宋体"/>
                <w:color w:val="auto"/>
                <w:kern w:val="0"/>
                <w:sz w:val="21"/>
                <w:szCs w:val="21"/>
                <w:highlight w:val="none"/>
                <w:lang w:bidi="ar"/>
              </w:rPr>
              <w:t>发现管护区域出现违法用地、违法建筑、林木被砍伐等情况，扣4分</w:t>
            </w:r>
          </w:p>
        </w:tc>
        <w:tc>
          <w:tcPr>
            <w:tcW w:w="434" w:type="pct"/>
            <w:tcBorders>
              <w:top w:val="single" w:color="000000" w:sz="4" w:space="0"/>
              <w:left w:val="single" w:color="000000" w:sz="4" w:space="0"/>
              <w:bottom w:val="single" w:color="000000" w:sz="4" w:space="0"/>
              <w:right w:val="single" w:color="000000" w:sz="4" w:space="0"/>
            </w:tcBorders>
            <w:vAlign w:val="center"/>
          </w:tcPr>
          <w:p w14:paraId="1A0C8193">
            <w:pPr>
              <w:spacing w:line="240" w:lineRule="auto"/>
              <w:ind w:firstLine="400" w:firstLineChars="0"/>
              <w:jc w:val="left"/>
              <w:rPr>
                <w:rFonts w:ascii="仿宋" w:hAnsi="仿宋" w:eastAsia="仿宋" w:cs="宋体"/>
                <w:color w:val="auto"/>
                <w:sz w:val="20"/>
                <w:szCs w:val="20"/>
                <w:highlight w:val="none"/>
              </w:rPr>
            </w:pPr>
          </w:p>
        </w:tc>
        <w:tc>
          <w:tcPr>
            <w:tcW w:w="303" w:type="pct"/>
            <w:tcBorders>
              <w:top w:val="single" w:color="000000" w:sz="4" w:space="0"/>
              <w:left w:val="single" w:color="000000" w:sz="4" w:space="0"/>
              <w:bottom w:val="single" w:color="000000" w:sz="4" w:space="0"/>
              <w:right w:val="single" w:color="000000" w:sz="4" w:space="0"/>
            </w:tcBorders>
            <w:vAlign w:val="center"/>
          </w:tcPr>
          <w:p w14:paraId="6CD3B1A7">
            <w:pPr>
              <w:spacing w:line="240" w:lineRule="auto"/>
              <w:ind w:firstLine="400" w:firstLineChars="0"/>
              <w:jc w:val="left"/>
              <w:rPr>
                <w:rFonts w:ascii="仿宋" w:hAnsi="仿宋" w:eastAsia="仿宋" w:cs="宋体"/>
                <w:color w:val="auto"/>
                <w:sz w:val="20"/>
                <w:szCs w:val="20"/>
                <w:highlight w:val="none"/>
              </w:rPr>
            </w:pPr>
          </w:p>
        </w:tc>
      </w:tr>
      <w:tr w14:paraId="29C6BBE5">
        <w:tblPrEx>
          <w:tblCellMar>
            <w:top w:w="0" w:type="dxa"/>
            <w:left w:w="108" w:type="dxa"/>
            <w:bottom w:w="0" w:type="dxa"/>
            <w:right w:w="108" w:type="dxa"/>
          </w:tblCellMar>
        </w:tblPrEx>
        <w:trPr>
          <w:trHeight w:val="961" w:hRule="atLeast"/>
        </w:trPr>
        <w:tc>
          <w:tcPr>
            <w:tcW w:w="410" w:type="pct"/>
            <w:vMerge w:val="continue"/>
            <w:tcBorders>
              <w:top w:val="single" w:color="000000" w:sz="4" w:space="0"/>
              <w:left w:val="single" w:color="000000" w:sz="4" w:space="0"/>
              <w:bottom w:val="single" w:color="000000" w:sz="4" w:space="0"/>
              <w:right w:val="single" w:color="000000" w:sz="4" w:space="0"/>
            </w:tcBorders>
            <w:vAlign w:val="center"/>
          </w:tcPr>
          <w:p w14:paraId="63953412">
            <w:pPr>
              <w:spacing w:line="240" w:lineRule="auto"/>
              <w:ind w:firstLine="420" w:firstLineChars="0"/>
              <w:jc w:val="left"/>
              <w:rPr>
                <w:rFonts w:ascii="仿宋" w:hAnsi="仿宋" w:eastAsia="仿宋" w:cs="宋体"/>
                <w:color w:val="auto"/>
                <w:sz w:val="21"/>
                <w:szCs w:val="21"/>
                <w:highlight w:val="none"/>
              </w:rPr>
            </w:pPr>
          </w:p>
        </w:tc>
        <w:tc>
          <w:tcPr>
            <w:tcW w:w="612" w:type="pct"/>
            <w:vMerge w:val="continue"/>
            <w:tcBorders>
              <w:top w:val="single" w:color="000000" w:sz="4" w:space="0"/>
              <w:left w:val="single" w:color="000000" w:sz="4" w:space="0"/>
              <w:bottom w:val="single" w:color="auto" w:sz="4" w:space="0"/>
              <w:right w:val="single" w:color="000000" w:sz="4" w:space="0"/>
            </w:tcBorders>
            <w:vAlign w:val="center"/>
          </w:tcPr>
          <w:p w14:paraId="6DFB807C">
            <w:pPr>
              <w:spacing w:line="240" w:lineRule="auto"/>
              <w:ind w:firstLine="420" w:firstLineChars="0"/>
              <w:jc w:val="left"/>
              <w:rPr>
                <w:rFonts w:ascii="仿宋" w:hAnsi="仿宋" w:eastAsia="仿宋" w:cs="宋体"/>
                <w:color w:val="auto"/>
                <w:sz w:val="21"/>
                <w:szCs w:val="21"/>
                <w:highlight w:val="none"/>
              </w:rPr>
            </w:pPr>
          </w:p>
        </w:tc>
        <w:tc>
          <w:tcPr>
            <w:tcW w:w="1966" w:type="pct"/>
            <w:vMerge w:val="continue"/>
            <w:tcBorders>
              <w:top w:val="single" w:color="000000" w:sz="4" w:space="0"/>
              <w:left w:val="single" w:color="000000" w:sz="4" w:space="0"/>
              <w:bottom w:val="single" w:color="000000" w:sz="4" w:space="0"/>
              <w:right w:val="single" w:color="000000" w:sz="4" w:space="0"/>
            </w:tcBorders>
            <w:vAlign w:val="center"/>
          </w:tcPr>
          <w:p w14:paraId="647D0F1A">
            <w:pPr>
              <w:spacing w:line="240" w:lineRule="auto"/>
              <w:ind w:firstLine="420" w:firstLineChars="0"/>
              <w:jc w:val="left"/>
              <w:rPr>
                <w:rFonts w:ascii="仿宋" w:hAnsi="仿宋" w:eastAsia="仿宋" w:cs="宋体"/>
                <w:color w:val="auto"/>
                <w:sz w:val="21"/>
                <w:szCs w:val="21"/>
                <w:highlight w:val="none"/>
              </w:rPr>
            </w:pPr>
          </w:p>
        </w:tc>
        <w:tc>
          <w:tcPr>
            <w:tcW w:w="1275" w:type="pct"/>
            <w:tcBorders>
              <w:top w:val="single" w:color="000000" w:sz="4" w:space="0"/>
              <w:left w:val="single" w:color="000000" w:sz="4" w:space="0"/>
              <w:bottom w:val="single" w:color="000000" w:sz="4" w:space="0"/>
              <w:right w:val="single" w:color="000000" w:sz="4" w:space="0"/>
            </w:tcBorders>
            <w:vAlign w:val="center"/>
          </w:tcPr>
          <w:p w14:paraId="2CB9549A">
            <w:pPr>
              <w:widowControl/>
              <w:spacing w:line="240" w:lineRule="auto"/>
              <w:ind w:firstLine="0" w:firstLineChars="0"/>
              <w:textAlignment w:val="center"/>
              <w:rPr>
                <w:rFonts w:ascii="仿宋" w:hAnsi="仿宋" w:eastAsia="仿宋" w:cs="宋体"/>
                <w:color w:val="auto"/>
                <w:sz w:val="21"/>
                <w:szCs w:val="21"/>
                <w:highlight w:val="none"/>
              </w:rPr>
            </w:pPr>
            <w:r>
              <w:rPr>
                <w:rFonts w:hint="eastAsia" w:ascii="仿宋" w:hAnsi="仿宋" w:eastAsia="仿宋" w:cs="宋体"/>
                <w:color w:val="auto"/>
                <w:kern w:val="0"/>
                <w:sz w:val="21"/>
                <w:szCs w:val="21"/>
                <w:highlight w:val="none"/>
                <w:lang w:bidi="ar"/>
              </w:rPr>
              <w:t>发现管护区域内出现排放污染物、乱倾倒渣土、建筑垃圾等情况，扣</w:t>
            </w:r>
            <w:r>
              <w:rPr>
                <w:rFonts w:ascii="仿宋" w:hAnsi="仿宋" w:eastAsia="仿宋" w:cs="宋体"/>
                <w:color w:val="auto"/>
                <w:kern w:val="0"/>
                <w:sz w:val="21"/>
                <w:szCs w:val="21"/>
                <w:highlight w:val="none"/>
                <w:lang w:bidi="ar"/>
              </w:rPr>
              <w:t>4</w:t>
            </w:r>
            <w:r>
              <w:rPr>
                <w:rFonts w:hint="eastAsia" w:ascii="仿宋" w:hAnsi="仿宋" w:eastAsia="仿宋" w:cs="宋体"/>
                <w:color w:val="auto"/>
                <w:kern w:val="0"/>
                <w:sz w:val="21"/>
                <w:szCs w:val="21"/>
                <w:highlight w:val="none"/>
                <w:lang w:bidi="ar"/>
              </w:rPr>
              <w:t>分</w:t>
            </w:r>
          </w:p>
        </w:tc>
        <w:tc>
          <w:tcPr>
            <w:tcW w:w="434" w:type="pct"/>
            <w:tcBorders>
              <w:top w:val="single" w:color="000000" w:sz="4" w:space="0"/>
              <w:left w:val="single" w:color="000000" w:sz="4" w:space="0"/>
              <w:bottom w:val="single" w:color="000000" w:sz="4" w:space="0"/>
              <w:right w:val="single" w:color="000000" w:sz="4" w:space="0"/>
            </w:tcBorders>
            <w:vAlign w:val="center"/>
          </w:tcPr>
          <w:p w14:paraId="5CEF70F5">
            <w:pPr>
              <w:spacing w:line="240" w:lineRule="auto"/>
              <w:ind w:firstLine="400" w:firstLineChars="0"/>
              <w:jc w:val="left"/>
              <w:rPr>
                <w:rFonts w:ascii="仿宋" w:hAnsi="仿宋" w:eastAsia="仿宋" w:cs="宋体"/>
                <w:color w:val="auto"/>
                <w:sz w:val="20"/>
                <w:szCs w:val="20"/>
                <w:highlight w:val="none"/>
              </w:rPr>
            </w:pPr>
          </w:p>
        </w:tc>
        <w:tc>
          <w:tcPr>
            <w:tcW w:w="303" w:type="pct"/>
            <w:tcBorders>
              <w:top w:val="single" w:color="000000" w:sz="4" w:space="0"/>
              <w:left w:val="single" w:color="000000" w:sz="4" w:space="0"/>
              <w:bottom w:val="single" w:color="000000" w:sz="4" w:space="0"/>
              <w:right w:val="single" w:color="000000" w:sz="4" w:space="0"/>
            </w:tcBorders>
            <w:vAlign w:val="center"/>
          </w:tcPr>
          <w:p w14:paraId="68CD5F1D">
            <w:pPr>
              <w:spacing w:line="240" w:lineRule="auto"/>
              <w:ind w:firstLine="400" w:firstLineChars="0"/>
              <w:jc w:val="left"/>
              <w:rPr>
                <w:rFonts w:ascii="仿宋" w:hAnsi="仿宋" w:eastAsia="仿宋" w:cs="宋体"/>
                <w:color w:val="auto"/>
                <w:sz w:val="20"/>
                <w:szCs w:val="20"/>
                <w:highlight w:val="none"/>
              </w:rPr>
            </w:pPr>
          </w:p>
        </w:tc>
      </w:tr>
      <w:tr w14:paraId="63157E6E">
        <w:tblPrEx>
          <w:tblCellMar>
            <w:top w:w="0" w:type="dxa"/>
            <w:left w:w="108" w:type="dxa"/>
            <w:bottom w:w="0" w:type="dxa"/>
            <w:right w:w="108" w:type="dxa"/>
          </w:tblCellMar>
        </w:tblPrEx>
        <w:trPr>
          <w:trHeight w:val="855" w:hRule="atLeast"/>
        </w:trPr>
        <w:tc>
          <w:tcPr>
            <w:tcW w:w="410" w:type="pct"/>
            <w:vMerge w:val="continue"/>
            <w:tcBorders>
              <w:top w:val="single" w:color="000000" w:sz="4" w:space="0"/>
              <w:left w:val="single" w:color="000000" w:sz="4" w:space="0"/>
              <w:bottom w:val="single" w:color="000000" w:sz="4" w:space="0"/>
              <w:right w:val="single" w:color="000000" w:sz="4" w:space="0"/>
            </w:tcBorders>
            <w:vAlign w:val="center"/>
          </w:tcPr>
          <w:p w14:paraId="48230A4C">
            <w:pPr>
              <w:spacing w:line="240" w:lineRule="auto"/>
              <w:ind w:firstLine="420" w:firstLineChars="0"/>
              <w:jc w:val="left"/>
              <w:rPr>
                <w:rFonts w:ascii="仿宋" w:hAnsi="仿宋" w:eastAsia="仿宋" w:cs="宋体"/>
                <w:color w:val="auto"/>
                <w:sz w:val="21"/>
                <w:szCs w:val="21"/>
                <w:highlight w:val="none"/>
              </w:rPr>
            </w:pPr>
          </w:p>
        </w:tc>
        <w:tc>
          <w:tcPr>
            <w:tcW w:w="612" w:type="pct"/>
            <w:vMerge w:val="continue"/>
            <w:tcBorders>
              <w:top w:val="single" w:color="000000" w:sz="4" w:space="0"/>
              <w:left w:val="single" w:color="000000" w:sz="4" w:space="0"/>
              <w:bottom w:val="single" w:color="auto" w:sz="4" w:space="0"/>
              <w:right w:val="single" w:color="000000" w:sz="4" w:space="0"/>
            </w:tcBorders>
            <w:vAlign w:val="center"/>
          </w:tcPr>
          <w:p w14:paraId="034ED1BE">
            <w:pPr>
              <w:spacing w:line="240" w:lineRule="auto"/>
              <w:ind w:firstLine="420" w:firstLineChars="0"/>
              <w:jc w:val="left"/>
              <w:rPr>
                <w:rFonts w:ascii="仿宋" w:hAnsi="仿宋" w:eastAsia="仿宋" w:cs="宋体"/>
                <w:color w:val="auto"/>
                <w:sz w:val="21"/>
                <w:szCs w:val="21"/>
                <w:highlight w:val="none"/>
              </w:rPr>
            </w:pPr>
          </w:p>
        </w:tc>
        <w:tc>
          <w:tcPr>
            <w:tcW w:w="1966" w:type="pct"/>
            <w:vMerge w:val="continue"/>
            <w:tcBorders>
              <w:top w:val="single" w:color="000000" w:sz="4" w:space="0"/>
              <w:left w:val="single" w:color="000000" w:sz="4" w:space="0"/>
              <w:bottom w:val="single" w:color="000000" w:sz="4" w:space="0"/>
              <w:right w:val="single" w:color="000000" w:sz="4" w:space="0"/>
            </w:tcBorders>
            <w:vAlign w:val="center"/>
          </w:tcPr>
          <w:p w14:paraId="01D1081F">
            <w:pPr>
              <w:spacing w:line="240" w:lineRule="auto"/>
              <w:ind w:firstLine="420" w:firstLineChars="0"/>
              <w:jc w:val="left"/>
              <w:rPr>
                <w:rFonts w:ascii="仿宋" w:hAnsi="仿宋" w:eastAsia="仿宋" w:cs="宋体"/>
                <w:color w:val="auto"/>
                <w:sz w:val="21"/>
                <w:szCs w:val="21"/>
                <w:highlight w:val="none"/>
              </w:rPr>
            </w:pPr>
          </w:p>
        </w:tc>
        <w:tc>
          <w:tcPr>
            <w:tcW w:w="1275" w:type="pct"/>
            <w:tcBorders>
              <w:top w:val="single" w:color="000000" w:sz="4" w:space="0"/>
              <w:left w:val="single" w:color="000000" w:sz="4" w:space="0"/>
              <w:bottom w:val="single" w:color="000000" w:sz="4" w:space="0"/>
              <w:right w:val="single" w:color="000000" w:sz="4" w:space="0"/>
            </w:tcBorders>
            <w:vAlign w:val="center"/>
          </w:tcPr>
          <w:p w14:paraId="4B31332D">
            <w:pPr>
              <w:widowControl/>
              <w:spacing w:line="240" w:lineRule="auto"/>
              <w:ind w:firstLine="0" w:firstLineChars="0"/>
              <w:textAlignment w:val="center"/>
              <w:rPr>
                <w:rFonts w:ascii="仿宋" w:hAnsi="仿宋" w:eastAsia="仿宋" w:cs="宋体"/>
                <w:color w:val="auto"/>
                <w:sz w:val="21"/>
                <w:szCs w:val="21"/>
                <w:highlight w:val="none"/>
              </w:rPr>
            </w:pPr>
            <w:r>
              <w:rPr>
                <w:rFonts w:hint="eastAsia" w:ascii="仿宋" w:hAnsi="仿宋" w:eastAsia="仿宋" w:cs="宋体"/>
                <w:color w:val="auto"/>
                <w:kern w:val="0"/>
                <w:sz w:val="21"/>
                <w:szCs w:val="21"/>
                <w:highlight w:val="none"/>
                <w:lang w:bidi="ar"/>
              </w:rPr>
              <w:t>已完成土污调查的土地看护不严导致被破坏，扣8分</w:t>
            </w:r>
          </w:p>
        </w:tc>
        <w:tc>
          <w:tcPr>
            <w:tcW w:w="434" w:type="pct"/>
            <w:tcBorders>
              <w:top w:val="single" w:color="000000" w:sz="4" w:space="0"/>
              <w:left w:val="single" w:color="000000" w:sz="4" w:space="0"/>
              <w:bottom w:val="single" w:color="000000" w:sz="4" w:space="0"/>
              <w:right w:val="single" w:color="000000" w:sz="4" w:space="0"/>
            </w:tcBorders>
            <w:vAlign w:val="center"/>
          </w:tcPr>
          <w:p w14:paraId="398532BD">
            <w:pPr>
              <w:spacing w:line="240" w:lineRule="auto"/>
              <w:ind w:firstLine="400" w:firstLineChars="0"/>
              <w:jc w:val="left"/>
              <w:rPr>
                <w:rFonts w:ascii="仿宋" w:hAnsi="仿宋" w:eastAsia="仿宋" w:cs="宋体"/>
                <w:color w:val="auto"/>
                <w:sz w:val="20"/>
                <w:szCs w:val="20"/>
                <w:highlight w:val="none"/>
              </w:rPr>
            </w:pPr>
          </w:p>
        </w:tc>
        <w:tc>
          <w:tcPr>
            <w:tcW w:w="303" w:type="pct"/>
            <w:tcBorders>
              <w:top w:val="single" w:color="000000" w:sz="4" w:space="0"/>
              <w:left w:val="single" w:color="000000" w:sz="4" w:space="0"/>
              <w:bottom w:val="single" w:color="000000" w:sz="4" w:space="0"/>
              <w:right w:val="single" w:color="000000" w:sz="4" w:space="0"/>
            </w:tcBorders>
            <w:vAlign w:val="center"/>
          </w:tcPr>
          <w:p w14:paraId="45F85659">
            <w:pPr>
              <w:spacing w:line="240" w:lineRule="auto"/>
              <w:ind w:firstLine="400" w:firstLineChars="0"/>
              <w:jc w:val="left"/>
              <w:rPr>
                <w:rFonts w:ascii="仿宋" w:hAnsi="仿宋" w:eastAsia="仿宋" w:cs="宋体"/>
                <w:color w:val="auto"/>
                <w:sz w:val="20"/>
                <w:szCs w:val="20"/>
                <w:highlight w:val="none"/>
              </w:rPr>
            </w:pPr>
          </w:p>
        </w:tc>
      </w:tr>
      <w:tr w14:paraId="5D47AF88">
        <w:tblPrEx>
          <w:tblCellMar>
            <w:top w:w="0" w:type="dxa"/>
            <w:left w:w="108" w:type="dxa"/>
            <w:bottom w:w="0" w:type="dxa"/>
            <w:right w:w="108" w:type="dxa"/>
          </w:tblCellMar>
        </w:tblPrEx>
        <w:trPr>
          <w:trHeight w:val="485" w:hRule="atLeast"/>
        </w:trPr>
        <w:tc>
          <w:tcPr>
            <w:tcW w:w="410" w:type="pct"/>
            <w:vMerge w:val="continue"/>
            <w:tcBorders>
              <w:top w:val="single" w:color="000000" w:sz="4" w:space="0"/>
              <w:left w:val="single" w:color="000000" w:sz="4" w:space="0"/>
              <w:bottom w:val="single" w:color="000000" w:sz="4" w:space="0"/>
              <w:right w:val="single" w:color="000000" w:sz="4" w:space="0"/>
            </w:tcBorders>
            <w:vAlign w:val="center"/>
          </w:tcPr>
          <w:p w14:paraId="4AA02398">
            <w:pPr>
              <w:spacing w:line="240" w:lineRule="auto"/>
              <w:ind w:firstLine="420" w:firstLineChars="0"/>
              <w:jc w:val="left"/>
              <w:rPr>
                <w:rFonts w:ascii="仿宋" w:hAnsi="仿宋" w:eastAsia="仿宋" w:cs="宋体"/>
                <w:color w:val="auto"/>
                <w:sz w:val="21"/>
                <w:szCs w:val="21"/>
                <w:highlight w:val="none"/>
              </w:rPr>
            </w:pPr>
          </w:p>
        </w:tc>
        <w:tc>
          <w:tcPr>
            <w:tcW w:w="612" w:type="pct"/>
            <w:vMerge w:val="restart"/>
            <w:tcBorders>
              <w:top w:val="single" w:color="auto" w:sz="4" w:space="0"/>
              <w:left w:val="single" w:color="000000" w:sz="4" w:space="0"/>
              <w:bottom w:val="single" w:color="000000" w:sz="4" w:space="0"/>
              <w:right w:val="single" w:color="000000" w:sz="4" w:space="0"/>
            </w:tcBorders>
            <w:vAlign w:val="center"/>
          </w:tcPr>
          <w:p w14:paraId="7C824BB1">
            <w:pPr>
              <w:widowControl/>
              <w:spacing w:line="240" w:lineRule="auto"/>
              <w:ind w:firstLine="0" w:firstLineChars="0"/>
              <w:jc w:val="left"/>
              <w:textAlignment w:val="center"/>
              <w:rPr>
                <w:rFonts w:ascii="仿宋" w:hAnsi="仿宋" w:eastAsia="仿宋" w:cs="宋体"/>
                <w:color w:val="auto"/>
                <w:sz w:val="21"/>
                <w:szCs w:val="21"/>
                <w:highlight w:val="none"/>
              </w:rPr>
            </w:pPr>
            <w:r>
              <w:rPr>
                <w:rFonts w:hint="eastAsia" w:ascii="仿宋" w:hAnsi="仿宋" w:eastAsia="仿宋" w:cs="宋体"/>
                <w:color w:val="auto"/>
                <w:kern w:val="0"/>
                <w:sz w:val="21"/>
                <w:szCs w:val="21"/>
                <w:highlight w:val="none"/>
                <w:lang w:bidi="ar"/>
              </w:rPr>
              <w:t>2.2 台账管理情况</w:t>
            </w:r>
          </w:p>
        </w:tc>
        <w:tc>
          <w:tcPr>
            <w:tcW w:w="1966" w:type="pct"/>
            <w:vMerge w:val="restart"/>
            <w:tcBorders>
              <w:top w:val="single" w:color="000000" w:sz="4" w:space="0"/>
              <w:left w:val="single" w:color="000000" w:sz="4" w:space="0"/>
              <w:bottom w:val="single" w:color="000000" w:sz="4" w:space="0"/>
              <w:right w:val="single" w:color="000000" w:sz="4" w:space="0"/>
            </w:tcBorders>
            <w:vAlign w:val="center"/>
          </w:tcPr>
          <w:p w14:paraId="2D9EBE76">
            <w:pPr>
              <w:widowControl/>
              <w:spacing w:line="240" w:lineRule="auto"/>
              <w:ind w:firstLine="0" w:firstLineChars="0"/>
              <w:jc w:val="left"/>
              <w:textAlignment w:val="center"/>
              <w:rPr>
                <w:rFonts w:ascii="仿宋" w:hAnsi="仿宋" w:eastAsia="仿宋" w:cs="宋体"/>
                <w:color w:val="auto"/>
                <w:sz w:val="21"/>
                <w:szCs w:val="21"/>
                <w:highlight w:val="none"/>
              </w:rPr>
            </w:pPr>
            <w:r>
              <w:rPr>
                <w:rFonts w:hint="eastAsia" w:ascii="仿宋" w:hAnsi="仿宋" w:eastAsia="仿宋" w:cs="宋体"/>
                <w:color w:val="auto"/>
                <w:kern w:val="0"/>
                <w:sz w:val="21"/>
                <w:szCs w:val="21"/>
                <w:highlight w:val="none"/>
                <w:lang w:bidi="ar"/>
              </w:rPr>
              <w:t>建立台账管理制度并落实到位，确保台账真实齐全</w:t>
            </w:r>
          </w:p>
        </w:tc>
        <w:tc>
          <w:tcPr>
            <w:tcW w:w="1275" w:type="pct"/>
            <w:tcBorders>
              <w:top w:val="single" w:color="000000" w:sz="4" w:space="0"/>
              <w:left w:val="single" w:color="000000" w:sz="4" w:space="0"/>
              <w:bottom w:val="single" w:color="000000" w:sz="4" w:space="0"/>
              <w:right w:val="single" w:color="000000" w:sz="4" w:space="0"/>
            </w:tcBorders>
            <w:vAlign w:val="center"/>
          </w:tcPr>
          <w:p w14:paraId="3DFD83C4">
            <w:pPr>
              <w:widowControl/>
              <w:spacing w:line="240" w:lineRule="auto"/>
              <w:ind w:firstLine="0" w:firstLineChars="0"/>
              <w:textAlignment w:val="center"/>
              <w:rPr>
                <w:rFonts w:ascii="仿宋" w:hAnsi="仿宋" w:eastAsia="仿宋" w:cs="宋体"/>
                <w:color w:val="auto"/>
                <w:sz w:val="21"/>
                <w:szCs w:val="21"/>
                <w:highlight w:val="none"/>
              </w:rPr>
            </w:pPr>
            <w:r>
              <w:rPr>
                <w:rFonts w:hint="eastAsia" w:ascii="仿宋" w:hAnsi="仿宋" w:eastAsia="仿宋" w:cs="宋体"/>
                <w:color w:val="auto"/>
                <w:kern w:val="0"/>
                <w:sz w:val="21"/>
                <w:szCs w:val="21"/>
                <w:highlight w:val="none"/>
                <w:lang w:bidi="ar"/>
              </w:rPr>
              <w:t>台账管理制度体系未建立扣</w:t>
            </w:r>
            <w:r>
              <w:rPr>
                <w:rFonts w:ascii="仿宋" w:hAnsi="仿宋" w:eastAsia="仿宋" w:cs="宋体"/>
                <w:color w:val="auto"/>
                <w:kern w:val="0"/>
                <w:sz w:val="21"/>
                <w:szCs w:val="21"/>
                <w:highlight w:val="none"/>
                <w:lang w:bidi="ar"/>
              </w:rPr>
              <w:t>1</w:t>
            </w:r>
            <w:r>
              <w:rPr>
                <w:rFonts w:hint="eastAsia" w:ascii="仿宋" w:hAnsi="仿宋" w:eastAsia="仿宋" w:cs="宋体"/>
                <w:color w:val="auto"/>
                <w:kern w:val="0"/>
                <w:sz w:val="21"/>
                <w:szCs w:val="21"/>
                <w:highlight w:val="none"/>
                <w:lang w:bidi="ar"/>
              </w:rPr>
              <w:t>分</w:t>
            </w:r>
          </w:p>
        </w:tc>
        <w:tc>
          <w:tcPr>
            <w:tcW w:w="434" w:type="pct"/>
            <w:tcBorders>
              <w:top w:val="single" w:color="000000" w:sz="4" w:space="0"/>
              <w:left w:val="single" w:color="000000" w:sz="4" w:space="0"/>
              <w:bottom w:val="single" w:color="000000" w:sz="4" w:space="0"/>
              <w:right w:val="single" w:color="000000" w:sz="4" w:space="0"/>
            </w:tcBorders>
            <w:vAlign w:val="center"/>
          </w:tcPr>
          <w:p w14:paraId="41B4DA4F">
            <w:pPr>
              <w:spacing w:line="240" w:lineRule="auto"/>
              <w:ind w:firstLine="400" w:firstLineChars="0"/>
              <w:jc w:val="left"/>
              <w:rPr>
                <w:rFonts w:ascii="仿宋" w:hAnsi="仿宋" w:eastAsia="仿宋" w:cs="宋体"/>
                <w:color w:val="auto"/>
                <w:sz w:val="20"/>
                <w:szCs w:val="20"/>
                <w:highlight w:val="none"/>
              </w:rPr>
            </w:pPr>
          </w:p>
        </w:tc>
        <w:tc>
          <w:tcPr>
            <w:tcW w:w="303" w:type="pct"/>
            <w:tcBorders>
              <w:top w:val="single" w:color="000000" w:sz="4" w:space="0"/>
              <w:left w:val="single" w:color="000000" w:sz="4" w:space="0"/>
              <w:bottom w:val="single" w:color="000000" w:sz="4" w:space="0"/>
              <w:right w:val="single" w:color="000000" w:sz="4" w:space="0"/>
            </w:tcBorders>
            <w:vAlign w:val="center"/>
          </w:tcPr>
          <w:p w14:paraId="5227D5F3">
            <w:pPr>
              <w:spacing w:line="240" w:lineRule="auto"/>
              <w:ind w:firstLine="400" w:firstLineChars="0"/>
              <w:jc w:val="left"/>
              <w:rPr>
                <w:rFonts w:ascii="仿宋" w:hAnsi="仿宋" w:eastAsia="仿宋" w:cs="宋体"/>
                <w:color w:val="auto"/>
                <w:sz w:val="20"/>
                <w:szCs w:val="20"/>
                <w:highlight w:val="none"/>
              </w:rPr>
            </w:pPr>
          </w:p>
        </w:tc>
      </w:tr>
      <w:tr w14:paraId="17D4B31D">
        <w:tblPrEx>
          <w:tblCellMar>
            <w:top w:w="0" w:type="dxa"/>
            <w:left w:w="108" w:type="dxa"/>
            <w:bottom w:w="0" w:type="dxa"/>
            <w:right w:w="108" w:type="dxa"/>
          </w:tblCellMar>
        </w:tblPrEx>
        <w:trPr>
          <w:trHeight w:val="333" w:hRule="atLeast"/>
        </w:trPr>
        <w:tc>
          <w:tcPr>
            <w:tcW w:w="410" w:type="pct"/>
            <w:vMerge w:val="continue"/>
            <w:tcBorders>
              <w:top w:val="single" w:color="000000" w:sz="4" w:space="0"/>
              <w:left w:val="single" w:color="000000" w:sz="4" w:space="0"/>
              <w:bottom w:val="single" w:color="auto" w:sz="4" w:space="0"/>
              <w:right w:val="single" w:color="000000" w:sz="4" w:space="0"/>
            </w:tcBorders>
            <w:vAlign w:val="center"/>
          </w:tcPr>
          <w:p w14:paraId="2225CF99">
            <w:pPr>
              <w:spacing w:line="240" w:lineRule="auto"/>
              <w:ind w:firstLine="420" w:firstLineChars="0"/>
              <w:jc w:val="left"/>
              <w:rPr>
                <w:rFonts w:ascii="仿宋" w:hAnsi="仿宋" w:eastAsia="仿宋" w:cs="宋体"/>
                <w:color w:val="auto"/>
                <w:sz w:val="21"/>
                <w:szCs w:val="21"/>
                <w:highlight w:val="none"/>
              </w:rPr>
            </w:pPr>
          </w:p>
        </w:tc>
        <w:tc>
          <w:tcPr>
            <w:tcW w:w="612" w:type="pct"/>
            <w:vMerge w:val="continue"/>
            <w:tcBorders>
              <w:top w:val="single" w:color="000000" w:sz="4" w:space="0"/>
              <w:left w:val="single" w:color="000000" w:sz="4" w:space="0"/>
              <w:bottom w:val="single" w:color="000000" w:sz="4" w:space="0"/>
              <w:right w:val="single" w:color="000000" w:sz="4" w:space="0"/>
            </w:tcBorders>
            <w:vAlign w:val="center"/>
          </w:tcPr>
          <w:p w14:paraId="1F99D63C">
            <w:pPr>
              <w:spacing w:line="240" w:lineRule="auto"/>
              <w:ind w:firstLine="420" w:firstLineChars="0"/>
              <w:jc w:val="left"/>
              <w:rPr>
                <w:rFonts w:ascii="仿宋" w:hAnsi="仿宋" w:eastAsia="仿宋" w:cs="宋体"/>
                <w:color w:val="auto"/>
                <w:sz w:val="21"/>
                <w:szCs w:val="21"/>
                <w:highlight w:val="none"/>
              </w:rPr>
            </w:pPr>
          </w:p>
        </w:tc>
        <w:tc>
          <w:tcPr>
            <w:tcW w:w="1966" w:type="pct"/>
            <w:vMerge w:val="continue"/>
            <w:tcBorders>
              <w:top w:val="single" w:color="000000" w:sz="4" w:space="0"/>
              <w:left w:val="single" w:color="000000" w:sz="4" w:space="0"/>
              <w:bottom w:val="single" w:color="000000" w:sz="4" w:space="0"/>
              <w:right w:val="single" w:color="000000" w:sz="4" w:space="0"/>
            </w:tcBorders>
            <w:vAlign w:val="center"/>
          </w:tcPr>
          <w:p w14:paraId="6BBC715E">
            <w:pPr>
              <w:spacing w:line="240" w:lineRule="auto"/>
              <w:ind w:firstLine="420" w:firstLineChars="0"/>
              <w:jc w:val="left"/>
              <w:rPr>
                <w:rFonts w:ascii="仿宋" w:hAnsi="仿宋" w:eastAsia="仿宋" w:cs="宋体"/>
                <w:color w:val="auto"/>
                <w:sz w:val="21"/>
                <w:szCs w:val="21"/>
                <w:highlight w:val="none"/>
              </w:rPr>
            </w:pPr>
          </w:p>
        </w:tc>
        <w:tc>
          <w:tcPr>
            <w:tcW w:w="1275" w:type="pct"/>
            <w:tcBorders>
              <w:top w:val="single" w:color="000000" w:sz="4" w:space="0"/>
              <w:left w:val="single" w:color="000000" w:sz="4" w:space="0"/>
              <w:bottom w:val="single" w:color="000000" w:sz="4" w:space="0"/>
              <w:right w:val="single" w:color="000000" w:sz="4" w:space="0"/>
            </w:tcBorders>
            <w:vAlign w:val="center"/>
          </w:tcPr>
          <w:p w14:paraId="37561E7B">
            <w:pPr>
              <w:widowControl/>
              <w:spacing w:line="240" w:lineRule="auto"/>
              <w:ind w:firstLine="0" w:firstLineChars="0"/>
              <w:textAlignment w:val="center"/>
              <w:rPr>
                <w:rFonts w:ascii="仿宋" w:hAnsi="仿宋" w:eastAsia="仿宋" w:cs="宋体"/>
                <w:color w:val="auto"/>
                <w:sz w:val="21"/>
                <w:szCs w:val="21"/>
                <w:highlight w:val="none"/>
              </w:rPr>
            </w:pPr>
            <w:r>
              <w:rPr>
                <w:rFonts w:hint="eastAsia" w:ascii="仿宋" w:hAnsi="仿宋" w:eastAsia="仿宋" w:cs="宋体"/>
                <w:color w:val="auto"/>
                <w:kern w:val="0"/>
                <w:sz w:val="21"/>
                <w:szCs w:val="21"/>
                <w:highlight w:val="none"/>
                <w:lang w:bidi="ar"/>
              </w:rPr>
              <w:t>台账内容不健全每项次扣0.5分，不及时更新台账或内容填报不属实扣0.5分</w:t>
            </w:r>
          </w:p>
        </w:tc>
        <w:tc>
          <w:tcPr>
            <w:tcW w:w="434" w:type="pct"/>
            <w:tcBorders>
              <w:top w:val="single" w:color="000000" w:sz="4" w:space="0"/>
              <w:left w:val="single" w:color="000000" w:sz="4" w:space="0"/>
              <w:bottom w:val="single" w:color="000000" w:sz="4" w:space="0"/>
              <w:right w:val="single" w:color="000000" w:sz="4" w:space="0"/>
            </w:tcBorders>
            <w:vAlign w:val="center"/>
          </w:tcPr>
          <w:p w14:paraId="7DDC2DEB">
            <w:pPr>
              <w:spacing w:line="240" w:lineRule="auto"/>
              <w:ind w:firstLine="400" w:firstLineChars="0"/>
              <w:jc w:val="left"/>
              <w:rPr>
                <w:rFonts w:ascii="仿宋" w:hAnsi="仿宋" w:eastAsia="仿宋" w:cs="宋体"/>
                <w:color w:val="auto"/>
                <w:sz w:val="20"/>
                <w:szCs w:val="20"/>
                <w:highlight w:val="none"/>
              </w:rPr>
            </w:pPr>
          </w:p>
        </w:tc>
        <w:tc>
          <w:tcPr>
            <w:tcW w:w="303" w:type="pct"/>
            <w:tcBorders>
              <w:top w:val="single" w:color="000000" w:sz="4" w:space="0"/>
              <w:left w:val="single" w:color="000000" w:sz="4" w:space="0"/>
              <w:bottom w:val="single" w:color="000000" w:sz="4" w:space="0"/>
              <w:right w:val="single" w:color="000000" w:sz="4" w:space="0"/>
            </w:tcBorders>
            <w:vAlign w:val="center"/>
          </w:tcPr>
          <w:p w14:paraId="02DA9D64">
            <w:pPr>
              <w:spacing w:line="240" w:lineRule="auto"/>
              <w:ind w:firstLine="400" w:firstLineChars="0"/>
              <w:jc w:val="left"/>
              <w:rPr>
                <w:rFonts w:ascii="仿宋" w:hAnsi="仿宋" w:eastAsia="仿宋" w:cs="宋体"/>
                <w:color w:val="auto"/>
                <w:sz w:val="20"/>
                <w:szCs w:val="20"/>
                <w:highlight w:val="none"/>
              </w:rPr>
            </w:pPr>
          </w:p>
        </w:tc>
      </w:tr>
      <w:tr w14:paraId="2B7C6FC5">
        <w:tblPrEx>
          <w:tblCellMar>
            <w:top w:w="0" w:type="dxa"/>
            <w:left w:w="108" w:type="dxa"/>
            <w:bottom w:w="0" w:type="dxa"/>
            <w:right w:w="108" w:type="dxa"/>
          </w:tblCellMar>
        </w:tblPrEx>
        <w:trPr>
          <w:trHeight w:val="1529" w:hRule="atLeast"/>
        </w:trPr>
        <w:tc>
          <w:tcPr>
            <w:tcW w:w="410" w:type="pct"/>
            <w:vMerge w:val="restart"/>
            <w:tcBorders>
              <w:top w:val="single" w:color="auto" w:sz="4" w:space="0"/>
              <w:left w:val="single" w:color="000000" w:sz="4" w:space="0"/>
              <w:bottom w:val="single" w:color="auto" w:sz="4" w:space="0"/>
              <w:right w:val="single" w:color="000000" w:sz="4" w:space="0"/>
            </w:tcBorders>
            <w:vAlign w:val="center"/>
          </w:tcPr>
          <w:p w14:paraId="55E81256">
            <w:pPr>
              <w:widowControl/>
              <w:spacing w:line="240" w:lineRule="auto"/>
              <w:ind w:firstLine="0" w:firstLineChars="0"/>
              <w:textAlignment w:val="center"/>
              <w:rPr>
                <w:rFonts w:ascii="仿宋" w:hAnsi="仿宋" w:eastAsia="仿宋" w:cs="宋体"/>
                <w:color w:val="auto"/>
                <w:kern w:val="0"/>
                <w:sz w:val="21"/>
                <w:szCs w:val="21"/>
                <w:highlight w:val="none"/>
                <w:lang w:bidi="ar"/>
              </w:rPr>
            </w:pPr>
            <w:r>
              <w:rPr>
                <w:rFonts w:hint="eastAsia" w:ascii="仿宋" w:hAnsi="仿宋" w:eastAsia="仿宋" w:cs="宋体"/>
                <w:color w:val="auto"/>
                <w:kern w:val="0"/>
                <w:sz w:val="21"/>
                <w:szCs w:val="21"/>
                <w:highlight w:val="none"/>
                <w:lang w:bidi="ar"/>
              </w:rPr>
              <w:t>三、</w:t>
            </w:r>
          </w:p>
          <w:p w14:paraId="431463EE">
            <w:pPr>
              <w:widowControl/>
              <w:spacing w:line="240" w:lineRule="auto"/>
              <w:ind w:firstLine="0" w:firstLineChars="0"/>
              <w:textAlignment w:val="center"/>
              <w:rPr>
                <w:rFonts w:ascii="仿宋" w:hAnsi="仿宋" w:eastAsia="仿宋" w:cs="宋体"/>
                <w:color w:val="auto"/>
                <w:kern w:val="0"/>
                <w:sz w:val="21"/>
                <w:szCs w:val="21"/>
                <w:highlight w:val="none"/>
                <w:lang w:bidi="ar"/>
              </w:rPr>
            </w:pPr>
            <w:r>
              <w:rPr>
                <w:rFonts w:hint="eastAsia" w:ascii="仿宋" w:hAnsi="仿宋" w:eastAsia="仿宋" w:cs="宋体"/>
                <w:color w:val="auto"/>
                <w:kern w:val="0"/>
                <w:sz w:val="21"/>
                <w:szCs w:val="21"/>
                <w:highlight w:val="none"/>
                <w:lang w:bidi="ar"/>
              </w:rPr>
              <w:t>安全情况</w:t>
            </w:r>
          </w:p>
        </w:tc>
        <w:tc>
          <w:tcPr>
            <w:tcW w:w="612" w:type="pct"/>
            <w:tcBorders>
              <w:top w:val="single" w:color="000000" w:sz="4" w:space="0"/>
              <w:left w:val="single" w:color="000000" w:sz="4" w:space="0"/>
              <w:bottom w:val="single" w:color="000000" w:sz="4" w:space="0"/>
              <w:right w:val="single" w:color="000000" w:sz="4" w:space="0"/>
            </w:tcBorders>
            <w:vAlign w:val="center"/>
          </w:tcPr>
          <w:p w14:paraId="004A7084">
            <w:pPr>
              <w:widowControl/>
              <w:spacing w:line="240" w:lineRule="auto"/>
              <w:ind w:firstLine="0" w:firstLineChars="0"/>
              <w:jc w:val="left"/>
              <w:textAlignment w:val="center"/>
              <w:rPr>
                <w:rFonts w:ascii="仿宋" w:hAnsi="仿宋" w:eastAsia="仿宋" w:cs="宋体"/>
                <w:color w:val="auto"/>
                <w:sz w:val="21"/>
                <w:szCs w:val="21"/>
                <w:highlight w:val="none"/>
              </w:rPr>
            </w:pPr>
            <w:r>
              <w:rPr>
                <w:rFonts w:hint="eastAsia" w:ascii="仿宋" w:hAnsi="仿宋" w:eastAsia="仿宋" w:cs="宋体"/>
                <w:color w:val="auto"/>
                <w:kern w:val="0"/>
                <w:sz w:val="21"/>
                <w:szCs w:val="21"/>
                <w:highlight w:val="none"/>
                <w:lang w:bidi="ar"/>
              </w:rPr>
              <w:t>3.1安全教育培训情况</w:t>
            </w:r>
          </w:p>
        </w:tc>
        <w:tc>
          <w:tcPr>
            <w:tcW w:w="1966" w:type="pct"/>
            <w:tcBorders>
              <w:top w:val="single" w:color="000000" w:sz="4" w:space="0"/>
              <w:left w:val="single" w:color="000000" w:sz="4" w:space="0"/>
              <w:bottom w:val="single" w:color="000000" w:sz="4" w:space="0"/>
              <w:right w:val="single" w:color="000000" w:sz="4" w:space="0"/>
            </w:tcBorders>
            <w:vAlign w:val="center"/>
          </w:tcPr>
          <w:p w14:paraId="42CB1D44">
            <w:pPr>
              <w:widowControl/>
              <w:spacing w:line="240" w:lineRule="auto"/>
              <w:ind w:firstLine="0" w:firstLineChars="0"/>
              <w:jc w:val="left"/>
              <w:textAlignment w:val="center"/>
              <w:rPr>
                <w:rFonts w:ascii="仿宋" w:hAnsi="仿宋" w:eastAsia="仿宋" w:cs="宋体"/>
                <w:color w:val="auto"/>
                <w:sz w:val="21"/>
                <w:szCs w:val="21"/>
                <w:highlight w:val="none"/>
              </w:rPr>
            </w:pPr>
            <w:r>
              <w:rPr>
                <w:rFonts w:hint="eastAsia" w:ascii="仿宋" w:hAnsi="仿宋" w:eastAsia="仿宋" w:cs="宋体"/>
                <w:color w:val="auto"/>
                <w:kern w:val="0"/>
                <w:sz w:val="21"/>
                <w:szCs w:val="21"/>
                <w:highlight w:val="none"/>
                <w:lang w:bidi="ar"/>
              </w:rPr>
              <w:t>管护单位对参与土地管护的人员集中进行安全知识学习，树立安全生产人人有责，安全第一，预防为主的思想，定期组织召开安全培训学习</w:t>
            </w:r>
            <w:r>
              <w:rPr>
                <w:rFonts w:ascii="仿宋" w:hAnsi="仿宋" w:eastAsia="仿宋" w:cs="宋体"/>
                <w:color w:val="auto"/>
                <w:sz w:val="21"/>
                <w:szCs w:val="21"/>
                <w:highlight w:val="none"/>
              </w:rPr>
              <w:t xml:space="preserve"> </w:t>
            </w:r>
            <w:r>
              <w:rPr>
                <w:rFonts w:hint="eastAsia" w:ascii="仿宋" w:hAnsi="仿宋" w:eastAsia="仿宋" w:cs="宋体"/>
                <w:color w:val="auto"/>
                <w:sz w:val="21"/>
                <w:szCs w:val="21"/>
                <w:highlight w:val="none"/>
              </w:rPr>
              <w:t>，留有安全教育培训记录和交底记录。</w:t>
            </w:r>
          </w:p>
        </w:tc>
        <w:tc>
          <w:tcPr>
            <w:tcW w:w="1275" w:type="pct"/>
            <w:tcBorders>
              <w:top w:val="single" w:color="000000" w:sz="4" w:space="0"/>
              <w:left w:val="single" w:color="000000" w:sz="4" w:space="0"/>
              <w:bottom w:val="single" w:color="auto" w:sz="4" w:space="0"/>
              <w:right w:val="single" w:color="000000" w:sz="4" w:space="0"/>
            </w:tcBorders>
            <w:vAlign w:val="center"/>
          </w:tcPr>
          <w:p w14:paraId="052EA515">
            <w:pPr>
              <w:widowControl/>
              <w:spacing w:line="240" w:lineRule="auto"/>
              <w:ind w:firstLine="0" w:firstLineChars="0"/>
              <w:textAlignment w:val="center"/>
              <w:rPr>
                <w:rFonts w:ascii="仿宋" w:hAnsi="仿宋" w:eastAsia="仿宋" w:cs="宋体"/>
                <w:color w:val="auto"/>
                <w:sz w:val="21"/>
                <w:szCs w:val="21"/>
                <w:highlight w:val="none"/>
              </w:rPr>
            </w:pPr>
            <w:r>
              <w:rPr>
                <w:rFonts w:hint="eastAsia" w:ascii="仿宋" w:hAnsi="仿宋" w:eastAsia="仿宋" w:cs="宋体"/>
                <w:color w:val="auto"/>
                <w:kern w:val="0"/>
                <w:sz w:val="21"/>
                <w:szCs w:val="21"/>
                <w:highlight w:val="none"/>
                <w:lang w:bidi="ar"/>
              </w:rPr>
              <w:t>每月未按要求组织召开安全培训，无安全教育培训记录及交底记录扣1分</w:t>
            </w:r>
          </w:p>
        </w:tc>
        <w:tc>
          <w:tcPr>
            <w:tcW w:w="434" w:type="pct"/>
            <w:tcBorders>
              <w:top w:val="single" w:color="000000" w:sz="4" w:space="0"/>
              <w:left w:val="single" w:color="000000" w:sz="4" w:space="0"/>
              <w:bottom w:val="single" w:color="000000" w:sz="4" w:space="0"/>
              <w:right w:val="single" w:color="000000" w:sz="4" w:space="0"/>
            </w:tcBorders>
            <w:vAlign w:val="center"/>
          </w:tcPr>
          <w:p w14:paraId="697FBD4A">
            <w:pPr>
              <w:spacing w:line="240" w:lineRule="auto"/>
              <w:ind w:firstLine="400" w:firstLineChars="0"/>
              <w:jc w:val="left"/>
              <w:rPr>
                <w:rFonts w:ascii="仿宋" w:hAnsi="仿宋" w:eastAsia="仿宋" w:cs="宋体"/>
                <w:color w:val="auto"/>
                <w:sz w:val="20"/>
                <w:szCs w:val="20"/>
                <w:highlight w:val="none"/>
              </w:rPr>
            </w:pP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648DB598">
            <w:pPr>
              <w:spacing w:line="240" w:lineRule="auto"/>
              <w:ind w:firstLine="400" w:firstLineChars="0"/>
              <w:jc w:val="left"/>
              <w:rPr>
                <w:rFonts w:ascii="仿宋" w:hAnsi="仿宋" w:eastAsia="仿宋" w:cs="宋体"/>
                <w:color w:val="auto"/>
                <w:sz w:val="20"/>
                <w:szCs w:val="20"/>
                <w:highlight w:val="none"/>
              </w:rPr>
            </w:pPr>
          </w:p>
        </w:tc>
      </w:tr>
      <w:tr w14:paraId="641B7690">
        <w:tblPrEx>
          <w:tblCellMar>
            <w:top w:w="0" w:type="dxa"/>
            <w:left w:w="108" w:type="dxa"/>
            <w:bottom w:w="0" w:type="dxa"/>
            <w:right w:w="108" w:type="dxa"/>
          </w:tblCellMar>
        </w:tblPrEx>
        <w:trPr>
          <w:trHeight w:val="1381" w:hRule="atLeast"/>
        </w:trPr>
        <w:tc>
          <w:tcPr>
            <w:tcW w:w="410" w:type="pct"/>
            <w:vMerge w:val="continue"/>
            <w:tcBorders>
              <w:top w:val="single" w:color="auto" w:sz="4" w:space="0"/>
              <w:left w:val="single" w:color="000000" w:sz="4" w:space="0"/>
              <w:bottom w:val="single" w:color="auto" w:sz="4" w:space="0"/>
              <w:right w:val="single" w:color="000000" w:sz="4" w:space="0"/>
            </w:tcBorders>
            <w:vAlign w:val="center"/>
          </w:tcPr>
          <w:p w14:paraId="5FD8B374">
            <w:pPr>
              <w:spacing w:line="240" w:lineRule="auto"/>
              <w:ind w:firstLine="420" w:firstLineChars="0"/>
              <w:jc w:val="center"/>
              <w:rPr>
                <w:rFonts w:ascii="仿宋" w:hAnsi="仿宋" w:eastAsia="仿宋" w:cs="宋体"/>
                <w:color w:val="auto"/>
                <w:sz w:val="21"/>
                <w:szCs w:val="21"/>
                <w:highlight w:val="none"/>
              </w:rPr>
            </w:pPr>
          </w:p>
        </w:tc>
        <w:tc>
          <w:tcPr>
            <w:tcW w:w="612" w:type="pct"/>
            <w:vMerge w:val="restart"/>
            <w:tcBorders>
              <w:top w:val="single" w:color="000000" w:sz="4" w:space="0"/>
              <w:left w:val="single" w:color="000000" w:sz="4" w:space="0"/>
              <w:right w:val="single" w:color="000000" w:sz="4" w:space="0"/>
            </w:tcBorders>
            <w:noWrap/>
            <w:vAlign w:val="center"/>
          </w:tcPr>
          <w:p w14:paraId="17694FA5">
            <w:pPr>
              <w:widowControl/>
              <w:spacing w:line="240" w:lineRule="auto"/>
              <w:ind w:firstLine="0" w:firstLineChars="0"/>
              <w:jc w:val="left"/>
              <w:textAlignment w:val="center"/>
              <w:rPr>
                <w:rFonts w:ascii="仿宋" w:hAnsi="仿宋" w:eastAsia="仿宋" w:cs="宋体"/>
                <w:color w:val="auto"/>
                <w:sz w:val="21"/>
                <w:szCs w:val="21"/>
                <w:highlight w:val="none"/>
              </w:rPr>
            </w:pPr>
            <w:r>
              <w:rPr>
                <w:rFonts w:hint="eastAsia" w:ascii="仿宋" w:hAnsi="仿宋" w:eastAsia="仿宋" w:cs="宋体"/>
                <w:color w:val="auto"/>
                <w:kern w:val="0"/>
                <w:sz w:val="21"/>
                <w:szCs w:val="21"/>
                <w:highlight w:val="none"/>
                <w:lang w:bidi="ar"/>
              </w:rPr>
              <w:t>3.2安全管理情况</w:t>
            </w:r>
          </w:p>
        </w:tc>
        <w:tc>
          <w:tcPr>
            <w:tcW w:w="1966" w:type="pct"/>
            <w:vMerge w:val="restart"/>
            <w:tcBorders>
              <w:top w:val="single" w:color="000000" w:sz="4" w:space="0"/>
              <w:left w:val="single" w:color="000000" w:sz="4" w:space="0"/>
              <w:right w:val="single" w:color="000000" w:sz="4" w:space="0"/>
            </w:tcBorders>
            <w:vAlign w:val="center"/>
          </w:tcPr>
          <w:p w14:paraId="3E213300">
            <w:pPr>
              <w:widowControl/>
              <w:spacing w:line="240" w:lineRule="auto"/>
              <w:ind w:firstLine="0" w:firstLineChars="0"/>
              <w:jc w:val="left"/>
              <w:textAlignment w:val="center"/>
              <w:rPr>
                <w:rFonts w:ascii="仿宋" w:hAnsi="仿宋" w:eastAsia="仿宋" w:cs="宋体"/>
                <w:color w:val="auto"/>
                <w:sz w:val="21"/>
                <w:szCs w:val="21"/>
                <w:highlight w:val="none"/>
              </w:rPr>
            </w:pPr>
            <w:r>
              <w:rPr>
                <w:rFonts w:hint="eastAsia" w:ascii="仿宋" w:hAnsi="仿宋" w:eastAsia="仿宋" w:cs="宋体"/>
                <w:color w:val="auto"/>
                <w:kern w:val="0"/>
                <w:sz w:val="21"/>
                <w:szCs w:val="21"/>
                <w:highlight w:val="none"/>
                <w:lang w:bidi="ar"/>
              </w:rPr>
              <w:t>禁止闲杂人员和车辆进入管护土地内，对安全隐患地段采取安全防护措施，设置警示牌，拉警戒线或专人管护；危险地段加强巡查力度，不定期进行安全大检查，避免发生安全事故。夏季汛期以及高温期间，严防火灾和汛情。</w:t>
            </w:r>
          </w:p>
        </w:tc>
        <w:tc>
          <w:tcPr>
            <w:tcW w:w="1275" w:type="pct"/>
            <w:tcBorders>
              <w:top w:val="single" w:color="auto" w:sz="4" w:space="0"/>
              <w:left w:val="single" w:color="000000" w:sz="4" w:space="0"/>
              <w:bottom w:val="single" w:color="000000" w:sz="4" w:space="0"/>
              <w:right w:val="single" w:color="000000" w:sz="4" w:space="0"/>
            </w:tcBorders>
            <w:vAlign w:val="center"/>
          </w:tcPr>
          <w:p w14:paraId="1AAE5A79">
            <w:pPr>
              <w:widowControl/>
              <w:spacing w:line="240" w:lineRule="auto"/>
              <w:ind w:firstLine="0" w:firstLineChars="0"/>
              <w:textAlignment w:val="center"/>
              <w:rPr>
                <w:rFonts w:ascii="仿宋" w:hAnsi="仿宋" w:eastAsia="仿宋" w:cs="宋体"/>
                <w:color w:val="auto"/>
                <w:sz w:val="21"/>
                <w:szCs w:val="21"/>
                <w:highlight w:val="none"/>
              </w:rPr>
            </w:pPr>
            <w:r>
              <w:rPr>
                <w:rFonts w:hint="eastAsia" w:ascii="仿宋" w:hAnsi="仿宋" w:eastAsia="仿宋" w:cs="宋体"/>
                <w:color w:val="auto"/>
                <w:kern w:val="0"/>
                <w:sz w:val="21"/>
                <w:szCs w:val="21"/>
                <w:highlight w:val="none"/>
                <w:lang w:bidi="ar"/>
              </w:rPr>
              <w:t>未禁止闲杂人员和车辆进入管护土地、未采取安全防护措施、未设置警示牌、未拉警戒线，扣1分</w:t>
            </w:r>
          </w:p>
        </w:tc>
        <w:tc>
          <w:tcPr>
            <w:tcW w:w="434" w:type="pct"/>
            <w:tcBorders>
              <w:top w:val="single" w:color="000000" w:sz="4" w:space="0"/>
              <w:left w:val="single" w:color="000000" w:sz="4" w:space="0"/>
              <w:bottom w:val="single" w:color="000000" w:sz="4" w:space="0"/>
              <w:right w:val="single" w:color="000000" w:sz="4" w:space="0"/>
            </w:tcBorders>
            <w:noWrap/>
            <w:vAlign w:val="center"/>
          </w:tcPr>
          <w:p w14:paraId="2DD194C5">
            <w:pPr>
              <w:spacing w:line="240" w:lineRule="auto"/>
              <w:ind w:firstLine="400" w:firstLineChars="0"/>
              <w:jc w:val="left"/>
              <w:rPr>
                <w:rFonts w:ascii="仿宋" w:hAnsi="仿宋" w:eastAsia="仿宋" w:cs="宋体"/>
                <w:color w:val="auto"/>
                <w:sz w:val="20"/>
                <w:szCs w:val="20"/>
                <w:highlight w:val="none"/>
              </w:rPr>
            </w:pP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5C4527FA">
            <w:pPr>
              <w:spacing w:line="240" w:lineRule="auto"/>
              <w:ind w:firstLine="400" w:firstLineChars="0"/>
              <w:jc w:val="left"/>
              <w:rPr>
                <w:rFonts w:ascii="仿宋" w:hAnsi="仿宋" w:eastAsia="仿宋" w:cs="宋体"/>
                <w:color w:val="auto"/>
                <w:sz w:val="20"/>
                <w:szCs w:val="20"/>
                <w:highlight w:val="none"/>
              </w:rPr>
            </w:pPr>
          </w:p>
        </w:tc>
      </w:tr>
      <w:tr w14:paraId="00B08A94">
        <w:tblPrEx>
          <w:tblCellMar>
            <w:top w:w="0" w:type="dxa"/>
            <w:left w:w="108" w:type="dxa"/>
            <w:bottom w:w="0" w:type="dxa"/>
            <w:right w:w="108" w:type="dxa"/>
          </w:tblCellMar>
        </w:tblPrEx>
        <w:trPr>
          <w:trHeight w:val="1129" w:hRule="atLeast"/>
        </w:trPr>
        <w:tc>
          <w:tcPr>
            <w:tcW w:w="410" w:type="pct"/>
            <w:vMerge w:val="continue"/>
            <w:tcBorders>
              <w:top w:val="single" w:color="auto" w:sz="4" w:space="0"/>
              <w:left w:val="single" w:color="000000" w:sz="4" w:space="0"/>
              <w:bottom w:val="single" w:color="auto" w:sz="4" w:space="0"/>
              <w:right w:val="single" w:color="000000" w:sz="4" w:space="0"/>
            </w:tcBorders>
            <w:vAlign w:val="center"/>
          </w:tcPr>
          <w:p w14:paraId="0CA05CDD">
            <w:pPr>
              <w:spacing w:line="240" w:lineRule="auto"/>
              <w:ind w:firstLine="420" w:firstLineChars="0"/>
              <w:jc w:val="center"/>
              <w:rPr>
                <w:rFonts w:ascii="仿宋" w:hAnsi="仿宋" w:eastAsia="仿宋" w:cs="宋体"/>
                <w:color w:val="auto"/>
                <w:sz w:val="21"/>
                <w:szCs w:val="21"/>
                <w:highlight w:val="none"/>
              </w:rPr>
            </w:pPr>
          </w:p>
        </w:tc>
        <w:tc>
          <w:tcPr>
            <w:tcW w:w="612" w:type="pct"/>
            <w:vMerge w:val="continue"/>
            <w:tcBorders>
              <w:left w:val="single" w:color="000000" w:sz="4" w:space="0"/>
              <w:bottom w:val="single" w:color="auto" w:sz="4" w:space="0"/>
              <w:right w:val="single" w:color="000000" w:sz="4" w:space="0"/>
            </w:tcBorders>
            <w:noWrap/>
            <w:vAlign w:val="center"/>
          </w:tcPr>
          <w:p w14:paraId="7F1748FF">
            <w:pPr>
              <w:widowControl/>
              <w:spacing w:line="240" w:lineRule="auto"/>
              <w:ind w:firstLine="420" w:firstLineChars="0"/>
              <w:jc w:val="left"/>
              <w:textAlignment w:val="center"/>
              <w:rPr>
                <w:rFonts w:ascii="仿宋" w:hAnsi="仿宋" w:eastAsia="仿宋" w:cs="宋体"/>
                <w:color w:val="auto"/>
                <w:kern w:val="0"/>
                <w:sz w:val="21"/>
                <w:szCs w:val="21"/>
                <w:highlight w:val="none"/>
                <w:lang w:bidi="ar"/>
              </w:rPr>
            </w:pPr>
          </w:p>
        </w:tc>
        <w:tc>
          <w:tcPr>
            <w:tcW w:w="1966" w:type="pct"/>
            <w:vMerge w:val="continue"/>
            <w:tcBorders>
              <w:left w:val="single" w:color="000000" w:sz="4" w:space="0"/>
              <w:bottom w:val="single" w:color="000000" w:sz="4" w:space="0"/>
              <w:right w:val="single" w:color="000000" w:sz="4" w:space="0"/>
            </w:tcBorders>
            <w:vAlign w:val="center"/>
          </w:tcPr>
          <w:p w14:paraId="3B58601D">
            <w:pPr>
              <w:widowControl/>
              <w:spacing w:line="240" w:lineRule="auto"/>
              <w:ind w:firstLine="420" w:firstLineChars="0"/>
              <w:jc w:val="left"/>
              <w:textAlignment w:val="center"/>
              <w:rPr>
                <w:rFonts w:ascii="仿宋" w:hAnsi="仿宋" w:eastAsia="仿宋" w:cs="宋体"/>
                <w:color w:val="auto"/>
                <w:kern w:val="0"/>
                <w:sz w:val="21"/>
                <w:szCs w:val="21"/>
                <w:highlight w:val="none"/>
                <w:lang w:bidi="ar"/>
              </w:rPr>
            </w:pPr>
          </w:p>
        </w:tc>
        <w:tc>
          <w:tcPr>
            <w:tcW w:w="1275" w:type="pct"/>
            <w:tcBorders>
              <w:top w:val="single" w:color="000000" w:sz="4" w:space="0"/>
              <w:left w:val="single" w:color="000000" w:sz="4" w:space="0"/>
              <w:bottom w:val="single" w:color="auto" w:sz="4" w:space="0"/>
              <w:right w:val="single" w:color="000000" w:sz="4" w:space="0"/>
            </w:tcBorders>
            <w:vAlign w:val="center"/>
          </w:tcPr>
          <w:p w14:paraId="486C0D94">
            <w:pPr>
              <w:widowControl/>
              <w:spacing w:line="240" w:lineRule="auto"/>
              <w:ind w:firstLine="0" w:firstLineChars="0"/>
              <w:textAlignment w:val="center"/>
              <w:rPr>
                <w:rFonts w:ascii="仿宋" w:hAnsi="仿宋" w:eastAsia="仿宋" w:cs="宋体"/>
                <w:color w:val="auto"/>
                <w:kern w:val="0"/>
                <w:sz w:val="21"/>
                <w:szCs w:val="21"/>
                <w:highlight w:val="none"/>
                <w:lang w:bidi="ar"/>
              </w:rPr>
            </w:pPr>
            <w:r>
              <w:rPr>
                <w:rFonts w:hint="eastAsia" w:ascii="仿宋" w:hAnsi="仿宋" w:eastAsia="仿宋" w:cs="宋体"/>
                <w:color w:val="auto"/>
                <w:kern w:val="0"/>
                <w:sz w:val="21"/>
                <w:szCs w:val="21"/>
                <w:highlight w:val="none"/>
                <w:lang w:bidi="ar"/>
              </w:rPr>
              <w:t>如若因为管护不利导致发生火灾或汛情等安全事故情况，扣4分</w:t>
            </w:r>
          </w:p>
        </w:tc>
        <w:tc>
          <w:tcPr>
            <w:tcW w:w="434" w:type="pct"/>
            <w:tcBorders>
              <w:top w:val="single" w:color="000000" w:sz="4" w:space="0"/>
              <w:left w:val="single" w:color="000000" w:sz="4" w:space="0"/>
              <w:bottom w:val="single" w:color="000000" w:sz="4" w:space="0"/>
              <w:right w:val="single" w:color="000000" w:sz="4" w:space="0"/>
            </w:tcBorders>
            <w:noWrap/>
            <w:vAlign w:val="center"/>
          </w:tcPr>
          <w:p w14:paraId="7451C6D2">
            <w:pPr>
              <w:spacing w:line="240" w:lineRule="auto"/>
              <w:ind w:firstLine="400" w:firstLineChars="0"/>
              <w:jc w:val="left"/>
              <w:rPr>
                <w:rFonts w:ascii="仿宋" w:hAnsi="仿宋" w:eastAsia="仿宋" w:cs="宋体"/>
                <w:color w:val="auto"/>
                <w:sz w:val="20"/>
                <w:szCs w:val="20"/>
                <w:highlight w:val="none"/>
              </w:rPr>
            </w:pP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00456140">
            <w:pPr>
              <w:spacing w:line="240" w:lineRule="auto"/>
              <w:ind w:firstLine="400" w:firstLineChars="0"/>
              <w:jc w:val="left"/>
              <w:rPr>
                <w:rFonts w:ascii="仿宋" w:hAnsi="仿宋" w:eastAsia="仿宋" w:cs="宋体"/>
                <w:color w:val="auto"/>
                <w:sz w:val="20"/>
                <w:szCs w:val="20"/>
                <w:highlight w:val="none"/>
              </w:rPr>
            </w:pPr>
          </w:p>
        </w:tc>
      </w:tr>
      <w:tr w14:paraId="1D91CF0B">
        <w:tblPrEx>
          <w:tblCellMar>
            <w:top w:w="0" w:type="dxa"/>
            <w:left w:w="108" w:type="dxa"/>
            <w:bottom w:w="0" w:type="dxa"/>
            <w:right w:w="108" w:type="dxa"/>
          </w:tblCellMar>
        </w:tblPrEx>
        <w:trPr>
          <w:trHeight w:val="1692" w:hRule="atLeast"/>
        </w:trPr>
        <w:tc>
          <w:tcPr>
            <w:tcW w:w="410" w:type="pct"/>
            <w:vMerge w:val="continue"/>
            <w:tcBorders>
              <w:top w:val="single" w:color="auto" w:sz="4" w:space="0"/>
              <w:left w:val="single" w:color="000000" w:sz="4" w:space="0"/>
              <w:bottom w:val="single" w:color="auto" w:sz="4" w:space="0"/>
              <w:right w:val="single" w:color="000000" w:sz="4" w:space="0"/>
            </w:tcBorders>
            <w:vAlign w:val="center"/>
          </w:tcPr>
          <w:p w14:paraId="0FC0F755">
            <w:pPr>
              <w:spacing w:line="240" w:lineRule="auto"/>
              <w:ind w:firstLine="420" w:firstLineChars="0"/>
              <w:jc w:val="center"/>
              <w:rPr>
                <w:rFonts w:ascii="仿宋" w:hAnsi="仿宋" w:eastAsia="仿宋" w:cs="宋体"/>
                <w:color w:val="auto"/>
                <w:sz w:val="21"/>
                <w:szCs w:val="21"/>
                <w:highlight w:val="none"/>
              </w:rPr>
            </w:pPr>
          </w:p>
        </w:tc>
        <w:tc>
          <w:tcPr>
            <w:tcW w:w="612" w:type="pct"/>
            <w:vMerge w:val="restart"/>
            <w:tcBorders>
              <w:top w:val="single" w:color="auto" w:sz="4" w:space="0"/>
              <w:left w:val="single" w:color="000000" w:sz="4" w:space="0"/>
              <w:bottom w:val="single" w:color="000000" w:sz="4" w:space="0"/>
              <w:right w:val="single" w:color="000000" w:sz="4" w:space="0"/>
            </w:tcBorders>
            <w:noWrap/>
            <w:vAlign w:val="center"/>
          </w:tcPr>
          <w:p w14:paraId="78DD3621">
            <w:pPr>
              <w:widowControl/>
              <w:spacing w:line="240" w:lineRule="auto"/>
              <w:ind w:firstLine="0" w:firstLineChars="0"/>
              <w:textAlignment w:val="center"/>
              <w:rPr>
                <w:rFonts w:ascii="仿宋" w:hAnsi="仿宋" w:eastAsia="仿宋" w:cs="宋体"/>
                <w:color w:val="auto"/>
                <w:kern w:val="0"/>
                <w:sz w:val="21"/>
                <w:szCs w:val="21"/>
                <w:highlight w:val="none"/>
                <w:lang w:bidi="ar"/>
              </w:rPr>
            </w:pPr>
            <w:r>
              <w:rPr>
                <w:rFonts w:hint="eastAsia" w:ascii="仿宋" w:hAnsi="仿宋" w:eastAsia="仿宋" w:cs="宋体"/>
                <w:color w:val="auto"/>
                <w:kern w:val="0"/>
                <w:sz w:val="21"/>
                <w:szCs w:val="21"/>
                <w:highlight w:val="none"/>
                <w:lang w:bidi="ar"/>
              </w:rPr>
              <w:t>3.3安全</w:t>
            </w:r>
          </w:p>
          <w:p w14:paraId="597282A1">
            <w:pPr>
              <w:widowControl/>
              <w:spacing w:line="240" w:lineRule="auto"/>
              <w:ind w:firstLine="0" w:firstLineChars="0"/>
              <w:textAlignment w:val="center"/>
              <w:rPr>
                <w:rFonts w:ascii="仿宋" w:hAnsi="仿宋" w:eastAsia="仿宋" w:cs="宋体"/>
                <w:color w:val="auto"/>
                <w:sz w:val="21"/>
                <w:szCs w:val="21"/>
                <w:highlight w:val="none"/>
              </w:rPr>
            </w:pPr>
            <w:r>
              <w:rPr>
                <w:rFonts w:hint="eastAsia" w:ascii="仿宋" w:hAnsi="仿宋" w:eastAsia="仿宋" w:cs="宋体"/>
                <w:color w:val="auto"/>
                <w:kern w:val="0"/>
                <w:sz w:val="21"/>
                <w:szCs w:val="21"/>
                <w:highlight w:val="none"/>
                <w:lang w:bidi="ar"/>
              </w:rPr>
              <w:t>事故</w:t>
            </w:r>
          </w:p>
        </w:tc>
        <w:tc>
          <w:tcPr>
            <w:tcW w:w="1966" w:type="pct"/>
            <w:vMerge w:val="restart"/>
            <w:tcBorders>
              <w:top w:val="single" w:color="000000" w:sz="4" w:space="0"/>
              <w:left w:val="single" w:color="000000" w:sz="4" w:space="0"/>
              <w:bottom w:val="single" w:color="000000" w:sz="4" w:space="0"/>
              <w:right w:val="single" w:color="000000" w:sz="4" w:space="0"/>
            </w:tcBorders>
            <w:vAlign w:val="center"/>
          </w:tcPr>
          <w:p w14:paraId="190A3108">
            <w:pPr>
              <w:widowControl/>
              <w:spacing w:line="240" w:lineRule="auto"/>
              <w:ind w:firstLine="0" w:firstLineChars="0"/>
              <w:textAlignment w:val="center"/>
              <w:rPr>
                <w:rFonts w:ascii="仿宋" w:hAnsi="仿宋" w:eastAsia="仿宋" w:cs="宋体"/>
                <w:color w:val="auto"/>
                <w:kern w:val="0"/>
                <w:sz w:val="21"/>
                <w:szCs w:val="21"/>
                <w:highlight w:val="none"/>
                <w:lang w:bidi="ar"/>
              </w:rPr>
            </w:pPr>
            <w:r>
              <w:rPr>
                <w:rFonts w:hint="eastAsia" w:ascii="仿宋" w:hAnsi="仿宋" w:eastAsia="仿宋" w:cs="宋体"/>
                <w:color w:val="auto"/>
                <w:kern w:val="0"/>
                <w:sz w:val="21"/>
                <w:szCs w:val="21"/>
                <w:highlight w:val="none"/>
                <w:lang w:bidi="ar"/>
              </w:rPr>
              <w:t>执行相关安全管理制度，确保安全管护。</w:t>
            </w:r>
          </w:p>
        </w:tc>
        <w:tc>
          <w:tcPr>
            <w:tcW w:w="1275" w:type="pct"/>
            <w:tcBorders>
              <w:top w:val="single" w:color="auto" w:sz="4" w:space="0"/>
              <w:left w:val="nil"/>
              <w:bottom w:val="single" w:color="auto" w:sz="4" w:space="0"/>
              <w:right w:val="single" w:color="000000" w:sz="4" w:space="0"/>
            </w:tcBorders>
            <w:vAlign w:val="center"/>
          </w:tcPr>
          <w:p w14:paraId="3707D1E1">
            <w:pPr>
              <w:widowControl/>
              <w:spacing w:line="240" w:lineRule="auto"/>
              <w:ind w:firstLine="0" w:firstLineChars="0"/>
              <w:textAlignment w:val="center"/>
              <w:rPr>
                <w:rFonts w:ascii="仿宋" w:hAnsi="仿宋" w:eastAsia="仿宋" w:cs="宋体"/>
                <w:color w:val="auto"/>
                <w:sz w:val="21"/>
                <w:szCs w:val="21"/>
                <w:highlight w:val="none"/>
              </w:rPr>
            </w:pPr>
            <w:r>
              <w:rPr>
                <w:rFonts w:hint="eastAsia" w:ascii="仿宋" w:hAnsi="仿宋" w:eastAsia="仿宋" w:cs="宋体"/>
                <w:color w:val="auto"/>
                <w:kern w:val="0"/>
                <w:sz w:val="21"/>
                <w:szCs w:val="21"/>
                <w:highlight w:val="none"/>
                <w:lang w:bidi="ar"/>
              </w:rPr>
              <w:t>发生安全事故的，以安监部门调查报告认定事故监管责任为准，如属管护单位主要责任：一般事故扣</w:t>
            </w:r>
            <w:r>
              <w:rPr>
                <w:rFonts w:ascii="仿宋" w:hAnsi="仿宋" w:eastAsia="仿宋" w:cs="宋体"/>
                <w:color w:val="auto"/>
                <w:kern w:val="0"/>
                <w:sz w:val="21"/>
                <w:szCs w:val="21"/>
                <w:highlight w:val="none"/>
                <w:lang w:bidi="ar"/>
              </w:rPr>
              <w:t>2</w:t>
            </w:r>
            <w:r>
              <w:rPr>
                <w:rFonts w:hint="eastAsia" w:ascii="仿宋" w:hAnsi="仿宋" w:eastAsia="仿宋" w:cs="宋体"/>
                <w:color w:val="auto"/>
                <w:kern w:val="0"/>
                <w:sz w:val="21"/>
                <w:szCs w:val="21"/>
                <w:highlight w:val="none"/>
                <w:lang w:bidi="ar"/>
              </w:rPr>
              <w:t>分</w:t>
            </w:r>
          </w:p>
        </w:tc>
        <w:tc>
          <w:tcPr>
            <w:tcW w:w="434" w:type="pct"/>
            <w:tcBorders>
              <w:top w:val="single" w:color="000000" w:sz="4" w:space="0"/>
              <w:left w:val="single" w:color="000000" w:sz="4" w:space="0"/>
              <w:bottom w:val="single" w:color="000000" w:sz="4" w:space="0"/>
              <w:right w:val="single" w:color="000000" w:sz="4" w:space="0"/>
            </w:tcBorders>
            <w:noWrap/>
            <w:vAlign w:val="center"/>
          </w:tcPr>
          <w:p w14:paraId="420B73A3">
            <w:pPr>
              <w:spacing w:line="240" w:lineRule="auto"/>
              <w:ind w:firstLine="400" w:firstLineChars="0"/>
              <w:jc w:val="left"/>
              <w:rPr>
                <w:rFonts w:ascii="仿宋" w:hAnsi="仿宋" w:eastAsia="仿宋" w:cs="宋体"/>
                <w:color w:val="auto"/>
                <w:sz w:val="20"/>
                <w:szCs w:val="20"/>
                <w:highlight w:val="none"/>
              </w:rPr>
            </w:pP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4C601852">
            <w:pPr>
              <w:spacing w:line="240" w:lineRule="auto"/>
              <w:ind w:firstLine="400" w:firstLineChars="0"/>
              <w:jc w:val="left"/>
              <w:rPr>
                <w:rFonts w:ascii="仿宋" w:hAnsi="仿宋" w:eastAsia="仿宋" w:cs="宋体"/>
                <w:color w:val="auto"/>
                <w:sz w:val="20"/>
                <w:szCs w:val="20"/>
                <w:highlight w:val="none"/>
              </w:rPr>
            </w:pPr>
          </w:p>
        </w:tc>
      </w:tr>
      <w:tr w14:paraId="27881CD9">
        <w:tblPrEx>
          <w:tblCellMar>
            <w:top w:w="0" w:type="dxa"/>
            <w:left w:w="108" w:type="dxa"/>
            <w:bottom w:w="0" w:type="dxa"/>
            <w:right w:w="108" w:type="dxa"/>
          </w:tblCellMar>
        </w:tblPrEx>
        <w:trPr>
          <w:trHeight w:val="1207" w:hRule="atLeast"/>
        </w:trPr>
        <w:tc>
          <w:tcPr>
            <w:tcW w:w="410" w:type="pct"/>
            <w:vMerge w:val="continue"/>
            <w:tcBorders>
              <w:top w:val="single" w:color="auto" w:sz="4" w:space="0"/>
              <w:left w:val="single" w:color="000000" w:sz="4" w:space="0"/>
              <w:bottom w:val="single" w:color="auto" w:sz="4" w:space="0"/>
              <w:right w:val="single" w:color="000000" w:sz="4" w:space="0"/>
            </w:tcBorders>
            <w:vAlign w:val="center"/>
          </w:tcPr>
          <w:p w14:paraId="7DC096E2">
            <w:pPr>
              <w:spacing w:line="240" w:lineRule="auto"/>
              <w:ind w:firstLine="400" w:firstLineChars="0"/>
              <w:jc w:val="center"/>
              <w:rPr>
                <w:rFonts w:ascii="仿宋" w:hAnsi="仿宋" w:eastAsia="仿宋" w:cs="宋体"/>
                <w:color w:val="auto"/>
                <w:sz w:val="20"/>
                <w:szCs w:val="20"/>
                <w:highlight w:val="none"/>
              </w:rPr>
            </w:pPr>
          </w:p>
        </w:tc>
        <w:tc>
          <w:tcPr>
            <w:tcW w:w="612" w:type="pct"/>
            <w:vMerge w:val="continue"/>
            <w:tcBorders>
              <w:top w:val="single" w:color="000000" w:sz="4" w:space="0"/>
              <w:left w:val="single" w:color="000000" w:sz="4" w:space="0"/>
              <w:bottom w:val="single" w:color="000000" w:sz="4" w:space="0"/>
              <w:right w:val="single" w:color="000000" w:sz="4" w:space="0"/>
            </w:tcBorders>
            <w:noWrap/>
            <w:vAlign w:val="center"/>
          </w:tcPr>
          <w:p w14:paraId="60695DA7">
            <w:pPr>
              <w:spacing w:line="240" w:lineRule="auto"/>
              <w:ind w:firstLine="400" w:firstLineChars="0"/>
              <w:jc w:val="center"/>
              <w:rPr>
                <w:rFonts w:ascii="仿宋" w:hAnsi="仿宋" w:eastAsia="仿宋" w:cs="宋体"/>
                <w:color w:val="auto"/>
                <w:sz w:val="20"/>
                <w:szCs w:val="20"/>
                <w:highlight w:val="none"/>
              </w:rPr>
            </w:pPr>
          </w:p>
        </w:tc>
        <w:tc>
          <w:tcPr>
            <w:tcW w:w="1966" w:type="pct"/>
            <w:vMerge w:val="continue"/>
            <w:tcBorders>
              <w:top w:val="single" w:color="000000" w:sz="4" w:space="0"/>
              <w:left w:val="single" w:color="000000" w:sz="4" w:space="0"/>
              <w:bottom w:val="single" w:color="000000" w:sz="4" w:space="0"/>
              <w:right w:val="single" w:color="000000" w:sz="4" w:space="0"/>
            </w:tcBorders>
            <w:vAlign w:val="center"/>
          </w:tcPr>
          <w:p w14:paraId="453AABC1">
            <w:pPr>
              <w:spacing w:line="240" w:lineRule="auto"/>
              <w:ind w:firstLine="400" w:firstLineChars="0"/>
              <w:rPr>
                <w:rFonts w:ascii="仿宋" w:hAnsi="仿宋" w:eastAsia="仿宋" w:cs="宋体"/>
                <w:color w:val="auto"/>
                <w:sz w:val="20"/>
                <w:szCs w:val="20"/>
                <w:highlight w:val="none"/>
              </w:rPr>
            </w:pPr>
          </w:p>
        </w:tc>
        <w:tc>
          <w:tcPr>
            <w:tcW w:w="1275" w:type="pct"/>
            <w:tcBorders>
              <w:top w:val="single" w:color="auto" w:sz="4" w:space="0"/>
              <w:left w:val="nil"/>
              <w:bottom w:val="single" w:color="auto" w:sz="4" w:space="0"/>
              <w:right w:val="single" w:color="000000" w:sz="4" w:space="0"/>
            </w:tcBorders>
            <w:vAlign w:val="center"/>
          </w:tcPr>
          <w:p w14:paraId="76DBEE04">
            <w:pPr>
              <w:widowControl/>
              <w:spacing w:line="240" w:lineRule="auto"/>
              <w:ind w:firstLine="0" w:firstLineChars="0"/>
              <w:textAlignment w:val="center"/>
              <w:rPr>
                <w:rFonts w:ascii="仿宋" w:hAnsi="仿宋" w:eastAsia="仿宋" w:cs="宋体"/>
                <w:color w:val="auto"/>
                <w:sz w:val="21"/>
                <w:szCs w:val="21"/>
                <w:highlight w:val="none"/>
              </w:rPr>
            </w:pPr>
            <w:r>
              <w:rPr>
                <w:rFonts w:hint="eastAsia" w:ascii="仿宋" w:hAnsi="仿宋" w:eastAsia="仿宋" w:cs="宋体"/>
                <w:color w:val="auto"/>
                <w:kern w:val="0"/>
                <w:sz w:val="21"/>
                <w:szCs w:val="21"/>
                <w:highlight w:val="none"/>
                <w:lang w:bidi="ar"/>
              </w:rPr>
              <w:t>发生安全事故的，以安监部门调查报告认定事故监管责任为准，如属管护单位负主要责任：较大事故扣</w:t>
            </w:r>
            <w:r>
              <w:rPr>
                <w:rFonts w:ascii="仿宋" w:hAnsi="仿宋" w:eastAsia="仿宋" w:cs="宋体"/>
                <w:color w:val="auto"/>
                <w:kern w:val="0"/>
                <w:sz w:val="21"/>
                <w:szCs w:val="21"/>
                <w:highlight w:val="none"/>
                <w:lang w:bidi="ar"/>
              </w:rPr>
              <w:t>4</w:t>
            </w:r>
            <w:r>
              <w:rPr>
                <w:rFonts w:hint="eastAsia" w:ascii="仿宋" w:hAnsi="仿宋" w:eastAsia="仿宋" w:cs="宋体"/>
                <w:color w:val="auto"/>
                <w:kern w:val="0"/>
                <w:sz w:val="21"/>
                <w:szCs w:val="21"/>
                <w:highlight w:val="none"/>
                <w:lang w:bidi="ar"/>
              </w:rPr>
              <w:t>分</w:t>
            </w:r>
          </w:p>
        </w:tc>
        <w:tc>
          <w:tcPr>
            <w:tcW w:w="434" w:type="pct"/>
            <w:tcBorders>
              <w:top w:val="single" w:color="000000" w:sz="4" w:space="0"/>
              <w:left w:val="single" w:color="000000" w:sz="4" w:space="0"/>
              <w:bottom w:val="single" w:color="000000" w:sz="4" w:space="0"/>
              <w:right w:val="single" w:color="000000" w:sz="4" w:space="0"/>
            </w:tcBorders>
            <w:noWrap/>
            <w:vAlign w:val="center"/>
          </w:tcPr>
          <w:p w14:paraId="6E4706A9">
            <w:pPr>
              <w:spacing w:line="240" w:lineRule="auto"/>
              <w:ind w:firstLine="400" w:firstLineChars="0"/>
              <w:rPr>
                <w:rFonts w:ascii="仿宋" w:hAnsi="仿宋" w:eastAsia="仿宋" w:cs="宋体"/>
                <w:color w:val="auto"/>
                <w:sz w:val="20"/>
                <w:szCs w:val="20"/>
                <w:highlight w:val="none"/>
              </w:rPr>
            </w:pP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35D7814C">
            <w:pPr>
              <w:spacing w:line="240" w:lineRule="auto"/>
              <w:ind w:firstLine="400" w:firstLineChars="0"/>
              <w:rPr>
                <w:rFonts w:ascii="仿宋" w:hAnsi="仿宋" w:eastAsia="仿宋" w:cs="宋体"/>
                <w:color w:val="auto"/>
                <w:sz w:val="20"/>
                <w:szCs w:val="20"/>
                <w:highlight w:val="none"/>
              </w:rPr>
            </w:pPr>
          </w:p>
        </w:tc>
      </w:tr>
      <w:tr w14:paraId="1EB97362">
        <w:tblPrEx>
          <w:tblCellMar>
            <w:top w:w="0" w:type="dxa"/>
            <w:left w:w="108" w:type="dxa"/>
            <w:bottom w:w="0" w:type="dxa"/>
            <w:right w:w="108" w:type="dxa"/>
          </w:tblCellMar>
        </w:tblPrEx>
        <w:trPr>
          <w:trHeight w:val="1446" w:hRule="atLeast"/>
        </w:trPr>
        <w:tc>
          <w:tcPr>
            <w:tcW w:w="410" w:type="pct"/>
            <w:vMerge w:val="continue"/>
            <w:tcBorders>
              <w:top w:val="single" w:color="auto" w:sz="4" w:space="0"/>
              <w:left w:val="single" w:color="000000" w:sz="4" w:space="0"/>
              <w:bottom w:val="single" w:color="auto" w:sz="4" w:space="0"/>
              <w:right w:val="single" w:color="000000" w:sz="4" w:space="0"/>
            </w:tcBorders>
            <w:vAlign w:val="center"/>
          </w:tcPr>
          <w:p w14:paraId="2BC77B50">
            <w:pPr>
              <w:spacing w:line="240" w:lineRule="auto"/>
              <w:ind w:firstLine="400" w:firstLineChars="0"/>
              <w:jc w:val="center"/>
              <w:rPr>
                <w:rFonts w:ascii="仿宋" w:hAnsi="仿宋" w:eastAsia="仿宋" w:cs="宋体"/>
                <w:color w:val="auto"/>
                <w:sz w:val="20"/>
                <w:szCs w:val="20"/>
                <w:highlight w:val="none"/>
              </w:rPr>
            </w:pPr>
          </w:p>
        </w:tc>
        <w:tc>
          <w:tcPr>
            <w:tcW w:w="612" w:type="pct"/>
            <w:vMerge w:val="continue"/>
            <w:tcBorders>
              <w:top w:val="single" w:color="000000" w:sz="4" w:space="0"/>
              <w:left w:val="single" w:color="000000" w:sz="4" w:space="0"/>
              <w:bottom w:val="single" w:color="000000" w:sz="4" w:space="0"/>
              <w:right w:val="single" w:color="000000" w:sz="4" w:space="0"/>
            </w:tcBorders>
            <w:noWrap/>
            <w:vAlign w:val="center"/>
          </w:tcPr>
          <w:p w14:paraId="1ED274AC">
            <w:pPr>
              <w:spacing w:line="240" w:lineRule="auto"/>
              <w:ind w:firstLine="400" w:firstLineChars="0"/>
              <w:jc w:val="center"/>
              <w:rPr>
                <w:rFonts w:ascii="仿宋" w:hAnsi="仿宋" w:eastAsia="仿宋" w:cs="宋体"/>
                <w:color w:val="auto"/>
                <w:sz w:val="20"/>
                <w:szCs w:val="20"/>
                <w:highlight w:val="none"/>
              </w:rPr>
            </w:pPr>
          </w:p>
        </w:tc>
        <w:tc>
          <w:tcPr>
            <w:tcW w:w="1966" w:type="pct"/>
            <w:vMerge w:val="continue"/>
            <w:tcBorders>
              <w:top w:val="single" w:color="000000" w:sz="4" w:space="0"/>
              <w:left w:val="single" w:color="000000" w:sz="4" w:space="0"/>
              <w:bottom w:val="single" w:color="000000" w:sz="4" w:space="0"/>
              <w:right w:val="single" w:color="000000" w:sz="4" w:space="0"/>
            </w:tcBorders>
            <w:vAlign w:val="center"/>
          </w:tcPr>
          <w:p w14:paraId="0AD29E57">
            <w:pPr>
              <w:spacing w:line="240" w:lineRule="auto"/>
              <w:ind w:firstLine="400" w:firstLineChars="0"/>
              <w:rPr>
                <w:rFonts w:ascii="仿宋" w:hAnsi="仿宋" w:eastAsia="仿宋" w:cs="宋体"/>
                <w:color w:val="auto"/>
                <w:sz w:val="20"/>
                <w:szCs w:val="20"/>
                <w:highlight w:val="none"/>
              </w:rPr>
            </w:pPr>
          </w:p>
        </w:tc>
        <w:tc>
          <w:tcPr>
            <w:tcW w:w="1275" w:type="pct"/>
            <w:tcBorders>
              <w:top w:val="single" w:color="auto" w:sz="4" w:space="0"/>
              <w:left w:val="nil"/>
              <w:bottom w:val="single" w:color="000000" w:sz="8" w:space="0"/>
              <w:right w:val="single" w:color="000000" w:sz="4" w:space="0"/>
            </w:tcBorders>
            <w:vAlign w:val="center"/>
          </w:tcPr>
          <w:p w14:paraId="4D111764">
            <w:pPr>
              <w:spacing w:line="240" w:lineRule="auto"/>
              <w:ind w:firstLine="0" w:firstLineChars="0"/>
              <w:rPr>
                <w:rFonts w:ascii="仿宋" w:hAnsi="仿宋" w:eastAsia="仿宋" w:cs="宋体"/>
                <w:color w:val="auto"/>
                <w:sz w:val="21"/>
                <w:szCs w:val="21"/>
                <w:highlight w:val="none"/>
              </w:rPr>
            </w:pPr>
            <w:r>
              <w:rPr>
                <w:rFonts w:hint="eastAsia" w:ascii="仿宋" w:hAnsi="仿宋" w:eastAsia="仿宋" w:cs="宋体"/>
                <w:color w:val="auto"/>
                <w:kern w:val="0"/>
                <w:sz w:val="21"/>
                <w:szCs w:val="21"/>
                <w:highlight w:val="none"/>
                <w:lang w:bidi="ar"/>
              </w:rPr>
              <w:t>发生安全事故的，以安监部门调查报告认定事故监管责任为准，如属管护单位负主要责任：</w:t>
            </w:r>
            <w:r>
              <w:rPr>
                <w:rFonts w:ascii="仿宋" w:hAnsi="仿宋" w:eastAsia="仿宋" w:cs="仿宋"/>
                <w:b/>
                <w:bCs/>
                <w:color w:val="auto"/>
                <w:sz w:val="21"/>
                <w:szCs w:val="21"/>
                <w:highlight w:val="none"/>
                <w:lang w:bidi="ar"/>
              </w:rPr>
              <w:t>重大事故及以上，绩效考核为不合格。</w:t>
            </w:r>
          </w:p>
        </w:tc>
        <w:tc>
          <w:tcPr>
            <w:tcW w:w="434" w:type="pct"/>
            <w:tcBorders>
              <w:top w:val="single" w:color="000000" w:sz="4" w:space="0"/>
              <w:left w:val="single" w:color="000000" w:sz="4" w:space="0"/>
              <w:bottom w:val="single" w:color="000000" w:sz="4" w:space="0"/>
              <w:right w:val="single" w:color="000000" w:sz="4" w:space="0"/>
            </w:tcBorders>
            <w:noWrap/>
            <w:vAlign w:val="center"/>
          </w:tcPr>
          <w:p w14:paraId="23BB427A">
            <w:pPr>
              <w:spacing w:line="240" w:lineRule="auto"/>
              <w:ind w:firstLine="400" w:firstLineChars="0"/>
              <w:rPr>
                <w:rFonts w:ascii="仿宋" w:hAnsi="仿宋" w:eastAsia="仿宋" w:cs="宋体"/>
                <w:color w:val="auto"/>
                <w:sz w:val="20"/>
                <w:szCs w:val="20"/>
                <w:highlight w:val="none"/>
              </w:rPr>
            </w:pP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61F2126B">
            <w:pPr>
              <w:spacing w:line="240" w:lineRule="auto"/>
              <w:ind w:firstLine="400" w:firstLineChars="0"/>
              <w:rPr>
                <w:rFonts w:ascii="仿宋" w:hAnsi="仿宋" w:eastAsia="仿宋" w:cs="宋体"/>
                <w:color w:val="auto"/>
                <w:sz w:val="20"/>
                <w:szCs w:val="20"/>
                <w:highlight w:val="none"/>
              </w:rPr>
            </w:pPr>
          </w:p>
        </w:tc>
      </w:tr>
      <w:tr w14:paraId="01F396E5">
        <w:tblPrEx>
          <w:tblCellMar>
            <w:top w:w="0" w:type="dxa"/>
            <w:left w:w="108" w:type="dxa"/>
            <w:bottom w:w="0" w:type="dxa"/>
            <w:right w:w="108" w:type="dxa"/>
          </w:tblCellMar>
        </w:tblPrEx>
        <w:trPr>
          <w:trHeight w:val="1001" w:hRule="atLeast"/>
        </w:trPr>
        <w:tc>
          <w:tcPr>
            <w:tcW w:w="410" w:type="pct"/>
            <w:vMerge w:val="continue"/>
            <w:tcBorders>
              <w:top w:val="single" w:color="auto" w:sz="4" w:space="0"/>
              <w:left w:val="single" w:color="000000" w:sz="4" w:space="0"/>
              <w:bottom w:val="single" w:color="auto" w:sz="4" w:space="0"/>
              <w:right w:val="single" w:color="000000" w:sz="4" w:space="0"/>
            </w:tcBorders>
            <w:vAlign w:val="center"/>
          </w:tcPr>
          <w:p w14:paraId="4B8C2847">
            <w:pPr>
              <w:spacing w:line="240" w:lineRule="auto"/>
              <w:ind w:firstLine="400" w:firstLineChars="0"/>
              <w:jc w:val="center"/>
              <w:rPr>
                <w:rFonts w:ascii="仿宋" w:hAnsi="仿宋" w:eastAsia="仿宋" w:cs="宋体"/>
                <w:color w:val="auto"/>
                <w:sz w:val="20"/>
                <w:szCs w:val="20"/>
                <w:highlight w:val="none"/>
              </w:rPr>
            </w:pPr>
          </w:p>
        </w:tc>
        <w:tc>
          <w:tcPr>
            <w:tcW w:w="612" w:type="pct"/>
            <w:tcBorders>
              <w:top w:val="single" w:color="000000" w:sz="4" w:space="0"/>
              <w:left w:val="single" w:color="000000" w:sz="4" w:space="0"/>
              <w:bottom w:val="single" w:color="000000" w:sz="4" w:space="0"/>
              <w:right w:val="single" w:color="000000" w:sz="4" w:space="0"/>
            </w:tcBorders>
            <w:noWrap/>
            <w:vAlign w:val="center"/>
          </w:tcPr>
          <w:p w14:paraId="5AF2160A">
            <w:pPr>
              <w:spacing w:line="240" w:lineRule="auto"/>
              <w:ind w:firstLine="0" w:firstLineChars="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3</w:t>
            </w:r>
            <w:r>
              <w:rPr>
                <w:rFonts w:ascii="仿宋" w:hAnsi="仿宋" w:eastAsia="仿宋" w:cs="宋体"/>
                <w:color w:val="auto"/>
                <w:sz w:val="21"/>
                <w:szCs w:val="21"/>
                <w:highlight w:val="none"/>
              </w:rPr>
              <w:t>.4</w:t>
            </w:r>
            <w:r>
              <w:rPr>
                <w:rFonts w:hint="eastAsia" w:ascii="仿宋" w:hAnsi="仿宋" w:eastAsia="仿宋" w:cs="宋体"/>
                <w:color w:val="auto"/>
                <w:sz w:val="21"/>
                <w:szCs w:val="21"/>
                <w:highlight w:val="none"/>
              </w:rPr>
              <w:t>安全</w:t>
            </w:r>
          </w:p>
          <w:p w14:paraId="14446D34">
            <w:pPr>
              <w:spacing w:line="240" w:lineRule="auto"/>
              <w:ind w:firstLine="0" w:firstLineChars="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检查</w:t>
            </w:r>
          </w:p>
        </w:tc>
        <w:tc>
          <w:tcPr>
            <w:tcW w:w="1966" w:type="pct"/>
            <w:tcBorders>
              <w:top w:val="single" w:color="000000" w:sz="4" w:space="0"/>
              <w:left w:val="single" w:color="000000" w:sz="4" w:space="0"/>
              <w:bottom w:val="single" w:color="000000" w:sz="4" w:space="0"/>
              <w:right w:val="single" w:color="000000" w:sz="4" w:space="0"/>
            </w:tcBorders>
            <w:vAlign w:val="center"/>
          </w:tcPr>
          <w:p w14:paraId="201E2920">
            <w:pPr>
              <w:spacing w:line="240" w:lineRule="auto"/>
              <w:ind w:firstLine="0" w:firstLineChars="0"/>
              <w:rPr>
                <w:rFonts w:ascii="仿宋" w:hAnsi="仿宋" w:eastAsia="仿宋" w:cs="宋体"/>
                <w:color w:val="auto"/>
                <w:sz w:val="21"/>
                <w:szCs w:val="21"/>
                <w:highlight w:val="none"/>
              </w:rPr>
            </w:pPr>
            <w:r>
              <w:rPr>
                <w:rFonts w:ascii="仿宋" w:hAnsi="仿宋" w:eastAsia="仿宋"/>
                <w:color w:val="auto"/>
                <w:kern w:val="0"/>
                <w:sz w:val="21"/>
                <w:szCs w:val="21"/>
                <w:highlight w:val="none"/>
              </w:rPr>
              <w:t>安全检查记录及隐患整改情况记录、事故处理记录</w:t>
            </w:r>
            <w:r>
              <w:rPr>
                <w:rFonts w:hint="eastAsia" w:ascii="仿宋" w:hAnsi="仿宋" w:eastAsia="仿宋"/>
                <w:color w:val="auto"/>
                <w:kern w:val="0"/>
                <w:sz w:val="21"/>
                <w:szCs w:val="21"/>
                <w:highlight w:val="none"/>
              </w:rPr>
              <w:t>。</w:t>
            </w:r>
          </w:p>
        </w:tc>
        <w:tc>
          <w:tcPr>
            <w:tcW w:w="1275" w:type="pct"/>
            <w:tcBorders>
              <w:top w:val="nil"/>
              <w:left w:val="nil"/>
              <w:bottom w:val="single" w:color="000000" w:sz="8" w:space="0"/>
              <w:right w:val="single" w:color="000000" w:sz="4" w:space="0"/>
            </w:tcBorders>
            <w:vAlign w:val="center"/>
          </w:tcPr>
          <w:p w14:paraId="401C842C">
            <w:pPr>
              <w:spacing w:line="240" w:lineRule="auto"/>
              <w:ind w:firstLine="0" w:firstLineChars="0"/>
              <w:rPr>
                <w:rFonts w:ascii="仿宋" w:hAnsi="仿宋" w:eastAsia="仿宋" w:cs="宋体"/>
                <w:color w:val="auto"/>
                <w:kern w:val="0"/>
                <w:sz w:val="21"/>
                <w:szCs w:val="21"/>
                <w:highlight w:val="none"/>
                <w:lang w:bidi="ar"/>
              </w:rPr>
            </w:pPr>
            <w:r>
              <w:rPr>
                <w:rFonts w:hint="eastAsia" w:ascii="仿宋" w:hAnsi="仿宋" w:eastAsia="仿宋" w:cs="宋体"/>
                <w:color w:val="auto"/>
                <w:kern w:val="0"/>
                <w:sz w:val="21"/>
                <w:szCs w:val="21"/>
                <w:highlight w:val="none"/>
                <w:lang w:bidi="ar"/>
              </w:rPr>
              <w:t>无</w:t>
            </w:r>
            <w:r>
              <w:rPr>
                <w:rFonts w:ascii="仿宋" w:hAnsi="仿宋" w:eastAsia="仿宋"/>
                <w:color w:val="auto"/>
                <w:kern w:val="0"/>
                <w:sz w:val="21"/>
                <w:szCs w:val="21"/>
                <w:highlight w:val="none"/>
              </w:rPr>
              <w:t>安全检查记录及隐患整改情况记录、事故处理记录</w:t>
            </w:r>
            <w:r>
              <w:rPr>
                <w:rFonts w:hint="eastAsia" w:ascii="仿宋" w:hAnsi="仿宋" w:eastAsia="仿宋"/>
                <w:color w:val="auto"/>
                <w:kern w:val="0"/>
                <w:sz w:val="21"/>
                <w:szCs w:val="21"/>
                <w:highlight w:val="none"/>
              </w:rPr>
              <w:t>，扣1分。</w:t>
            </w:r>
          </w:p>
        </w:tc>
        <w:tc>
          <w:tcPr>
            <w:tcW w:w="434" w:type="pct"/>
            <w:tcBorders>
              <w:top w:val="single" w:color="000000" w:sz="4" w:space="0"/>
              <w:left w:val="single" w:color="000000" w:sz="4" w:space="0"/>
              <w:bottom w:val="single" w:color="000000" w:sz="4" w:space="0"/>
              <w:right w:val="single" w:color="000000" w:sz="4" w:space="0"/>
            </w:tcBorders>
            <w:noWrap/>
            <w:vAlign w:val="center"/>
          </w:tcPr>
          <w:p w14:paraId="210753C5">
            <w:pPr>
              <w:spacing w:line="240" w:lineRule="auto"/>
              <w:ind w:firstLine="400" w:firstLineChars="0"/>
              <w:rPr>
                <w:rFonts w:ascii="仿宋" w:hAnsi="仿宋" w:eastAsia="仿宋" w:cs="宋体"/>
                <w:color w:val="auto"/>
                <w:sz w:val="20"/>
                <w:szCs w:val="20"/>
                <w:highlight w:val="none"/>
              </w:rPr>
            </w:pP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3125607E">
            <w:pPr>
              <w:spacing w:line="240" w:lineRule="auto"/>
              <w:ind w:firstLine="400" w:firstLineChars="0"/>
              <w:rPr>
                <w:rFonts w:ascii="仿宋" w:hAnsi="仿宋" w:eastAsia="仿宋" w:cs="宋体"/>
                <w:color w:val="auto"/>
                <w:sz w:val="20"/>
                <w:szCs w:val="20"/>
                <w:highlight w:val="none"/>
              </w:rPr>
            </w:pPr>
          </w:p>
        </w:tc>
      </w:tr>
      <w:tr w14:paraId="058ADCB7">
        <w:tblPrEx>
          <w:tblCellMar>
            <w:top w:w="0" w:type="dxa"/>
            <w:left w:w="108" w:type="dxa"/>
            <w:bottom w:w="0" w:type="dxa"/>
            <w:right w:w="108" w:type="dxa"/>
          </w:tblCellMar>
        </w:tblPrEx>
        <w:trPr>
          <w:trHeight w:val="973" w:hRule="atLeast"/>
        </w:trPr>
        <w:tc>
          <w:tcPr>
            <w:tcW w:w="410" w:type="pct"/>
            <w:vMerge w:val="restart"/>
            <w:tcBorders>
              <w:top w:val="single" w:color="auto" w:sz="4" w:space="0"/>
              <w:left w:val="single" w:color="000000" w:sz="4" w:space="0"/>
              <w:bottom w:val="single" w:color="000000" w:sz="4" w:space="0"/>
              <w:right w:val="single" w:color="000000" w:sz="4" w:space="0"/>
            </w:tcBorders>
            <w:noWrap/>
            <w:vAlign w:val="center"/>
          </w:tcPr>
          <w:p w14:paraId="78F08FDA">
            <w:pPr>
              <w:widowControl/>
              <w:spacing w:line="240" w:lineRule="auto"/>
              <w:ind w:firstLine="0" w:firstLineChars="0"/>
              <w:textAlignment w:val="center"/>
              <w:rPr>
                <w:rFonts w:ascii="仿宋" w:hAnsi="仿宋" w:eastAsia="仿宋" w:cs="宋体"/>
                <w:color w:val="auto"/>
                <w:kern w:val="0"/>
                <w:sz w:val="21"/>
                <w:szCs w:val="21"/>
                <w:highlight w:val="none"/>
                <w:lang w:bidi="ar"/>
              </w:rPr>
            </w:pPr>
            <w:r>
              <w:rPr>
                <w:rFonts w:hint="eastAsia" w:ascii="仿宋" w:hAnsi="仿宋" w:eastAsia="仿宋" w:cs="宋体"/>
                <w:color w:val="auto"/>
                <w:kern w:val="0"/>
                <w:sz w:val="21"/>
                <w:szCs w:val="21"/>
                <w:highlight w:val="none"/>
                <w:lang w:bidi="ar"/>
              </w:rPr>
              <w:t>四、</w:t>
            </w:r>
          </w:p>
          <w:p w14:paraId="3FCB9509">
            <w:pPr>
              <w:widowControl/>
              <w:spacing w:line="240" w:lineRule="auto"/>
              <w:ind w:firstLine="0" w:firstLineChars="0"/>
              <w:textAlignment w:val="center"/>
              <w:rPr>
                <w:rFonts w:ascii="仿宋" w:hAnsi="仿宋" w:eastAsia="仿宋" w:cs="宋体"/>
                <w:color w:val="auto"/>
                <w:sz w:val="21"/>
                <w:szCs w:val="21"/>
                <w:highlight w:val="none"/>
              </w:rPr>
            </w:pPr>
            <w:r>
              <w:rPr>
                <w:rFonts w:hint="eastAsia" w:ascii="仿宋" w:hAnsi="仿宋" w:eastAsia="仿宋" w:cs="宋体"/>
                <w:color w:val="auto"/>
                <w:kern w:val="0"/>
                <w:sz w:val="21"/>
                <w:szCs w:val="21"/>
                <w:highlight w:val="none"/>
                <w:lang w:bidi="ar"/>
              </w:rPr>
              <w:t>履约检查情况</w:t>
            </w:r>
          </w:p>
        </w:tc>
        <w:tc>
          <w:tcPr>
            <w:tcW w:w="612" w:type="pct"/>
            <w:tcBorders>
              <w:top w:val="single" w:color="000000" w:sz="4" w:space="0"/>
              <w:left w:val="single" w:color="000000" w:sz="4" w:space="0"/>
              <w:bottom w:val="single" w:color="000000" w:sz="4" w:space="0"/>
              <w:right w:val="single" w:color="000000" w:sz="4" w:space="0"/>
            </w:tcBorders>
            <w:noWrap/>
            <w:vAlign w:val="center"/>
          </w:tcPr>
          <w:p w14:paraId="002147F9">
            <w:pPr>
              <w:widowControl/>
              <w:spacing w:line="240" w:lineRule="auto"/>
              <w:ind w:firstLine="0" w:firstLineChars="0"/>
              <w:jc w:val="left"/>
              <w:textAlignment w:val="center"/>
              <w:rPr>
                <w:rFonts w:ascii="仿宋" w:hAnsi="仿宋" w:eastAsia="仿宋" w:cs="宋体"/>
                <w:color w:val="auto"/>
                <w:sz w:val="21"/>
                <w:szCs w:val="21"/>
                <w:highlight w:val="none"/>
              </w:rPr>
            </w:pPr>
            <w:r>
              <w:rPr>
                <w:rFonts w:hint="eastAsia" w:ascii="仿宋" w:hAnsi="仿宋" w:eastAsia="仿宋" w:cs="宋体"/>
                <w:color w:val="auto"/>
                <w:kern w:val="0"/>
                <w:sz w:val="21"/>
                <w:szCs w:val="21"/>
                <w:highlight w:val="none"/>
                <w:lang w:bidi="ar"/>
              </w:rPr>
              <w:t>4.1配合业主方、政府单位检查</w:t>
            </w:r>
          </w:p>
        </w:tc>
        <w:tc>
          <w:tcPr>
            <w:tcW w:w="1966" w:type="pct"/>
            <w:tcBorders>
              <w:top w:val="single" w:color="000000" w:sz="4" w:space="0"/>
              <w:left w:val="single" w:color="000000" w:sz="4" w:space="0"/>
              <w:bottom w:val="single" w:color="000000" w:sz="4" w:space="0"/>
              <w:right w:val="single" w:color="000000" w:sz="4" w:space="0"/>
            </w:tcBorders>
            <w:vAlign w:val="center"/>
          </w:tcPr>
          <w:p w14:paraId="17D2DCCC">
            <w:pPr>
              <w:widowControl/>
              <w:spacing w:line="240" w:lineRule="auto"/>
              <w:ind w:firstLine="0" w:firstLineChars="0"/>
              <w:jc w:val="left"/>
              <w:textAlignment w:val="center"/>
              <w:rPr>
                <w:rFonts w:ascii="仿宋" w:hAnsi="仿宋" w:eastAsia="仿宋" w:cs="宋体"/>
                <w:color w:val="auto"/>
                <w:sz w:val="21"/>
                <w:szCs w:val="21"/>
                <w:highlight w:val="none"/>
              </w:rPr>
            </w:pPr>
            <w:r>
              <w:rPr>
                <w:rFonts w:hint="eastAsia" w:ascii="仿宋" w:hAnsi="仿宋" w:eastAsia="仿宋" w:cs="宋体"/>
                <w:color w:val="auto"/>
                <w:kern w:val="0"/>
                <w:sz w:val="21"/>
                <w:szCs w:val="21"/>
                <w:highlight w:val="none"/>
                <w:lang w:bidi="ar"/>
              </w:rPr>
              <w:t>在合同期内，应积极配合业主、政府方做好项目范围内及相关范围的防灾、迎检等相关工作。</w:t>
            </w:r>
          </w:p>
        </w:tc>
        <w:tc>
          <w:tcPr>
            <w:tcW w:w="1275" w:type="pct"/>
            <w:tcBorders>
              <w:top w:val="single" w:color="000000" w:sz="4" w:space="0"/>
              <w:left w:val="single" w:color="000000" w:sz="4" w:space="0"/>
              <w:bottom w:val="single" w:color="000000" w:sz="4" w:space="0"/>
              <w:right w:val="single" w:color="000000" w:sz="4" w:space="0"/>
            </w:tcBorders>
            <w:noWrap/>
            <w:vAlign w:val="center"/>
          </w:tcPr>
          <w:p w14:paraId="0F6D4093">
            <w:pPr>
              <w:widowControl/>
              <w:spacing w:line="240" w:lineRule="auto"/>
              <w:ind w:firstLine="0" w:firstLineChars="0"/>
              <w:textAlignment w:val="center"/>
              <w:rPr>
                <w:rFonts w:ascii="仿宋" w:hAnsi="仿宋" w:eastAsia="仿宋" w:cs="宋体"/>
                <w:color w:val="auto"/>
                <w:sz w:val="21"/>
                <w:szCs w:val="21"/>
                <w:highlight w:val="none"/>
              </w:rPr>
            </w:pPr>
            <w:r>
              <w:rPr>
                <w:rFonts w:hint="eastAsia" w:ascii="仿宋" w:hAnsi="仿宋" w:eastAsia="仿宋" w:cs="宋体"/>
                <w:color w:val="auto"/>
                <w:kern w:val="0"/>
                <w:sz w:val="21"/>
                <w:szCs w:val="21"/>
                <w:highlight w:val="none"/>
                <w:lang w:bidi="ar"/>
              </w:rPr>
              <w:t>不配合行为，每次扣</w:t>
            </w:r>
            <w:r>
              <w:rPr>
                <w:rFonts w:ascii="仿宋" w:hAnsi="仿宋" w:eastAsia="仿宋" w:cs="宋体"/>
                <w:color w:val="auto"/>
                <w:kern w:val="0"/>
                <w:sz w:val="21"/>
                <w:szCs w:val="21"/>
                <w:highlight w:val="none"/>
                <w:lang w:bidi="ar"/>
              </w:rPr>
              <w:t>5</w:t>
            </w:r>
            <w:r>
              <w:rPr>
                <w:rFonts w:hint="eastAsia" w:ascii="仿宋" w:hAnsi="仿宋" w:eastAsia="仿宋" w:cs="宋体"/>
                <w:color w:val="auto"/>
                <w:kern w:val="0"/>
                <w:sz w:val="21"/>
                <w:szCs w:val="21"/>
                <w:highlight w:val="none"/>
                <w:lang w:bidi="ar"/>
              </w:rPr>
              <w:t>分。</w:t>
            </w:r>
          </w:p>
        </w:tc>
        <w:tc>
          <w:tcPr>
            <w:tcW w:w="434" w:type="pct"/>
            <w:tcBorders>
              <w:top w:val="single" w:color="000000" w:sz="4" w:space="0"/>
              <w:left w:val="single" w:color="000000" w:sz="4" w:space="0"/>
              <w:bottom w:val="single" w:color="000000" w:sz="4" w:space="0"/>
              <w:right w:val="single" w:color="000000" w:sz="4" w:space="0"/>
            </w:tcBorders>
            <w:noWrap/>
            <w:vAlign w:val="center"/>
          </w:tcPr>
          <w:p w14:paraId="6D530DAA">
            <w:pPr>
              <w:spacing w:line="240" w:lineRule="auto"/>
              <w:ind w:firstLine="400" w:firstLineChars="0"/>
              <w:rPr>
                <w:rFonts w:ascii="仿宋" w:hAnsi="仿宋" w:eastAsia="仿宋" w:cs="宋体"/>
                <w:color w:val="auto"/>
                <w:sz w:val="20"/>
                <w:szCs w:val="20"/>
                <w:highlight w:val="none"/>
              </w:rPr>
            </w:pP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264022FC">
            <w:pPr>
              <w:spacing w:line="240" w:lineRule="auto"/>
              <w:ind w:firstLine="400" w:firstLineChars="0"/>
              <w:rPr>
                <w:rFonts w:ascii="仿宋" w:hAnsi="仿宋" w:eastAsia="仿宋" w:cs="宋体"/>
                <w:color w:val="auto"/>
                <w:sz w:val="20"/>
                <w:szCs w:val="20"/>
                <w:highlight w:val="none"/>
              </w:rPr>
            </w:pPr>
          </w:p>
        </w:tc>
      </w:tr>
      <w:tr w14:paraId="49A7F6CB">
        <w:tblPrEx>
          <w:tblCellMar>
            <w:top w:w="0" w:type="dxa"/>
            <w:left w:w="108" w:type="dxa"/>
            <w:bottom w:w="0" w:type="dxa"/>
            <w:right w:w="108" w:type="dxa"/>
          </w:tblCellMar>
        </w:tblPrEx>
        <w:trPr>
          <w:trHeight w:val="699" w:hRule="atLeast"/>
        </w:trPr>
        <w:tc>
          <w:tcPr>
            <w:tcW w:w="410" w:type="pct"/>
            <w:vMerge w:val="continue"/>
            <w:tcBorders>
              <w:top w:val="single" w:color="000000" w:sz="4" w:space="0"/>
              <w:left w:val="single" w:color="000000" w:sz="4" w:space="0"/>
              <w:bottom w:val="single" w:color="auto" w:sz="4" w:space="0"/>
              <w:right w:val="single" w:color="000000" w:sz="4" w:space="0"/>
            </w:tcBorders>
            <w:noWrap/>
            <w:vAlign w:val="center"/>
          </w:tcPr>
          <w:p w14:paraId="3B4210AD">
            <w:pPr>
              <w:spacing w:line="240" w:lineRule="auto"/>
              <w:ind w:firstLine="420" w:firstLineChars="0"/>
              <w:jc w:val="center"/>
              <w:rPr>
                <w:rFonts w:ascii="仿宋" w:hAnsi="仿宋" w:eastAsia="仿宋" w:cs="宋体"/>
                <w:color w:val="auto"/>
                <w:sz w:val="21"/>
                <w:szCs w:val="21"/>
                <w:highlight w:val="none"/>
              </w:rPr>
            </w:pPr>
          </w:p>
        </w:tc>
        <w:tc>
          <w:tcPr>
            <w:tcW w:w="612" w:type="pct"/>
            <w:tcBorders>
              <w:top w:val="single" w:color="000000" w:sz="4" w:space="0"/>
              <w:left w:val="single" w:color="000000" w:sz="4" w:space="0"/>
              <w:bottom w:val="single" w:color="000000" w:sz="4" w:space="0"/>
              <w:right w:val="single" w:color="000000" w:sz="4" w:space="0"/>
            </w:tcBorders>
            <w:noWrap/>
            <w:vAlign w:val="center"/>
          </w:tcPr>
          <w:p w14:paraId="70869F87">
            <w:pPr>
              <w:widowControl/>
              <w:spacing w:line="240" w:lineRule="auto"/>
              <w:ind w:firstLine="0" w:firstLineChars="0"/>
              <w:jc w:val="left"/>
              <w:textAlignment w:val="center"/>
              <w:rPr>
                <w:rFonts w:ascii="仿宋" w:hAnsi="仿宋" w:eastAsia="仿宋" w:cs="宋体"/>
                <w:color w:val="auto"/>
                <w:sz w:val="21"/>
                <w:szCs w:val="21"/>
                <w:highlight w:val="none"/>
              </w:rPr>
            </w:pPr>
            <w:r>
              <w:rPr>
                <w:rFonts w:hint="eastAsia" w:ascii="仿宋" w:hAnsi="仿宋" w:eastAsia="仿宋" w:cs="宋体"/>
                <w:color w:val="auto"/>
                <w:kern w:val="0"/>
                <w:sz w:val="21"/>
                <w:szCs w:val="21"/>
                <w:highlight w:val="none"/>
                <w:lang w:bidi="ar"/>
              </w:rPr>
              <w:t>4.2</w:t>
            </w:r>
            <w:r>
              <w:rPr>
                <w:rFonts w:ascii="仿宋" w:hAnsi="仿宋" w:eastAsia="仿宋" w:cs="宋体"/>
                <w:color w:val="auto"/>
                <w:sz w:val="21"/>
                <w:szCs w:val="21"/>
                <w:highlight w:val="none"/>
              </w:rPr>
              <w:t xml:space="preserve"> </w:t>
            </w:r>
            <w:r>
              <w:rPr>
                <w:rFonts w:hint="eastAsia" w:ascii="仿宋" w:hAnsi="仿宋" w:eastAsia="仿宋" w:cs="宋体"/>
                <w:color w:val="auto"/>
                <w:sz w:val="21"/>
                <w:szCs w:val="21"/>
                <w:highlight w:val="none"/>
              </w:rPr>
              <w:t>履约情况</w:t>
            </w:r>
          </w:p>
        </w:tc>
        <w:tc>
          <w:tcPr>
            <w:tcW w:w="1966" w:type="pct"/>
            <w:tcBorders>
              <w:top w:val="single" w:color="000000" w:sz="4" w:space="0"/>
              <w:left w:val="single" w:color="000000" w:sz="4" w:space="0"/>
              <w:bottom w:val="single" w:color="000000" w:sz="4" w:space="0"/>
              <w:right w:val="single" w:color="000000" w:sz="4" w:space="0"/>
            </w:tcBorders>
            <w:vAlign w:val="center"/>
          </w:tcPr>
          <w:p w14:paraId="77A2E059">
            <w:pPr>
              <w:widowControl/>
              <w:spacing w:line="240" w:lineRule="auto"/>
              <w:ind w:firstLine="0" w:firstLineChars="0"/>
              <w:jc w:val="left"/>
              <w:textAlignment w:val="center"/>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在合同期内，接受业主方不定期巡查，检查是否按合同要求履约。</w:t>
            </w:r>
          </w:p>
        </w:tc>
        <w:tc>
          <w:tcPr>
            <w:tcW w:w="1275" w:type="pct"/>
            <w:tcBorders>
              <w:top w:val="single" w:color="000000" w:sz="4" w:space="0"/>
              <w:left w:val="single" w:color="000000" w:sz="4" w:space="0"/>
              <w:bottom w:val="single" w:color="000000" w:sz="4" w:space="0"/>
              <w:right w:val="single" w:color="000000" w:sz="4" w:space="0"/>
            </w:tcBorders>
            <w:noWrap/>
            <w:vAlign w:val="center"/>
          </w:tcPr>
          <w:p w14:paraId="3E859C29">
            <w:pPr>
              <w:widowControl/>
              <w:spacing w:line="240" w:lineRule="auto"/>
              <w:ind w:firstLine="0" w:firstLineChars="0"/>
              <w:textAlignment w:val="center"/>
              <w:rPr>
                <w:rFonts w:ascii="仿宋" w:hAnsi="仿宋" w:eastAsia="仿宋" w:cs="宋体"/>
                <w:b/>
                <w:bCs/>
                <w:color w:val="auto"/>
                <w:sz w:val="21"/>
                <w:szCs w:val="21"/>
                <w:highlight w:val="none"/>
              </w:rPr>
            </w:pPr>
            <w:r>
              <w:rPr>
                <w:rFonts w:hint="eastAsia" w:ascii="仿宋" w:hAnsi="仿宋" w:eastAsia="仿宋" w:cs="宋体"/>
                <w:b/>
                <w:bCs/>
                <w:color w:val="auto"/>
                <w:sz w:val="21"/>
                <w:szCs w:val="21"/>
                <w:highlight w:val="none"/>
              </w:rPr>
              <w:t>未履约的，绩效考核为不合格。</w:t>
            </w:r>
          </w:p>
        </w:tc>
        <w:tc>
          <w:tcPr>
            <w:tcW w:w="434" w:type="pct"/>
            <w:tcBorders>
              <w:top w:val="single" w:color="000000" w:sz="4" w:space="0"/>
              <w:left w:val="single" w:color="000000" w:sz="4" w:space="0"/>
              <w:bottom w:val="single" w:color="000000" w:sz="4" w:space="0"/>
              <w:right w:val="single" w:color="000000" w:sz="4" w:space="0"/>
            </w:tcBorders>
            <w:noWrap/>
            <w:vAlign w:val="center"/>
          </w:tcPr>
          <w:p w14:paraId="26C4A50A">
            <w:pPr>
              <w:spacing w:line="240" w:lineRule="auto"/>
              <w:ind w:firstLine="400" w:firstLineChars="0"/>
              <w:rPr>
                <w:rFonts w:ascii="仿宋" w:hAnsi="仿宋" w:eastAsia="仿宋" w:cs="宋体"/>
                <w:color w:val="auto"/>
                <w:sz w:val="20"/>
                <w:szCs w:val="20"/>
                <w:highlight w:val="none"/>
              </w:rPr>
            </w:pP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60FC49CC">
            <w:pPr>
              <w:spacing w:line="240" w:lineRule="auto"/>
              <w:ind w:firstLine="400" w:firstLineChars="0"/>
              <w:rPr>
                <w:rFonts w:ascii="仿宋" w:hAnsi="仿宋" w:eastAsia="仿宋" w:cs="宋体"/>
                <w:color w:val="auto"/>
                <w:sz w:val="20"/>
                <w:szCs w:val="20"/>
                <w:highlight w:val="none"/>
              </w:rPr>
            </w:pPr>
          </w:p>
        </w:tc>
      </w:tr>
      <w:tr w14:paraId="150BA9AF">
        <w:tblPrEx>
          <w:tblCellMar>
            <w:top w:w="0" w:type="dxa"/>
            <w:left w:w="108" w:type="dxa"/>
            <w:bottom w:w="0" w:type="dxa"/>
            <w:right w:w="108" w:type="dxa"/>
          </w:tblCellMar>
        </w:tblPrEx>
        <w:trPr>
          <w:trHeight w:val="961" w:hRule="atLeast"/>
        </w:trPr>
        <w:tc>
          <w:tcPr>
            <w:tcW w:w="410" w:type="pct"/>
            <w:vMerge w:val="restart"/>
            <w:tcBorders>
              <w:top w:val="single" w:color="auto" w:sz="4" w:space="0"/>
              <w:left w:val="single" w:color="000000" w:sz="4" w:space="0"/>
              <w:bottom w:val="single" w:color="auto" w:sz="4" w:space="0"/>
              <w:right w:val="single" w:color="000000" w:sz="4" w:space="0"/>
            </w:tcBorders>
            <w:noWrap/>
            <w:vAlign w:val="center"/>
          </w:tcPr>
          <w:p w14:paraId="4BB3A1DD">
            <w:pPr>
              <w:widowControl/>
              <w:spacing w:line="240" w:lineRule="auto"/>
              <w:ind w:firstLine="0" w:firstLineChars="0"/>
              <w:jc w:val="left"/>
              <w:textAlignment w:val="center"/>
              <w:rPr>
                <w:rFonts w:ascii="仿宋" w:hAnsi="仿宋" w:eastAsia="仿宋" w:cs="宋体"/>
                <w:color w:val="auto"/>
                <w:kern w:val="0"/>
                <w:sz w:val="21"/>
                <w:szCs w:val="21"/>
                <w:highlight w:val="none"/>
                <w:lang w:bidi="ar"/>
              </w:rPr>
            </w:pPr>
            <w:r>
              <w:rPr>
                <w:rFonts w:hint="eastAsia" w:ascii="仿宋" w:hAnsi="仿宋" w:eastAsia="仿宋" w:cs="宋体"/>
                <w:color w:val="auto"/>
                <w:kern w:val="0"/>
                <w:sz w:val="21"/>
                <w:szCs w:val="21"/>
                <w:highlight w:val="none"/>
                <w:lang w:bidi="ar"/>
              </w:rPr>
              <w:t>五、</w:t>
            </w:r>
          </w:p>
          <w:p w14:paraId="45556623">
            <w:pPr>
              <w:widowControl/>
              <w:spacing w:line="240" w:lineRule="auto"/>
              <w:ind w:firstLine="0" w:firstLineChars="0"/>
              <w:jc w:val="left"/>
              <w:textAlignment w:val="center"/>
              <w:rPr>
                <w:rFonts w:ascii="仿宋" w:hAnsi="仿宋" w:eastAsia="仿宋" w:cs="宋体"/>
                <w:color w:val="auto"/>
                <w:sz w:val="21"/>
                <w:szCs w:val="21"/>
                <w:highlight w:val="none"/>
              </w:rPr>
            </w:pPr>
            <w:r>
              <w:rPr>
                <w:rFonts w:hint="eastAsia" w:ascii="仿宋" w:hAnsi="仿宋" w:eastAsia="仿宋" w:cs="宋体"/>
                <w:color w:val="auto"/>
                <w:kern w:val="0"/>
                <w:sz w:val="21"/>
                <w:szCs w:val="21"/>
                <w:highlight w:val="none"/>
                <w:lang w:bidi="ar"/>
              </w:rPr>
              <w:t>预案情况</w:t>
            </w:r>
          </w:p>
        </w:tc>
        <w:tc>
          <w:tcPr>
            <w:tcW w:w="612" w:type="pct"/>
            <w:tcBorders>
              <w:top w:val="single" w:color="000000" w:sz="4" w:space="0"/>
              <w:left w:val="single" w:color="000000" w:sz="4" w:space="0"/>
              <w:bottom w:val="single" w:color="000000" w:sz="4" w:space="0"/>
              <w:right w:val="single" w:color="000000" w:sz="4" w:space="0"/>
            </w:tcBorders>
            <w:vAlign w:val="center"/>
          </w:tcPr>
          <w:p w14:paraId="783C3829">
            <w:pPr>
              <w:widowControl/>
              <w:spacing w:line="240" w:lineRule="auto"/>
              <w:ind w:firstLine="0" w:firstLineChars="0"/>
              <w:jc w:val="left"/>
              <w:textAlignment w:val="center"/>
              <w:rPr>
                <w:rFonts w:ascii="仿宋" w:hAnsi="仿宋" w:eastAsia="仿宋" w:cs="宋体"/>
                <w:color w:val="auto"/>
                <w:sz w:val="21"/>
                <w:szCs w:val="21"/>
                <w:highlight w:val="none"/>
              </w:rPr>
            </w:pPr>
            <w:r>
              <w:rPr>
                <w:rFonts w:hint="eastAsia" w:ascii="仿宋" w:hAnsi="仿宋" w:eastAsia="仿宋" w:cs="宋体"/>
                <w:color w:val="auto"/>
                <w:kern w:val="0"/>
                <w:sz w:val="21"/>
                <w:szCs w:val="21"/>
                <w:highlight w:val="none"/>
                <w:lang w:bidi="ar"/>
              </w:rPr>
              <w:t>5.1侵占管护土地预案情况</w:t>
            </w:r>
          </w:p>
        </w:tc>
        <w:tc>
          <w:tcPr>
            <w:tcW w:w="1966" w:type="pct"/>
            <w:tcBorders>
              <w:top w:val="single" w:color="000000" w:sz="4" w:space="0"/>
              <w:left w:val="single" w:color="000000" w:sz="4" w:space="0"/>
              <w:bottom w:val="single" w:color="000000" w:sz="4" w:space="0"/>
              <w:right w:val="single" w:color="000000" w:sz="4" w:space="0"/>
            </w:tcBorders>
            <w:vAlign w:val="center"/>
          </w:tcPr>
          <w:p w14:paraId="394368DE">
            <w:pPr>
              <w:widowControl/>
              <w:spacing w:line="240" w:lineRule="auto"/>
              <w:ind w:firstLine="0" w:firstLineChars="0"/>
              <w:jc w:val="left"/>
              <w:textAlignment w:val="center"/>
              <w:rPr>
                <w:rFonts w:ascii="仿宋" w:hAnsi="仿宋" w:eastAsia="仿宋" w:cs="宋体"/>
                <w:color w:val="auto"/>
                <w:sz w:val="21"/>
                <w:szCs w:val="21"/>
                <w:highlight w:val="none"/>
              </w:rPr>
            </w:pPr>
            <w:r>
              <w:rPr>
                <w:rFonts w:hint="eastAsia" w:ascii="仿宋" w:hAnsi="仿宋" w:eastAsia="仿宋" w:cs="宋体"/>
                <w:color w:val="auto"/>
                <w:kern w:val="0"/>
                <w:sz w:val="21"/>
                <w:szCs w:val="21"/>
                <w:highlight w:val="none"/>
                <w:lang w:bidi="ar"/>
              </w:rPr>
              <w:t>提前做好应急预案，土地管护分片区成立应急小分队，随时准备快速处置管护区域内突发事件。</w:t>
            </w:r>
          </w:p>
        </w:tc>
        <w:tc>
          <w:tcPr>
            <w:tcW w:w="1275" w:type="pct"/>
            <w:tcBorders>
              <w:top w:val="single" w:color="000000" w:sz="4" w:space="0"/>
              <w:left w:val="single" w:color="000000" w:sz="4" w:space="0"/>
              <w:bottom w:val="single" w:color="000000" w:sz="4" w:space="0"/>
              <w:right w:val="single" w:color="000000" w:sz="4" w:space="0"/>
            </w:tcBorders>
            <w:vAlign w:val="center"/>
          </w:tcPr>
          <w:p w14:paraId="6A1ADCBF">
            <w:pPr>
              <w:widowControl/>
              <w:spacing w:line="240" w:lineRule="auto"/>
              <w:ind w:firstLine="0" w:firstLineChars="0"/>
              <w:textAlignment w:val="center"/>
              <w:rPr>
                <w:rFonts w:ascii="仿宋" w:hAnsi="仿宋" w:eastAsia="仿宋" w:cs="宋体"/>
                <w:color w:val="auto"/>
                <w:sz w:val="21"/>
                <w:szCs w:val="21"/>
                <w:highlight w:val="none"/>
              </w:rPr>
            </w:pPr>
            <w:r>
              <w:rPr>
                <w:rFonts w:hint="eastAsia" w:ascii="仿宋" w:hAnsi="仿宋" w:eastAsia="仿宋" w:cs="宋体"/>
                <w:color w:val="auto"/>
                <w:kern w:val="0"/>
                <w:sz w:val="21"/>
                <w:szCs w:val="21"/>
                <w:highlight w:val="none"/>
                <w:lang w:bidi="ar"/>
              </w:rPr>
              <w:t>无应急预案，未成立应急小分队或未及时处理突发侵占土地情况，扣2分。</w:t>
            </w:r>
          </w:p>
        </w:tc>
        <w:tc>
          <w:tcPr>
            <w:tcW w:w="434" w:type="pct"/>
            <w:tcBorders>
              <w:top w:val="single" w:color="000000" w:sz="4" w:space="0"/>
              <w:left w:val="single" w:color="000000" w:sz="4" w:space="0"/>
              <w:bottom w:val="single" w:color="000000" w:sz="4" w:space="0"/>
              <w:right w:val="single" w:color="000000" w:sz="4" w:space="0"/>
            </w:tcBorders>
            <w:noWrap/>
            <w:vAlign w:val="center"/>
          </w:tcPr>
          <w:p w14:paraId="23936BE5">
            <w:pPr>
              <w:spacing w:line="240" w:lineRule="auto"/>
              <w:ind w:firstLine="400" w:firstLineChars="0"/>
              <w:rPr>
                <w:rFonts w:ascii="仿宋" w:hAnsi="仿宋" w:eastAsia="仿宋" w:cs="宋体"/>
                <w:color w:val="auto"/>
                <w:sz w:val="20"/>
                <w:szCs w:val="20"/>
                <w:highlight w:val="none"/>
              </w:rPr>
            </w:pP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699F083B">
            <w:pPr>
              <w:spacing w:line="240" w:lineRule="auto"/>
              <w:ind w:firstLine="400" w:firstLineChars="0"/>
              <w:rPr>
                <w:rFonts w:ascii="仿宋" w:hAnsi="仿宋" w:eastAsia="仿宋" w:cs="宋体"/>
                <w:color w:val="auto"/>
                <w:sz w:val="20"/>
                <w:szCs w:val="20"/>
                <w:highlight w:val="none"/>
              </w:rPr>
            </w:pPr>
          </w:p>
        </w:tc>
      </w:tr>
      <w:tr w14:paraId="3AE5A3FA">
        <w:tblPrEx>
          <w:tblCellMar>
            <w:top w:w="0" w:type="dxa"/>
            <w:left w:w="108" w:type="dxa"/>
            <w:bottom w:w="0" w:type="dxa"/>
            <w:right w:w="108" w:type="dxa"/>
          </w:tblCellMar>
        </w:tblPrEx>
        <w:trPr>
          <w:trHeight w:val="1431" w:hRule="atLeast"/>
        </w:trPr>
        <w:tc>
          <w:tcPr>
            <w:tcW w:w="410" w:type="pct"/>
            <w:vMerge w:val="continue"/>
            <w:tcBorders>
              <w:top w:val="single" w:color="auto" w:sz="4" w:space="0"/>
              <w:left w:val="single" w:color="000000" w:sz="4" w:space="0"/>
              <w:bottom w:val="single" w:color="auto" w:sz="4" w:space="0"/>
              <w:right w:val="single" w:color="000000" w:sz="4" w:space="0"/>
            </w:tcBorders>
            <w:vAlign w:val="center"/>
          </w:tcPr>
          <w:p w14:paraId="7B7967C7">
            <w:pPr>
              <w:spacing w:line="240" w:lineRule="auto"/>
              <w:ind w:firstLine="420" w:firstLineChars="0"/>
              <w:rPr>
                <w:rFonts w:ascii="仿宋" w:hAnsi="仿宋" w:eastAsia="仿宋" w:cs="宋体"/>
                <w:color w:val="auto"/>
                <w:sz w:val="21"/>
                <w:szCs w:val="21"/>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14:paraId="7B8F28E3">
            <w:pPr>
              <w:widowControl/>
              <w:spacing w:line="240" w:lineRule="auto"/>
              <w:ind w:firstLine="0" w:firstLineChars="0"/>
              <w:jc w:val="left"/>
              <w:textAlignment w:val="center"/>
              <w:rPr>
                <w:rFonts w:ascii="仿宋" w:hAnsi="仿宋" w:eastAsia="仿宋" w:cs="宋体"/>
                <w:color w:val="auto"/>
                <w:sz w:val="21"/>
                <w:szCs w:val="21"/>
                <w:highlight w:val="none"/>
              </w:rPr>
            </w:pPr>
            <w:r>
              <w:rPr>
                <w:rFonts w:hint="eastAsia" w:ascii="仿宋" w:hAnsi="仿宋" w:eastAsia="仿宋" w:cs="宋体"/>
                <w:color w:val="auto"/>
                <w:kern w:val="0"/>
                <w:sz w:val="21"/>
                <w:szCs w:val="21"/>
                <w:highlight w:val="none"/>
                <w:lang w:bidi="ar"/>
              </w:rPr>
              <w:t>5.2环保问题的处置预案</w:t>
            </w:r>
          </w:p>
        </w:tc>
        <w:tc>
          <w:tcPr>
            <w:tcW w:w="1966" w:type="pct"/>
            <w:tcBorders>
              <w:top w:val="single" w:color="000000" w:sz="4" w:space="0"/>
              <w:left w:val="single" w:color="000000" w:sz="4" w:space="0"/>
              <w:bottom w:val="single" w:color="000000" w:sz="4" w:space="0"/>
              <w:right w:val="single" w:color="000000" w:sz="4" w:space="0"/>
            </w:tcBorders>
            <w:vAlign w:val="center"/>
          </w:tcPr>
          <w:p w14:paraId="3E208660">
            <w:pPr>
              <w:widowControl/>
              <w:spacing w:line="240" w:lineRule="auto"/>
              <w:ind w:firstLine="0" w:firstLineChars="0"/>
              <w:jc w:val="left"/>
              <w:textAlignment w:val="center"/>
              <w:rPr>
                <w:rFonts w:ascii="仿宋" w:hAnsi="仿宋" w:eastAsia="仿宋" w:cs="宋体"/>
                <w:color w:val="auto"/>
                <w:sz w:val="21"/>
                <w:szCs w:val="21"/>
                <w:highlight w:val="none"/>
              </w:rPr>
            </w:pPr>
            <w:r>
              <w:rPr>
                <w:rFonts w:hint="eastAsia" w:ascii="仿宋" w:hAnsi="仿宋" w:eastAsia="仿宋" w:cs="宋体"/>
                <w:color w:val="auto"/>
                <w:kern w:val="0"/>
                <w:sz w:val="21"/>
                <w:szCs w:val="21"/>
                <w:highlight w:val="none"/>
                <w:lang w:bidi="ar"/>
              </w:rPr>
              <w:t>提前做好应急预案，保持沉着冷静，在能力范围内及时处理，保留现场影像资料，并及时跟踪、汇报事件发展情况。</w:t>
            </w:r>
          </w:p>
        </w:tc>
        <w:tc>
          <w:tcPr>
            <w:tcW w:w="1275" w:type="pct"/>
            <w:tcBorders>
              <w:top w:val="single" w:color="000000" w:sz="4" w:space="0"/>
              <w:left w:val="single" w:color="000000" w:sz="4" w:space="0"/>
              <w:bottom w:val="single" w:color="000000" w:sz="4" w:space="0"/>
              <w:right w:val="single" w:color="000000" w:sz="4" w:space="0"/>
            </w:tcBorders>
            <w:vAlign w:val="center"/>
          </w:tcPr>
          <w:p w14:paraId="00CFD8BC">
            <w:pPr>
              <w:widowControl/>
              <w:spacing w:line="240" w:lineRule="auto"/>
              <w:ind w:firstLine="0" w:firstLineChars="0"/>
              <w:textAlignment w:val="center"/>
              <w:rPr>
                <w:rFonts w:ascii="仿宋" w:hAnsi="仿宋" w:eastAsia="仿宋" w:cs="宋体"/>
                <w:color w:val="auto"/>
                <w:sz w:val="21"/>
                <w:szCs w:val="21"/>
                <w:highlight w:val="none"/>
              </w:rPr>
            </w:pPr>
            <w:r>
              <w:rPr>
                <w:rFonts w:hint="eastAsia" w:ascii="仿宋" w:hAnsi="仿宋" w:eastAsia="仿宋" w:cs="宋体"/>
                <w:color w:val="auto"/>
                <w:kern w:val="0"/>
                <w:sz w:val="21"/>
                <w:szCs w:val="21"/>
                <w:highlight w:val="none"/>
                <w:lang w:bidi="ar"/>
              </w:rPr>
              <w:t>无应急预案，因管护单位工作过失造成环境污染、对无法处理问题不及时上报，扣</w:t>
            </w:r>
            <w:r>
              <w:rPr>
                <w:rFonts w:ascii="仿宋" w:hAnsi="仿宋" w:eastAsia="仿宋" w:cs="宋体"/>
                <w:color w:val="auto"/>
                <w:kern w:val="0"/>
                <w:sz w:val="21"/>
                <w:szCs w:val="21"/>
                <w:highlight w:val="none"/>
                <w:lang w:bidi="ar"/>
              </w:rPr>
              <w:t>2</w:t>
            </w:r>
            <w:r>
              <w:rPr>
                <w:rFonts w:hint="eastAsia" w:ascii="仿宋" w:hAnsi="仿宋" w:eastAsia="仿宋" w:cs="宋体"/>
                <w:color w:val="auto"/>
                <w:kern w:val="0"/>
                <w:sz w:val="21"/>
                <w:szCs w:val="21"/>
                <w:highlight w:val="none"/>
                <w:lang w:bidi="ar"/>
              </w:rPr>
              <w:t>分。</w:t>
            </w:r>
          </w:p>
        </w:tc>
        <w:tc>
          <w:tcPr>
            <w:tcW w:w="434" w:type="pct"/>
            <w:tcBorders>
              <w:top w:val="single" w:color="000000" w:sz="4" w:space="0"/>
              <w:left w:val="single" w:color="000000" w:sz="4" w:space="0"/>
              <w:bottom w:val="single" w:color="000000" w:sz="4" w:space="0"/>
              <w:right w:val="single" w:color="000000" w:sz="4" w:space="0"/>
            </w:tcBorders>
            <w:vAlign w:val="center"/>
          </w:tcPr>
          <w:p w14:paraId="40BA5F31">
            <w:pPr>
              <w:spacing w:line="240" w:lineRule="auto"/>
              <w:ind w:firstLine="400" w:firstLineChars="0"/>
              <w:rPr>
                <w:rFonts w:ascii="仿宋" w:hAnsi="仿宋" w:eastAsia="仿宋" w:cs="宋体"/>
                <w:color w:val="auto"/>
                <w:sz w:val="20"/>
                <w:szCs w:val="20"/>
                <w:highlight w:val="none"/>
              </w:rPr>
            </w:pPr>
          </w:p>
        </w:tc>
        <w:tc>
          <w:tcPr>
            <w:tcW w:w="303" w:type="pct"/>
            <w:tcBorders>
              <w:top w:val="single" w:color="000000" w:sz="4" w:space="0"/>
              <w:left w:val="single" w:color="000000" w:sz="4" w:space="0"/>
              <w:bottom w:val="single" w:color="000000" w:sz="4" w:space="0"/>
              <w:right w:val="single" w:color="000000" w:sz="4" w:space="0"/>
            </w:tcBorders>
            <w:vAlign w:val="center"/>
          </w:tcPr>
          <w:p w14:paraId="48E2ABCD">
            <w:pPr>
              <w:spacing w:line="240" w:lineRule="auto"/>
              <w:ind w:firstLine="400" w:firstLineChars="0"/>
              <w:rPr>
                <w:rFonts w:ascii="仿宋" w:hAnsi="仿宋" w:eastAsia="仿宋" w:cs="宋体"/>
                <w:color w:val="auto"/>
                <w:sz w:val="20"/>
                <w:szCs w:val="20"/>
                <w:highlight w:val="none"/>
              </w:rPr>
            </w:pPr>
          </w:p>
        </w:tc>
      </w:tr>
      <w:tr w14:paraId="57992CA8">
        <w:tblPrEx>
          <w:tblCellMar>
            <w:top w:w="0" w:type="dxa"/>
            <w:left w:w="108" w:type="dxa"/>
            <w:bottom w:w="0" w:type="dxa"/>
            <w:right w:w="108" w:type="dxa"/>
          </w:tblCellMar>
        </w:tblPrEx>
        <w:trPr>
          <w:trHeight w:val="1976" w:hRule="atLeast"/>
        </w:trPr>
        <w:tc>
          <w:tcPr>
            <w:tcW w:w="410" w:type="pct"/>
            <w:vMerge w:val="continue"/>
            <w:tcBorders>
              <w:top w:val="single" w:color="auto" w:sz="4" w:space="0"/>
              <w:left w:val="single" w:color="000000" w:sz="4" w:space="0"/>
              <w:bottom w:val="single" w:color="auto" w:sz="4" w:space="0"/>
              <w:right w:val="single" w:color="000000" w:sz="4" w:space="0"/>
            </w:tcBorders>
            <w:vAlign w:val="center"/>
          </w:tcPr>
          <w:p w14:paraId="16D072C2">
            <w:pPr>
              <w:spacing w:line="240" w:lineRule="auto"/>
              <w:ind w:firstLine="420" w:firstLineChars="0"/>
              <w:rPr>
                <w:rFonts w:ascii="仿宋" w:hAnsi="仿宋" w:eastAsia="仿宋" w:cs="宋体"/>
                <w:color w:val="auto"/>
                <w:sz w:val="21"/>
                <w:szCs w:val="21"/>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14:paraId="55CF3426">
            <w:pPr>
              <w:widowControl/>
              <w:spacing w:line="240" w:lineRule="auto"/>
              <w:ind w:firstLine="0" w:firstLineChars="0"/>
              <w:jc w:val="left"/>
              <w:textAlignment w:val="center"/>
              <w:rPr>
                <w:rFonts w:ascii="仿宋" w:hAnsi="仿宋" w:eastAsia="仿宋" w:cs="宋体"/>
                <w:color w:val="auto"/>
                <w:sz w:val="21"/>
                <w:szCs w:val="21"/>
                <w:highlight w:val="none"/>
              </w:rPr>
            </w:pPr>
            <w:r>
              <w:rPr>
                <w:rFonts w:hint="eastAsia" w:ascii="仿宋" w:hAnsi="仿宋" w:eastAsia="仿宋" w:cs="宋体"/>
                <w:color w:val="auto"/>
                <w:kern w:val="0"/>
                <w:sz w:val="21"/>
                <w:szCs w:val="21"/>
                <w:highlight w:val="none"/>
                <w:lang w:bidi="ar"/>
              </w:rPr>
              <w:t>5.3涉及治安、刑事事项的处置预案</w:t>
            </w:r>
          </w:p>
        </w:tc>
        <w:tc>
          <w:tcPr>
            <w:tcW w:w="1966" w:type="pct"/>
            <w:tcBorders>
              <w:top w:val="single" w:color="000000" w:sz="4" w:space="0"/>
              <w:left w:val="single" w:color="000000" w:sz="4" w:space="0"/>
              <w:bottom w:val="single" w:color="000000" w:sz="4" w:space="0"/>
              <w:right w:val="single" w:color="000000" w:sz="4" w:space="0"/>
            </w:tcBorders>
            <w:vAlign w:val="center"/>
          </w:tcPr>
          <w:p w14:paraId="09106E13">
            <w:pPr>
              <w:widowControl/>
              <w:spacing w:line="240" w:lineRule="auto"/>
              <w:ind w:firstLine="0" w:firstLineChars="0"/>
              <w:textAlignment w:val="center"/>
              <w:rPr>
                <w:rFonts w:ascii="仿宋" w:hAnsi="仿宋" w:eastAsia="仿宋" w:cs="宋体"/>
                <w:color w:val="auto"/>
                <w:sz w:val="21"/>
                <w:szCs w:val="21"/>
                <w:highlight w:val="none"/>
              </w:rPr>
            </w:pPr>
            <w:r>
              <w:rPr>
                <w:rFonts w:hint="eastAsia" w:ascii="仿宋" w:hAnsi="仿宋" w:eastAsia="仿宋" w:cs="宋体"/>
                <w:color w:val="auto"/>
                <w:kern w:val="0"/>
                <w:sz w:val="21"/>
                <w:szCs w:val="21"/>
                <w:highlight w:val="none"/>
                <w:lang w:bidi="ar"/>
              </w:rPr>
              <w:t>管护人员在工作中发现公开使用暴力或其他手段，侵占管护土地等违法行为时，在保证自身安全情况下迅速有效地制止，并送公安机关处理。若无法处理时应立即报警并按规定上报。</w:t>
            </w:r>
          </w:p>
        </w:tc>
        <w:tc>
          <w:tcPr>
            <w:tcW w:w="1275" w:type="pct"/>
            <w:tcBorders>
              <w:top w:val="single" w:color="000000" w:sz="4" w:space="0"/>
              <w:left w:val="single" w:color="000000" w:sz="4" w:space="0"/>
              <w:bottom w:val="single" w:color="000000" w:sz="4" w:space="0"/>
              <w:right w:val="single" w:color="000000" w:sz="4" w:space="0"/>
            </w:tcBorders>
            <w:vAlign w:val="center"/>
          </w:tcPr>
          <w:p w14:paraId="565B8154">
            <w:pPr>
              <w:widowControl/>
              <w:spacing w:line="240" w:lineRule="auto"/>
              <w:ind w:firstLine="0" w:firstLineChars="0"/>
              <w:textAlignment w:val="center"/>
              <w:rPr>
                <w:rFonts w:ascii="仿宋" w:hAnsi="仿宋" w:eastAsia="仿宋" w:cs="宋体"/>
                <w:color w:val="auto"/>
                <w:sz w:val="21"/>
                <w:szCs w:val="21"/>
                <w:highlight w:val="none"/>
              </w:rPr>
            </w:pPr>
            <w:r>
              <w:rPr>
                <w:rFonts w:hint="eastAsia" w:ascii="仿宋" w:hAnsi="仿宋" w:eastAsia="仿宋" w:cs="宋体"/>
                <w:color w:val="auto"/>
                <w:kern w:val="0"/>
                <w:sz w:val="21"/>
                <w:szCs w:val="21"/>
                <w:highlight w:val="none"/>
                <w:lang w:bidi="ar"/>
              </w:rPr>
              <w:t>隐瞒不上报扣2分。</w:t>
            </w:r>
          </w:p>
        </w:tc>
        <w:tc>
          <w:tcPr>
            <w:tcW w:w="434" w:type="pct"/>
            <w:tcBorders>
              <w:top w:val="single" w:color="000000" w:sz="4" w:space="0"/>
              <w:left w:val="single" w:color="000000" w:sz="4" w:space="0"/>
              <w:bottom w:val="single" w:color="000000" w:sz="4" w:space="0"/>
              <w:right w:val="single" w:color="000000" w:sz="4" w:space="0"/>
            </w:tcBorders>
            <w:vAlign w:val="center"/>
          </w:tcPr>
          <w:p w14:paraId="0F7D56B9">
            <w:pPr>
              <w:spacing w:line="240" w:lineRule="auto"/>
              <w:ind w:firstLine="400" w:firstLineChars="0"/>
              <w:rPr>
                <w:rFonts w:ascii="仿宋" w:hAnsi="仿宋" w:eastAsia="仿宋" w:cs="宋体"/>
                <w:color w:val="auto"/>
                <w:sz w:val="20"/>
                <w:szCs w:val="20"/>
                <w:highlight w:val="none"/>
              </w:rPr>
            </w:pPr>
          </w:p>
        </w:tc>
        <w:tc>
          <w:tcPr>
            <w:tcW w:w="303" w:type="pct"/>
            <w:tcBorders>
              <w:top w:val="single" w:color="000000" w:sz="4" w:space="0"/>
              <w:left w:val="single" w:color="000000" w:sz="4" w:space="0"/>
              <w:bottom w:val="single" w:color="000000" w:sz="4" w:space="0"/>
              <w:right w:val="single" w:color="000000" w:sz="4" w:space="0"/>
            </w:tcBorders>
            <w:vAlign w:val="center"/>
          </w:tcPr>
          <w:p w14:paraId="5674BD90">
            <w:pPr>
              <w:spacing w:line="240" w:lineRule="auto"/>
              <w:ind w:firstLine="400" w:firstLineChars="0"/>
              <w:rPr>
                <w:rFonts w:ascii="仿宋" w:hAnsi="仿宋" w:eastAsia="仿宋" w:cs="宋体"/>
                <w:color w:val="auto"/>
                <w:sz w:val="20"/>
                <w:szCs w:val="20"/>
                <w:highlight w:val="none"/>
              </w:rPr>
            </w:pPr>
          </w:p>
        </w:tc>
      </w:tr>
      <w:tr w14:paraId="40B6F989">
        <w:tblPrEx>
          <w:tblCellMar>
            <w:top w:w="0" w:type="dxa"/>
            <w:left w:w="108" w:type="dxa"/>
            <w:bottom w:w="0" w:type="dxa"/>
            <w:right w:w="108" w:type="dxa"/>
          </w:tblCellMar>
        </w:tblPrEx>
        <w:trPr>
          <w:trHeight w:val="1550" w:hRule="atLeast"/>
        </w:trPr>
        <w:tc>
          <w:tcPr>
            <w:tcW w:w="410" w:type="pct"/>
            <w:vMerge w:val="continue"/>
            <w:tcBorders>
              <w:top w:val="single" w:color="auto" w:sz="4" w:space="0"/>
              <w:left w:val="single" w:color="000000" w:sz="4" w:space="0"/>
              <w:bottom w:val="single" w:color="auto" w:sz="4" w:space="0"/>
              <w:right w:val="single" w:color="000000" w:sz="4" w:space="0"/>
            </w:tcBorders>
            <w:vAlign w:val="center"/>
          </w:tcPr>
          <w:p w14:paraId="2A52FFBA">
            <w:pPr>
              <w:spacing w:line="240" w:lineRule="auto"/>
              <w:ind w:firstLine="420" w:firstLineChars="0"/>
              <w:rPr>
                <w:rFonts w:ascii="仿宋" w:hAnsi="仿宋" w:eastAsia="仿宋" w:cs="宋体"/>
                <w:color w:val="auto"/>
                <w:sz w:val="21"/>
                <w:szCs w:val="21"/>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14:paraId="4D293C1D">
            <w:pPr>
              <w:widowControl/>
              <w:spacing w:line="240" w:lineRule="auto"/>
              <w:ind w:firstLine="0" w:firstLineChars="0"/>
              <w:jc w:val="left"/>
              <w:textAlignment w:val="center"/>
              <w:rPr>
                <w:rFonts w:ascii="仿宋" w:hAnsi="仿宋" w:eastAsia="仿宋" w:cs="宋体"/>
                <w:color w:val="auto"/>
                <w:kern w:val="0"/>
                <w:sz w:val="21"/>
                <w:szCs w:val="21"/>
                <w:highlight w:val="none"/>
                <w:lang w:bidi="ar"/>
              </w:rPr>
            </w:pPr>
            <w:r>
              <w:rPr>
                <w:rFonts w:hint="eastAsia" w:ascii="仿宋" w:hAnsi="仿宋" w:eastAsia="仿宋" w:cs="宋体"/>
                <w:color w:val="auto"/>
                <w:kern w:val="0"/>
                <w:sz w:val="21"/>
                <w:szCs w:val="21"/>
                <w:highlight w:val="none"/>
                <w:lang w:bidi="ar"/>
              </w:rPr>
              <w:t>5</w:t>
            </w:r>
            <w:r>
              <w:rPr>
                <w:rFonts w:ascii="仿宋" w:hAnsi="仿宋" w:eastAsia="仿宋" w:cs="宋体"/>
                <w:color w:val="auto"/>
                <w:kern w:val="0"/>
                <w:sz w:val="21"/>
                <w:szCs w:val="21"/>
                <w:highlight w:val="none"/>
                <w:lang w:bidi="ar"/>
              </w:rPr>
              <w:t>.4</w:t>
            </w:r>
            <w:r>
              <w:rPr>
                <w:rFonts w:hint="eastAsia" w:ascii="仿宋" w:hAnsi="仿宋" w:eastAsia="仿宋" w:cs="宋体"/>
                <w:color w:val="auto"/>
                <w:kern w:val="0"/>
                <w:sz w:val="21"/>
                <w:szCs w:val="21"/>
                <w:highlight w:val="none"/>
                <w:lang w:bidi="ar"/>
              </w:rPr>
              <w:t>应急预案演练</w:t>
            </w:r>
          </w:p>
        </w:tc>
        <w:tc>
          <w:tcPr>
            <w:tcW w:w="1966" w:type="pct"/>
            <w:tcBorders>
              <w:top w:val="single" w:color="000000" w:sz="4" w:space="0"/>
              <w:left w:val="single" w:color="000000" w:sz="4" w:space="0"/>
              <w:bottom w:val="single" w:color="000000" w:sz="4" w:space="0"/>
              <w:right w:val="single" w:color="000000" w:sz="4" w:space="0"/>
            </w:tcBorders>
            <w:vAlign w:val="center"/>
          </w:tcPr>
          <w:p w14:paraId="41F4118E">
            <w:pPr>
              <w:widowControl/>
              <w:spacing w:line="240" w:lineRule="auto"/>
              <w:ind w:firstLine="0" w:firstLineChars="0"/>
              <w:textAlignment w:val="center"/>
              <w:rPr>
                <w:rFonts w:ascii="仿宋" w:hAnsi="仿宋" w:eastAsia="仿宋" w:cs="宋体"/>
                <w:color w:val="auto"/>
                <w:kern w:val="0"/>
                <w:sz w:val="21"/>
                <w:szCs w:val="21"/>
                <w:highlight w:val="none"/>
                <w:lang w:bidi="ar"/>
              </w:rPr>
            </w:pPr>
            <w:r>
              <w:rPr>
                <w:rFonts w:hint="eastAsia" w:ascii="仿宋" w:hAnsi="仿宋" w:eastAsia="仿宋" w:cs="宋体"/>
                <w:color w:val="auto"/>
                <w:kern w:val="0"/>
                <w:sz w:val="21"/>
                <w:szCs w:val="21"/>
                <w:highlight w:val="none"/>
                <w:lang w:bidi="ar"/>
              </w:rPr>
              <w:t>应急预案制定后，按计划组织全体管护人员进行有效的培训，从而具备完成其应急任务所需的知识和技能，应做到每年应急演练不少于1次。</w:t>
            </w:r>
          </w:p>
        </w:tc>
        <w:tc>
          <w:tcPr>
            <w:tcW w:w="1275" w:type="pct"/>
            <w:tcBorders>
              <w:top w:val="single" w:color="000000" w:sz="4" w:space="0"/>
              <w:left w:val="single" w:color="000000" w:sz="4" w:space="0"/>
              <w:bottom w:val="single" w:color="000000" w:sz="4" w:space="0"/>
              <w:right w:val="single" w:color="000000" w:sz="4" w:space="0"/>
            </w:tcBorders>
            <w:vAlign w:val="center"/>
          </w:tcPr>
          <w:p w14:paraId="4B525970">
            <w:pPr>
              <w:widowControl/>
              <w:spacing w:line="240" w:lineRule="auto"/>
              <w:ind w:firstLine="0" w:firstLineChars="0"/>
              <w:textAlignment w:val="center"/>
              <w:rPr>
                <w:rFonts w:ascii="仿宋" w:hAnsi="仿宋" w:eastAsia="仿宋" w:cs="宋体"/>
                <w:color w:val="auto"/>
                <w:kern w:val="0"/>
                <w:sz w:val="21"/>
                <w:szCs w:val="21"/>
                <w:highlight w:val="none"/>
                <w:lang w:bidi="ar"/>
              </w:rPr>
            </w:pPr>
            <w:r>
              <w:rPr>
                <w:rFonts w:hint="eastAsia" w:ascii="仿宋" w:hAnsi="仿宋" w:eastAsia="仿宋" w:cs="宋体"/>
                <w:color w:val="auto"/>
                <w:kern w:val="0"/>
                <w:sz w:val="21"/>
                <w:szCs w:val="21"/>
                <w:highlight w:val="none"/>
                <w:lang w:bidi="ar"/>
              </w:rPr>
              <w:t>无应急演练的扣1分。</w:t>
            </w:r>
          </w:p>
        </w:tc>
        <w:tc>
          <w:tcPr>
            <w:tcW w:w="434" w:type="pct"/>
            <w:tcBorders>
              <w:top w:val="single" w:color="000000" w:sz="4" w:space="0"/>
              <w:left w:val="single" w:color="000000" w:sz="4" w:space="0"/>
              <w:bottom w:val="single" w:color="000000" w:sz="4" w:space="0"/>
              <w:right w:val="single" w:color="000000" w:sz="4" w:space="0"/>
            </w:tcBorders>
            <w:vAlign w:val="center"/>
          </w:tcPr>
          <w:p w14:paraId="313E0A43">
            <w:pPr>
              <w:spacing w:line="240" w:lineRule="auto"/>
              <w:ind w:firstLine="400" w:firstLineChars="0"/>
              <w:rPr>
                <w:rFonts w:ascii="仿宋" w:hAnsi="仿宋" w:eastAsia="仿宋" w:cs="宋体"/>
                <w:color w:val="auto"/>
                <w:sz w:val="20"/>
                <w:szCs w:val="20"/>
                <w:highlight w:val="none"/>
              </w:rPr>
            </w:pPr>
          </w:p>
        </w:tc>
        <w:tc>
          <w:tcPr>
            <w:tcW w:w="303" w:type="pct"/>
            <w:tcBorders>
              <w:top w:val="single" w:color="000000" w:sz="4" w:space="0"/>
              <w:left w:val="single" w:color="000000" w:sz="4" w:space="0"/>
              <w:bottom w:val="single" w:color="000000" w:sz="4" w:space="0"/>
              <w:right w:val="single" w:color="000000" w:sz="4" w:space="0"/>
            </w:tcBorders>
            <w:vAlign w:val="center"/>
          </w:tcPr>
          <w:p w14:paraId="341C6762">
            <w:pPr>
              <w:spacing w:line="240" w:lineRule="auto"/>
              <w:ind w:firstLine="400" w:firstLineChars="0"/>
              <w:rPr>
                <w:rFonts w:ascii="仿宋" w:hAnsi="仿宋" w:eastAsia="仿宋" w:cs="宋体"/>
                <w:color w:val="auto"/>
                <w:sz w:val="20"/>
                <w:szCs w:val="20"/>
                <w:highlight w:val="none"/>
              </w:rPr>
            </w:pPr>
          </w:p>
        </w:tc>
      </w:tr>
      <w:tr w14:paraId="600B0872">
        <w:tblPrEx>
          <w:tblCellMar>
            <w:top w:w="0" w:type="dxa"/>
            <w:left w:w="108" w:type="dxa"/>
            <w:bottom w:w="0" w:type="dxa"/>
            <w:right w:w="108" w:type="dxa"/>
          </w:tblCellMar>
        </w:tblPrEx>
        <w:trPr>
          <w:trHeight w:val="1976" w:hRule="atLeast"/>
        </w:trPr>
        <w:tc>
          <w:tcPr>
            <w:tcW w:w="410" w:type="pct"/>
            <w:tcBorders>
              <w:top w:val="single" w:color="auto" w:sz="4" w:space="0"/>
              <w:left w:val="single" w:color="000000" w:sz="4" w:space="0"/>
              <w:bottom w:val="single" w:color="auto" w:sz="4" w:space="0"/>
              <w:right w:val="single" w:color="000000" w:sz="4" w:space="0"/>
            </w:tcBorders>
            <w:vAlign w:val="center"/>
          </w:tcPr>
          <w:p w14:paraId="468FDBEE">
            <w:pPr>
              <w:spacing w:line="240" w:lineRule="auto"/>
              <w:ind w:firstLine="0" w:firstLineChars="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六、巡查情况</w:t>
            </w:r>
          </w:p>
        </w:tc>
        <w:tc>
          <w:tcPr>
            <w:tcW w:w="612" w:type="pct"/>
            <w:tcBorders>
              <w:top w:val="single" w:color="000000" w:sz="4" w:space="0"/>
              <w:left w:val="single" w:color="000000" w:sz="4" w:space="0"/>
              <w:bottom w:val="single" w:color="000000" w:sz="4" w:space="0"/>
              <w:right w:val="single" w:color="000000" w:sz="4" w:space="0"/>
            </w:tcBorders>
            <w:vAlign w:val="center"/>
          </w:tcPr>
          <w:p w14:paraId="17F5072A">
            <w:pPr>
              <w:widowControl/>
              <w:spacing w:line="240" w:lineRule="auto"/>
              <w:ind w:firstLine="0" w:firstLineChars="0"/>
              <w:jc w:val="left"/>
              <w:textAlignment w:val="center"/>
              <w:rPr>
                <w:rFonts w:ascii="仿宋" w:hAnsi="仿宋" w:eastAsia="仿宋" w:cs="宋体"/>
                <w:color w:val="auto"/>
                <w:kern w:val="0"/>
                <w:sz w:val="21"/>
                <w:szCs w:val="21"/>
                <w:highlight w:val="none"/>
                <w:lang w:bidi="ar"/>
              </w:rPr>
            </w:pPr>
            <w:r>
              <w:rPr>
                <w:rFonts w:hint="eastAsia" w:ascii="仿宋" w:hAnsi="仿宋" w:eastAsia="仿宋" w:cs="宋体"/>
                <w:color w:val="auto"/>
                <w:kern w:val="0"/>
                <w:sz w:val="21"/>
                <w:szCs w:val="21"/>
                <w:highlight w:val="none"/>
                <w:lang w:bidi="ar"/>
              </w:rPr>
              <w:t>6</w:t>
            </w:r>
            <w:r>
              <w:rPr>
                <w:rFonts w:ascii="仿宋" w:hAnsi="仿宋" w:eastAsia="仿宋" w:cs="宋体"/>
                <w:color w:val="auto"/>
                <w:kern w:val="0"/>
                <w:sz w:val="21"/>
                <w:szCs w:val="21"/>
                <w:highlight w:val="none"/>
                <w:lang w:bidi="ar"/>
              </w:rPr>
              <w:t>.1</w:t>
            </w:r>
            <w:r>
              <w:rPr>
                <w:rFonts w:hint="eastAsia" w:ascii="仿宋" w:hAnsi="仿宋" w:eastAsia="仿宋" w:cs="宋体"/>
                <w:color w:val="auto"/>
                <w:kern w:val="0"/>
                <w:sz w:val="21"/>
                <w:szCs w:val="21"/>
                <w:highlight w:val="none"/>
                <w:lang w:bidi="ar"/>
              </w:rPr>
              <w:t>巡查记录表</w:t>
            </w:r>
          </w:p>
        </w:tc>
        <w:tc>
          <w:tcPr>
            <w:tcW w:w="1966" w:type="pct"/>
            <w:tcBorders>
              <w:top w:val="single" w:color="000000" w:sz="4" w:space="0"/>
              <w:left w:val="single" w:color="000000" w:sz="4" w:space="0"/>
              <w:bottom w:val="single" w:color="000000" w:sz="4" w:space="0"/>
              <w:right w:val="single" w:color="000000" w:sz="4" w:space="0"/>
            </w:tcBorders>
            <w:vAlign w:val="center"/>
          </w:tcPr>
          <w:p w14:paraId="2E209799">
            <w:pPr>
              <w:widowControl/>
              <w:spacing w:line="240" w:lineRule="auto"/>
              <w:ind w:firstLine="0" w:firstLineChars="0"/>
              <w:jc w:val="left"/>
              <w:textAlignment w:val="center"/>
              <w:rPr>
                <w:rFonts w:ascii="仿宋" w:hAnsi="仿宋" w:eastAsia="仿宋" w:cs="宋体"/>
                <w:color w:val="auto"/>
                <w:kern w:val="0"/>
                <w:sz w:val="21"/>
                <w:szCs w:val="21"/>
                <w:highlight w:val="none"/>
                <w:lang w:bidi="ar"/>
              </w:rPr>
            </w:pPr>
            <w:r>
              <w:rPr>
                <w:rFonts w:hint="eastAsia" w:ascii="仿宋" w:hAnsi="仿宋" w:eastAsia="仿宋"/>
                <w:color w:val="auto"/>
                <w:sz w:val="21"/>
                <w:szCs w:val="21"/>
                <w:highlight w:val="none"/>
              </w:rPr>
              <w:t>巡查</w:t>
            </w:r>
            <w:r>
              <w:rPr>
                <w:rFonts w:ascii="仿宋" w:hAnsi="仿宋" w:eastAsia="仿宋"/>
                <w:color w:val="auto"/>
                <w:sz w:val="21"/>
                <w:szCs w:val="21"/>
                <w:highlight w:val="none"/>
              </w:rPr>
              <w:t>记录详细、连续、完整、闭合</w:t>
            </w:r>
            <w:r>
              <w:rPr>
                <w:rFonts w:hint="eastAsia" w:ascii="仿宋" w:hAnsi="仿宋" w:eastAsia="仿宋"/>
                <w:color w:val="auto"/>
                <w:sz w:val="21"/>
                <w:szCs w:val="21"/>
                <w:highlight w:val="none"/>
              </w:rPr>
              <w:t>。</w:t>
            </w:r>
            <w:r>
              <w:rPr>
                <w:rFonts w:ascii="仿宋" w:hAnsi="仿宋" w:eastAsia="仿宋"/>
                <w:color w:val="auto"/>
                <w:sz w:val="21"/>
                <w:szCs w:val="21"/>
                <w:highlight w:val="none"/>
              </w:rPr>
              <w:t xml:space="preserve"> </w:t>
            </w:r>
          </w:p>
        </w:tc>
        <w:tc>
          <w:tcPr>
            <w:tcW w:w="1275" w:type="pct"/>
            <w:tcBorders>
              <w:top w:val="single" w:color="000000" w:sz="4" w:space="0"/>
              <w:left w:val="single" w:color="000000" w:sz="4" w:space="0"/>
              <w:bottom w:val="single" w:color="000000" w:sz="4" w:space="0"/>
              <w:right w:val="single" w:color="000000" w:sz="4" w:space="0"/>
            </w:tcBorders>
            <w:vAlign w:val="center"/>
          </w:tcPr>
          <w:p w14:paraId="33648B0B">
            <w:pPr>
              <w:widowControl/>
              <w:spacing w:line="240" w:lineRule="auto"/>
              <w:ind w:firstLine="0" w:firstLineChars="0"/>
              <w:textAlignment w:val="center"/>
              <w:rPr>
                <w:rFonts w:ascii="仿宋" w:hAnsi="仿宋" w:eastAsia="仿宋" w:cs="宋体"/>
                <w:color w:val="auto"/>
                <w:kern w:val="0"/>
                <w:sz w:val="21"/>
                <w:szCs w:val="21"/>
                <w:highlight w:val="none"/>
                <w:lang w:bidi="ar"/>
              </w:rPr>
            </w:pPr>
            <w:r>
              <w:rPr>
                <w:rFonts w:hint="eastAsia" w:ascii="仿宋" w:hAnsi="仿宋" w:eastAsia="仿宋"/>
                <w:color w:val="auto"/>
                <w:sz w:val="21"/>
                <w:szCs w:val="21"/>
                <w:highlight w:val="none"/>
              </w:rPr>
              <w:t>巡查</w:t>
            </w:r>
            <w:r>
              <w:rPr>
                <w:rFonts w:ascii="仿宋" w:hAnsi="仿宋" w:eastAsia="仿宋"/>
                <w:color w:val="auto"/>
                <w:sz w:val="21"/>
                <w:szCs w:val="21"/>
                <w:highlight w:val="none"/>
              </w:rPr>
              <w:t>记录</w:t>
            </w:r>
            <w:r>
              <w:rPr>
                <w:rFonts w:hint="eastAsia" w:ascii="仿宋" w:hAnsi="仿宋" w:eastAsia="仿宋" w:cs="宋体"/>
                <w:color w:val="auto"/>
                <w:kern w:val="0"/>
                <w:sz w:val="21"/>
                <w:szCs w:val="21"/>
                <w:highlight w:val="none"/>
                <w:lang w:bidi="ar"/>
              </w:rPr>
              <w:t>不合格每次扣1分，不及时每次扣1分，对要求整改的工作没有整改情况记录，每次扣1分，对巡查记录未按要求签字的扣</w:t>
            </w:r>
            <w:r>
              <w:rPr>
                <w:rFonts w:ascii="仿宋" w:hAnsi="仿宋" w:eastAsia="仿宋" w:cs="宋体"/>
                <w:color w:val="auto"/>
                <w:kern w:val="0"/>
                <w:sz w:val="21"/>
                <w:szCs w:val="21"/>
                <w:highlight w:val="none"/>
                <w:lang w:bidi="ar"/>
              </w:rPr>
              <w:t>1</w:t>
            </w:r>
            <w:r>
              <w:rPr>
                <w:rFonts w:hint="eastAsia" w:ascii="仿宋" w:hAnsi="仿宋" w:eastAsia="仿宋" w:cs="宋体"/>
                <w:color w:val="auto"/>
                <w:kern w:val="0"/>
                <w:sz w:val="21"/>
                <w:szCs w:val="21"/>
                <w:highlight w:val="none"/>
                <w:lang w:bidi="ar"/>
              </w:rPr>
              <w:t>分。</w:t>
            </w:r>
          </w:p>
        </w:tc>
        <w:tc>
          <w:tcPr>
            <w:tcW w:w="434" w:type="pct"/>
            <w:tcBorders>
              <w:top w:val="single" w:color="000000" w:sz="4" w:space="0"/>
              <w:left w:val="single" w:color="000000" w:sz="4" w:space="0"/>
              <w:bottom w:val="single" w:color="000000" w:sz="4" w:space="0"/>
              <w:right w:val="single" w:color="000000" w:sz="4" w:space="0"/>
            </w:tcBorders>
            <w:vAlign w:val="center"/>
          </w:tcPr>
          <w:p w14:paraId="33370342">
            <w:pPr>
              <w:spacing w:line="240" w:lineRule="auto"/>
              <w:ind w:firstLine="400" w:firstLineChars="0"/>
              <w:rPr>
                <w:rFonts w:ascii="仿宋" w:hAnsi="仿宋" w:eastAsia="仿宋" w:cs="宋体"/>
                <w:color w:val="auto"/>
                <w:sz w:val="20"/>
                <w:szCs w:val="20"/>
                <w:highlight w:val="none"/>
              </w:rPr>
            </w:pPr>
          </w:p>
        </w:tc>
        <w:tc>
          <w:tcPr>
            <w:tcW w:w="303" w:type="pct"/>
            <w:tcBorders>
              <w:top w:val="single" w:color="000000" w:sz="4" w:space="0"/>
              <w:left w:val="single" w:color="000000" w:sz="4" w:space="0"/>
              <w:bottom w:val="single" w:color="000000" w:sz="4" w:space="0"/>
              <w:right w:val="single" w:color="000000" w:sz="4" w:space="0"/>
            </w:tcBorders>
            <w:vAlign w:val="center"/>
          </w:tcPr>
          <w:p w14:paraId="6084C1C8">
            <w:pPr>
              <w:spacing w:line="240" w:lineRule="auto"/>
              <w:ind w:firstLine="400" w:firstLineChars="0"/>
              <w:rPr>
                <w:rFonts w:ascii="仿宋" w:hAnsi="仿宋" w:eastAsia="仿宋" w:cs="宋体"/>
                <w:color w:val="auto"/>
                <w:sz w:val="20"/>
                <w:szCs w:val="20"/>
                <w:highlight w:val="none"/>
              </w:rPr>
            </w:pPr>
          </w:p>
        </w:tc>
      </w:tr>
      <w:tr w14:paraId="57EE436B">
        <w:tblPrEx>
          <w:tblCellMar>
            <w:top w:w="0" w:type="dxa"/>
            <w:left w:w="108" w:type="dxa"/>
            <w:bottom w:w="0" w:type="dxa"/>
            <w:right w:w="108" w:type="dxa"/>
          </w:tblCellMar>
        </w:tblPrEx>
        <w:trPr>
          <w:trHeight w:val="1614" w:hRule="atLeast"/>
        </w:trPr>
        <w:tc>
          <w:tcPr>
            <w:tcW w:w="410" w:type="pct"/>
            <w:tcBorders>
              <w:top w:val="single" w:color="auto" w:sz="4" w:space="0"/>
              <w:left w:val="single" w:color="000000" w:sz="4" w:space="0"/>
              <w:bottom w:val="single" w:color="000000" w:sz="4" w:space="0"/>
              <w:right w:val="single" w:color="000000" w:sz="4" w:space="0"/>
            </w:tcBorders>
            <w:vAlign w:val="center"/>
          </w:tcPr>
          <w:p w14:paraId="224FE1BF">
            <w:pPr>
              <w:spacing w:line="240" w:lineRule="auto"/>
              <w:ind w:firstLine="0" w:firstLineChars="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七、现场情况</w:t>
            </w:r>
          </w:p>
        </w:tc>
        <w:tc>
          <w:tcPr>
            <w:tcW w:w="612" w:type="pct"/>
            <w:tcBorders>
              <w:top w:val="single" w:color="000000" w:sz="4" w:space="0"/>
              <w:left w:val="single" w:color="000000" w:sz="4" w:space="0"/>
              <w:bottom w:val="single" w:color="000000" w:sz="4" w:space="0"/>
              <w:right w:val="single" w:color="000000" w:sz="4" w:space="0"/>
            </w:tcBorders>
            <w:vAlign w:val="center"/>
          </w:tcPr>
          <w:p w14:paraId="6D94182D">
            <w:pPr>
              <w:widowControl/>
              <w:spacing w:line="240" w:lineRule="auto"/>
              <w:ind w:firstLine="0" w:firstLineChars="0"/>
              <w:jc w:val="left"/>
              <w:textAlignment w:val="center"/>
              <w:rPr>
                <w:rFonts w:ascii="仿宋" w:hAnsi="仿宋" w:eastAsia="仿宋" w:cs="宋体"/>
                <w:color w:val="auto"/>
                <w:kern w:val="0"/>
                <w:sz w:val="21"/>
                <w:szCs w:val="21"/>
                <w:highlight w:val="none"/>
                <w:lang w:bidi="ar"/>
              </w:rPr>
            </w:pPr>
            <w:r>
              <w:rPr>
                <w:rFonts w:hint="eastAsia" w:ascii="仿宋" w:hAnsi="仿宋" w:eastAsia="仿宋" w:cs="宋体"/>
                <w:color w:val="auto"/>
                <w:kern w:val="0"/>
                <w:sz w:val="21"/>
                <w:szCs w:val="21"/>
                <w:highlight w:val="none"/>
                <w:lang w:bidi="ar"/>
              </w:rPr>
              <w:t>7</w:t>
            </w:r>
            <w:r>
              <w:rPr>
                <w:rFonts w:ascii="仿宋" w:hAnsi="仿宋" w:eastAsia="仿宋" w:cs="宋体"/>
                <w:color w:val="auto"/>
                <w:kern w:val="0"/>
                <w:sz w:val="21"/>
                <w:szCs w:val="21"/>
                <w:highlight w:val="none"/>
                <w:lang w:bidi="ar"/>
              </w:rPr>
              <w:t xml:space="preserve">.1 </w:t>
            </w:r>
            <w:r>
              <w:rPr>
                <w:rFonts w:hint="eastAsia" w:ascii="仿宋" w:hAnsi="仿宋" w:eastAsia="仿宋" w:cs="宋体"/>
                <w:color w:val="auto"/>
                <w:kern w:val="0"/>
                <w:sz w:val="21"/>
                <w:szCs w:val="21"/>
                <w:highlight w:val="none"/>
                <w:lang w:bidi="ar"/>
              </w:rPr>
              <w:t>现场情况</w:t>
            </w:r>
          </w:p>
        </w:tc>
        <w:tc>
          <w:tcPr>
            <w:tcW w:w="1966" w:type="pct"/>
            <w:tcBorders>
              <w:top w:val="single" w:color="000000" w:sz="4" w:space="0"/>
              <w:left w:val="single" w:color="000000" w:sz="4" w:space="0"/>
              <w:bottom w:val="single" w:color="000000" w:sz="4" w:space="0"/>
              <w:right w:val="single" w:color="000000" w:sz="4" w:space="0"/>
            </w:tcBorders>
            <w:vAlign w:val="center"/>
          </w:tcPr>
          <w:p w14:paraId="6570749A">
            <w:pPr>
              <w:widowControl/>
              <w:spacing w:line="240" w:lineRule="auto"/>
              <w:ind w:firstLine="0" w:firstLineChars="0"/>
              <w:jc w:val="left"/>
              <w:textAlignment w:val="center"/>
              <w:rPr>
                <w:rFonts w:ascii="仿宋" w:hAnsi="仿宋" w:eastAsia="仿宋"/>
                <w:color w:val="auto"/>
                <w:sz w:val="21"/>
                <w:szCs w:val="21"/>
                <w:highlight w:val="none"/>
              </w:rPr>
            </w:pPr>
            <w:r>
              <w:rPr>
                <w:rFonts w:hint="eastAsia" w:ascii="仿宋" w:hAnsi="仿宋" w:eastAsia="仿宋"/>
                <w:color w:val="auto"/>
                <w:sz w:val="21"/>
                <w:szCs w:val="21"/>
                <w:highlight w:val="none"/>
              </w:rPr>
              <w:t>现场防火、标牌（含危险源公示）、垃圾清运、高边坡监测、未设置警戒线等。</w:t>
            </w:r>
          </w:p>
        </w:tc>
        <w:tc>
          <w:tcPr>
            <w:tcW w:w="1275" w:type="pct"/>
            <w:tcBorders>
              <w:top w:val="single" w:color="000000" w:sz="4" w:space="0"/>
              <w:left w:val="single" w:color="000000" w:sz="4" w:space="0"/>
              <w:bottom w:val="single" w:color="000000" w:sz="4" w:space="0"/>
              <w:right w:val="single" w:color="000000" w:sz="4" w:space="0"/>
            </w:tcBorders>
            <w:vAlign w:val="center"/>
          </w:tcPr>
          <w:p w14:paraId="26361455">
            <w:pPr>
              <w:widowControl/>
              <w:spacing w:line="240" w:lineRule="auto"/>
              <w:ind w:firstLine="0" w:firstLineChars="0"/>
              <w:textAlignment w:val="center"/>
              <w:rPr>
                <w:rFonts w:ascii="仿宋" w:hAnsi="仿宋" w:eastAsia="仿宋"/>
                <w:color w:val="auto"/>
                <w:sz w:val="21"/>
                <w:szCs w:val="21"/>
                <w:highlight w:val="none"/>
              </w:rPr>
            </w:pPr>
            <w:r>
              <w:rPr>
                <w:rFonts w:hint="eastAsia" w:ascii="仿宋" w:hAnsi="仿宋" w:eastAsia="仿宋"/>
                <w:color w:val="auto"/>
                <w:sz w:val="21"/>
                <w:szCs w:val="21"/>
                <w:highlight w:val="none"/>
              </w:rPr>
              <w:t>现场防火、标牌（含危险源公示）、垃圾清运、高边坡监测、未设置警戒线等，一项不合格扣1分。</w:t>
            </w:r>
          </w:p>
        </w:tc>
        <w:tc>
          <w:tcPr>
            <w:tcW w:w="434" w:type="pct"/>
            <w:tcBorders>
              <w:top w:val="single" w:color="000000" w:sz="4" w:space="0"/>
              <w:left w:val="single" w:color="000000" w:sz="4" w:space="0"/>
              <w:bottom w:val="single" w:color="000000" w:sz="4" w:space="0"/>
              <w:right w:val="single" w:color="000000" w:sz="4" w:space="0"/>
            </w:tcBorders>
            <w:vAlign w:val="center"/>
          </w:tcPr>
          <w:p w14:paraId="03B6D94C">
            <w:pPr>
              <w:spacing w:line="240" w:lineRule="auto"/>
              <w:ind w:firstLine="400" w:firstLineChars="0"/>
              <w:rPr>
                <w:rFonts w:ascii="仿宋" w:hAnsi="仿宋" w:eastAsia="仿宋" w:cs="宋体"/>
                <w:color w:val="auto"/>
                <w:sz w:val="20"/>
                <w:szCs w:val="20"/>
                <w:highlight w:val="none"/>
              </w:rPr>
            </w:pPr>
          </w:p>
        </w:tc>
        <w:tc>
          <w:tcPr>
            <w:tcW w:w="303" w:type="pct"/>
            <w:tcBorders>
              <w:top w:val="single" w:color="000000" w:sz="4" w:space="0"/>
              <w:left w:val="single" w:color="000000" w:sz="4" w:space="0"/>
              <w:bottom w:val="single" w:color="000000" w:sz="4" w:space="0"/>
              <w:right w:val="single" w:color="000000" w:sz="4" w:space="0"/>
            </w:tcBorders>
            <w:vAlign w:val="center"/>
          </w:tcPr>
          <w:p w14:paraId="18BAF8FA">
            <w:pPr>
              <w:spacing w:line="240" w:lineRule="auto"/>
              <w:ind w:firstLine="400" w:firstLineChars="0"/>
              <w:rPr>
                <w:rFonts w:ascii="仿宋" w:hAnsi="仿宋" w:eastAsia="仿宋" w:cs="宋体"/>
                <w:color w:val="auto"/>
                <w:sz w:val="20"/>
                <w:szCs w:val="20"/>
                <w:highlight w:val="none"/>
              </w:rPr>
            </w:pPr>
          </w:p>
        </w:tc>
      </w:tr>
    </w:tbl>
    <w:p w14:paraId="1FB6A84F">
      <w:pPr>
        <w:ind w:firstLine="0" w:firstLineChars="0"/>
        <w:rPr>
          <w:rFonts w:ascii="方正仿宋_GBK"/>
          <w:color w:val="auto"/>
          <w:highlight w:val="none"/>
        </w:rPr>
      </w:pPr>
    </w:p>
    <w:p w14:paraId="756D70DA">
      <w:pPr>
        <w:adjustRightInd w:val="0"/>
        <w:spacing w:line="360" w:lineRule="auto"/>
        <w:ind w:firstLine="560" w:firstLineChars="0"/>
        <w:rPr>
          <w:rFonts w:ascii="仿宋" w:hAnsi="仿宋" w:eastAsia="仿宋" w:cs="宋体"/>
          <w:color w:val="auto"/>
          <w:sz w:val="21"/>
          <w:szCs w:val="28"/>
          <w:highlight w:val="none"/>
        </w:rPr>
      </w:pPr>
      <w:r>
        <w:rPr>
          <w:rFonts w:hint="eastAsia" w:ascii="仿宋" w:hAnsi="仿宋" w:eastAsia="仿宋" w:cs="宋体"/>
          <w:color w:val="auto"/>
          <w:sz w:val="21"/>
          <w:szCs w:val="28"/>
          <w:highlight w:val="none"/>
        </w:rPr>
        <w:t>土地管护期间绩效考核满分为100分，每月进行一次绩效考核，考核结果应用如下：</w:t>
      </w:r>
    </w:p>
    <w:p w14:paraId="028F3EC7">
      <w:pPr>
        <w:tabs>
          <w:tab w:val="left" w:pos="7275"/>
        </w:tabs>
        <w:adjustRightInd w:val="0"/>
        <w:spacing w:line="360" w:lineRule="auto"/>
        <w:ind w:firstLine="560" w:firstLineChars="0"/>
        <w:rPr>
          <w:rFonts w:ascii="仿宋" w:hAnsi="仿宋" w:eastAsia="仿宋" w:cs="宋体"/>
          <w:color w:val="auto"/>
          <w:sz w:val="21"/>
          <w:szCs w:val="28"/>
          <w:highlight w:val="none"/>
        </w:rPr>
      </w:pPr>
      <w:r>
        <w:rPr>
          <w:rFonts w:hint="eastAsia" w:ascii="仿宋" w:hAnsi="仿宋" w:eastAsia="仿宋" w:cs="宋体"/>
          <w:color w:val="auto"/>
          <w:sz w:val="21"/>
          <w:szCs w:val="28"/>
          <w:highlight w:val="none"/>
        </w:rPr>
        <w:t>（1）当A≥</w:t>
      </w:r>
      <w:r>
        <w:rPr>
          <w:rFonts w:ascii="仿宋" w:hAnsi="仿宋" w:eastAsia="仿宋" w:cs="宋体"/>
          <w:color w:val="auto"/>
          <w:sz w:val="21"/>
          <w:szCs w:val="28"/>
          <w:highlight w:val="none"/>
        </w:rPr>
        <w:t>9</w:t>
      </w:r>
      <w:r>
        <w:rPr>
          <w:rFonts w:hint="eastAsia" w:ascii="仿宋" w:hAnsi="仿宋" w:eastAsia="仿宋" w:cs="宋体"/>
          <w:color w:val="auto"/>
          <w:sz w:val="21"/>
          <w:szCs w:val="28"/>
          <w:highlight w:val="none"/>
        </w:rPr>
        <w:t>0分时，评级为优，不扣取当月绩效考核费用；</w:t>
      </w:r>
      <w:r>
        <w:rPr>
          <w:rFonts w:ascii="仿宋" w:hAnsi="仿宋" w:eastAsia="仿宋" w:cs="宋体"/>
          <w:color w:val="auto"/>
          <w:sz w:val="21"/>
          <w:szCs w:val="28"/>
          <w:highlight w:val="none"/>
        </w:rPr>
        <w:tab/>
      </w:r>
    </w:p>
    <w:p w14:paraId="4C681B34">
      <w:pPr>
        <w:adjustRightInd w:val="0"/>
        <w:spacing w:line="360" w:lineRule="auto"/>
        <w:ind w:firstLine="560" w:firstLineChars="0"/>
        <w:rPr>
          <w:rFonts w:ascii="仿宋" w:hAnsi="仿宋" w:eastAsia="仿宋" w:cs="宋体"/>
          <w:color w:val="auto"/>
          <w:sz w:val="21"/>
          <w:szCs w:val="28"/>
          <w:highlight w:val="none"/>
        </w:rPr>
      </w:pPr>
      <w:r>
        <w:rPr>
          <w:rFonts w:hint="eastAsia" w:ascii="仿宋" w:hAnsi="仿宋" w:eastAsia="仿宋" w:cs="宋体"/>
          <w:color w:val="auto"/>
          <w:sz w:val="21"/>
          <w:szCs w:val="28"/>
          <w:highlight w:val="none"/>
        </w:rPr>
        <w:t>（2）当</w:t>
      </w:r>
      <w:r>
        <w:rPr>
          <w:rFonts w:ascii="仿宋" w:hAnsi="仿宋" w:eastAsia="仿宋" w:cs="宋体"/>
          <w:color w:val="auto"/>
          <w:sz w:val="21"/>
          <w:szCs w:val="28"/>
          <w:highlight w:val="none"/>
        </w:rPr>
        <w:t>8</w:t>
      </w:r>
      <w:r>
        <w:rPr>
          <w:rFonts w:hint="eastAsia" w:ascii="仿宋" w:hAnsi="仿宋" w:eastAsia="仿宋" w:cs="宋体"/>
          <w:color w:val="auto"/>
          <w:sz w:val="21"/>
          <w:szCs w:val="28"/>
          <w:highlight w:val="none"/>
        </w:rPr>
        <w:t>0分≤A＜</w:t>
      </w:r>
      <w:r>
        <w:rPr>
          <w:rFonts w:ascii="仿宋" w:hAnsi="仿宋" w:eastAsia="仿宋" w:cs="宋体"/>
          <w:color w:val="auto"/>
          <w:sz w:val="21"/>
          <w:szCs w:val="28"/>
          <w:highlight w:val="none"/>
        </w:rPr>
        <w:t>9</w:t>
      </w:r>
      <w:r>
        <w:rPr>
          <w:rFonts w:hint="eastAsia" w:ascii="仿宋" w:hAnsi="仿宋" w:eastAsia="仿宋" w:cs="宋体"/>
          <w:color w:val="auto"/>
          <w:sz w:val="21"/>
          <w:szCs w:val="28"/>
          <w:highlight w:val="none"/>
        </w:rPr>
        <w:t>0分时，评级为良，扣取当月绩效考核费用的</w:t>
      </w:r>
      <w:r>
        <w:rPr>
          <w:rFonts w:ascii="仿宋" w:hAnsi="仿宋" w:eastAsia="仿宋" w:cs="宋体"/>
          <w:color w:val="auto"/>
          <w:sz w:val="21"/>
          <w:szCs w:val="28"/>
          <w:highlight w:val="none"/>
        </w:rPr>
        <w:t>10</w:t>
      </w:r>
      <w:r>
        <w:rPr>
          <w:rFonts w:hint="eastAsia" w:ascii="仿宋" w:hAnsi="仿宋" w:eastAsia="仿宋" w:cs="宋体"/>
          <w:color w:val="auto"/>
          <w:sz w:val="21"/>
          <w:szCs w:val="28"/>
          <w:highlight w:val="none"/>
        </w:rPr>
        <w:t>%；</w:t>
      </w:r>
    </w:p>
    <w:p w14:paraId="50E87B99">
      <w:pPr>
        <w:adjustRightInd w:val="0"/>
        <w:spacing w:line="360" w:lineRule="auto"/>
        <w:ind w:firstLine="560" w:firstLineChars="0"/>
        <w:rPr>
          <w:rFonts w:ascii="仿宋" w:hAnsi="仿宋" w:eastAsia="仿宋" w:cs="宋体"/>
          <w:color w:val="auto"/>
          <w:sz w:val="21"/>
          <w:szCs w:val="28"/>
          <w:highlight w:val="none"/>
        </w:rPr>
      </w:pPr>
      <w:r>
        <w:rPr>
          <w:rFonts w:hint="eastAsia" w:ascii="仿宋" w:hAnsi="仿宋" w:eastAsia="仿宋" w:cs="宋体"/>
          <w:color w:val="auto"/>
          <w:sz w:val="21"/>
          <w:szCs w:val="28"/>
          <w:highlight w:val="none"/>
        </w:rPr>
        <w:t>（3）当</w:t>
      </w:r>
      <w:r>
        <w:rPr>
          <w:rFonts w:ascii="仿宋" w:hAnsi="仿宋" w:eastAsia="仿宋" w:cs="宋体"/>
          <w:color w:val="auto"/>
          <w:sz w:val="21"/>
          <w:szCs w:val="28"/>
          <w:highlight w:val="none"/>
        </w:rPr>
        <w:t>7</w:t>
      </w:r>
      <w:r>
        <w:rPr>
          <w:rFonts w:hint="eastAsia" w:ascii="仿宋" w:hAnsi="仿宋" w:eastAsia="仿宋" w:cs="宋体"/>
          <w:color w:val="auto"/>
          <w:sz w:val="21"/>
          <w:szCs w:val="28"/>
          <w:highlight w:val="none"/>
        </w:rPr>
        <w:t>0分≤A＜</w:t>
      </w:r>
      <w:r>
        <w:rPr>
          <w:rFonts w:ascii="仿宋" w:hAnsi="仿宋" w:eastAsia="仿宋" w:cs="宋体"/>
          <w:color w:val="auto"/>
          <w:sz w:val="21"/>
          <w:szCs w:val="28"/>
          <w:highlight w:val="none"/>
        </w:rPr>
        <w:t>8</w:t>
      </w:r>
      <w:r>
        <w:rPr>
          <w:rFonts w:hint="eastAsia" w:ascii="仿宋" w:hAnsi="仿宋" w:eastAsia="仿宋" w:cs="宋体"/>
          <w:color w:val="auto"/>
          <w:sz w:val="21"/>
          <w:szCs w:val="28"/>
          <w:highlight w:val="none"/>
        </w:rPr>
        <w:t>0分时，评级为合格，扣取当月绩效考核费用的</w:t>
      </w:r>
      <w:r>
        <w:rPr>
          <w:rFonts w:ascii="仿宋" w:hAnsi="仿宋" w:eastAsia="仿宋" w:cs="宋体"/>
          <w:color w:val="auto"/>
          <w:sz w:val="21"/>
          <w:szCs w:val="28"/>
          <w:highlight w:val="none"/>
        </w:rPr>
        <w:t>30</w:t>
      </w:r>
      <w:r>
        <w:rPr>
          <w:rFonts w:hint="eastAsia" w:ascii="仿宋" w:hAnsi="仿宋" w:eastAsia="仿宋" w:cs="宋体"/>
          <w:color w:val="auto"/>
          <w:sz w:val="21"/>
          <w:szCs w:val="28"/>
          <w:highlight w:val="none"/>
        </w:rPr>
        <w:t>%；</w:t>
      </w:r>
    </w:p>
    <w:p w14:paraId="01DA8809">
      <w:pPr>
        <w:adjustRightInd w:val="0"/>
        <w:spacing w:line="360" w:lineRule="auto"/>
        <w:ind w:firstLine="560" w:firstLineChars="0"/>
        <w:rPr>
          <w:rFonts w:ascii="仿宋" w:hAnsi="仿宋" w:eastAsia="仿宋" w:cs="宋体"/>
          <w:color w:val="auto"/>
          <w:sz w:val="21"/>
          <w:szCs w:val="28"/>
          <w:highlight w:val="none"/>
        </w:rPr>
      </w:pPr>
      <w:r>
        <w:rPr>
          <w:rFonts w:hint="eastAsia" w:ascii="仿宋" w:hAnsi="仿宋" w:eastAsia="仿宋" w:cs="宋体"/>
          <w:color w:val="auto"/>
          <w:sz w:val="21"/>
          <w:szCs w:val="28"/>
          <w:highlight w:val="none"/>
        </w:rPr>
        <w:t>（4）当</w:t>
      </w:r>
      <w:r>
        <w:rPr>
          <w:rFonts w:ascii="仿宋" w:hAnsi="仿宋" w:eastAsia="仿宋" w:cs="宋体"/>
          <w:color w:val="auto"/>
          <w:sz w:val="21"/>
          <w:szCs w:val="28"/>
          <w:highlight w:val="none"/>
        </w:rPr>
        <w:t>60</w:t>
      </w:r>
      <w:r>
        <w:rPr>
          <w:rFonts w:hint="eastAsia" w:ascii="仿宋" w:hAnsi="仿宋" w:eastAsia="仿宋" w:cs="宋体"/>
          <w:color w:val="auto"/>
          <w:sz w:val="21"/>
          <w:szCs w:val="28"/>
          <w:highlight w:val="none"/>
        </w:rPr>
        <w:t>分≤A＜</w:t>
      </w:r>
      <w:r>
        <w:rPr>
          <w:rFonts w:ascii="仿宋" w:hAnsi="仿宋" w:eastAsia="仿宋" w:cs="宋体"/>
          <w:color w:val="auto"/>
          <w:sz w:val="21"/>
          <w:szCs w:val="28"/>
          <w:highlight w:val="none"/>
        </w:rPr>
        <w:t>7</w:t>
      </w:r>
      <w:r>
        <w:rPr>
          <w:rFonts w:hint="eastAsia" w:ascii="仿宋" w:hAnsi="仿宋" w:eastAsia="仿宋" w:cs="宋体"/>
          <w:color w:val="auto"/>
          <w:sz w:val="21"/>
          <w:szCs w:val="28"/>
          <w:highlight w:val="none"/>
        </w:rPr>
        <w:t>0分时，评级为差，扣取当月绩效考核费用的</w:t>
      </w:r>
      <w:r>
        <w:rPr>
          <w:rFonts w:ascii="仿宋" w:hAnsi="仿宋" w:eastAsia="仿宋" w:cs="宋体"/>
          <w:color w:val="auto"/>
          <w:sz w:val="21"/>
          <w:szCs w:val="28"/>
          <w:highlight w:val="none"/>
        </w:rPr>
        <w:t>50</w:t>
      </w:r>
      <w:r>
        <w:rPr>
          <w:rFonts w:hint="eastAsia" w:ascii="仿宋" w:hAnsi="仿宋" w:eastAsia="仿宋" w:cs="宋体"/>
          <w:color w:val="auto"/>
          <w:sz w:val="21"/>
          <w:szCs w:val="28"/>
          <w:highlight w:val="none"/>
        </w:rPr>
        <w:t>%；</w:t>
      </w:r>
    </w:p>
    <w:p w14:paraId="37A16084">
      <w:pPr>
        <w:adjustRightInd w:val="0"/>
        <w:spacing w:line="360" w:lineRule="auto"/>
        <w:ind w:firstLine="560" w:firstLineChars="0"/>
        <w:rPr>
          <w:rFonts w:ascii="仿宋" w:hAnsi="仿宋" w:eastAsia="仿宋" w:cs="宋体"/>
          <w:color w:val="auto"/>
          <w:sz w:val="21"/>
          <w:szCs w:val="28"/>
          <w:highlight w:val="none"/>
        </w:rPr>
      </w:pPr>
      <w:r>
        <w:rPr>
          <w:rFonts w:hint="eastAsia" w:ascii="仿宋" w:hAnsi="仿宋" w:eastAsia="仿宋" w:cs="宋体"/>
          <w:color w:val="auto"/>
          <w:sz w:val="21"/>
          <w:szCs w:val="28"/>
          <w:highlight w:val="none"/>
        </w:rPr>
        <w:t>（5）当A＜</w:t>
      </w:r>
      <w:r>
        <w:rPr>
          <w:rFonts w:ascii="仿宋" w:hAnsi="仿宋" w:eastAsia="仿宋" w:cs="宋体"/>
          <w:color w:val="auto"/>
          <w:sz w:val="21"/>
          <w:szCs w:val="28"/>
          <w:highlight w:val="none"/>
        </w:rPr>
        <w:t>60</w:t>
      </w:r>
      <w:r>
        <w:rPr>
          <w:rFonts w:hint="eastAsia" w:ascii="仿宋" w:hAnsi="仿宋" w:eastAsia="仿宋" w:cs="宋体"/>
          <w:color w:val="auto"/>
          <w:sz w:val="21"/>
          <w:szCs w:val="28"/>
          <w:highlight w:val="none"/>
        </w:rPr>
        <w:t>分时，为不合格，扣取当月绩效考核费用的1</w:t>
      </w:r>
      <w:r>
        <w:rPr>
          <w:rFonts w:ascii="仿宋" w:hAnsi="仿宋" w:eastAsia="仿宋" w:cs="宋体"/>
          <w:color w:val="auto"/>
          <w:sz w:val="21"/>
          <w:szCs w:val="28"/>
          <w:highlight w:val="none"/>
        </w:rPr>
        <w:t>00%</w:t>
      </w:r>
      <w:r>
        <w:rPr>
          <w:rFonts w:hint="eastAsia" w:ascii="仿宋" w:hAnsi="仿宋" w:eastAsia="仿宋" w:cs="宋体"/>
          <w:color w:val="auto"/>
          <w:sz w:val="21"/>
          <w:szCs w:val="28"/>
          <w:highlight w:val="none"/>
        </w:rPr>
        <w:t>，并有权提前终止合同。</w:t>
      </w:r>
    </w:p>
    <w:p w14:paraId="450077FB">
      <w:pPr>
        <w:adjustRightInd w:val="0"/>
        <w:spacing w:line="360" w:lineRule="auto"/>
        <w:ind w:firstLine="560" w:firstLineChars="0"/>
        <w:rPr>
          <w:rFonts w:ascii="仿宋" w:hAnsi="仿宋" w:eastAsia="仿宋" w:cs="宋体"/>
          <w:color w:val="auto"/>
          <w:sz w:val="21"/>
          <w:szCs w:val="28"/>
          <w:highlight w:val="none"/>
        </w:rPr>
      </w:pPr>
      <w:r>
        <w:rPr>
          <w:rFonts w:hint="eastAsia" w:ascii="仿宋" w:hAnsi="仿宋" w:eastAsia="仿宋" w:cs="宋体"/>
          <w:color w:val="auto"/>
          <w:sz w:val="21"/>
          <w:szCs w:val="28"/>
          <w:highlight w:val="none"/>
        </w:rPr>
        <w:t>其中：A为当月绩效考核平均得分</w:t>
      </w:r>
    </w:p>
    <w:p w14:paraId="066E32F8">
      <w:pPr>
        <w:rPr>
          <w:rFonts w:ascii="宋体" w:hAnsi="宋体"/>
          <w:color w:val="auto"/>
          <w:sz w:val="44"/>
          <w:szCs w:val="44"/>
          <w:highlight w:val="none"/>
        </w:rPr>
      </w:pPr>
    </w:p>
    <w:p w14:paraId="28DBAEFB">
      <w:pPr>
        <w:rPr>
          <w:rFonts w:ascii="宋体" w:hAnsi="宋体"/>
          <w:color w:val="auto"/>
          <w:sz w:val="44"/>
          <w:szCs w:val="44"/>
          <w:highlight w:val="none"/>
        </w:rPr>
      </w:pPr>
    </w:p>
    <w:p w14:paraId="05773030">
      <w:pPr>
        <w:rPr>
          <w:rFonts w:ascii="宋体" w:hAnsi="宋体"/>
          <w:color w:val="auto"/>
          <w:sz w:val="44"/>
          <w:szCs w:val="44"/>
          <w:highlight w:val="none"/>
        </w:rPr>
      </w:pPr>
    </w:p>
    <w:p w14:paraId="3F6FD455">
      <w:pPr>
        <w:rPr>
          <w:rFonts w:ascii="宋体" w:hAnsi="宋体"/>
          <w:color w:val="auto"/>
          <w:sz w:val="44"/>
          <w:szCs w:val="44"/>
          <w:highlight w:val="none"/>
        </w:rPr>
      </w:pPr>
    </w:p>
    <w:p w14:paraId="5269AB81">
      <w:pPr>
        <w:rPr>
          <w:rFonts w:ascii="宋体" w:hAnsi="宋体"/>
          <w:color w:val="auto"/>
          <w:sz w:val="44"/>
          <w:szCs w:val="44"/>
          <w:highlight w:val="none"/>
        </w:rPr>
      </w:pPr>
    </w:p>
    <w:p w14:paraId="2AD70C1C">
      <w:pPr>
        <w:rPr>
          <w:rFonts w:ascii="宋体" w:hAnsi="宋体"/>
          <w:color w:val="auto"/>
          <w:sz w:val="44"/>
          <w:szCs w:val="44"/>
          <w:highlight w:val="none"/>
        </w:rPr>
      </w:pPr>
    </w:p>
    <w:p w14:paraId="254AA460">
      <w:pPr>
        <w:rPr>
          <w:rFonts w:ascii="宋体" w:hAnsi="宋体"/>
          <w:color w:val="auto"/>
          <w:sz w:val="44"/>
          <w:szCs w:val="44"/>
          <w:highlight w:val="none"/>
        </w:rPr>
      </w:pPr>
    </w:p>
    <w:p w14:paraId="5ECB2B1B">
      <w:pPr>
        <w:rPr>
          <w:rFonts w:ascii="宋体" w:hAnsi="宋体"/>
          <w:color w:val="auto"/>
          <w:sz w:val="44"/>
          <w:szCs w:val="44"/>
          <w:highlight w:val="none"/>
        </w:rPr>
      </w:pPr>
    </w:p>
    <w:p w14:paraId="2811C415">
      <w:pPr>
        <w:rPr>
          <w:rFonts w:ascii="宋体" w:hAnsi="宋体"/>
          <w:color w:val="auto"/>
          <w:sz w:val="44"/>
          <w:szCs w:val="44"/>
          <w:highlight w:val="none"/>
        </w:rPr>
      </w:pPr>
    </w:p>
    <w:p w14:paraId="175A06F6">
      <w:pPr>
        <w:rPr>
          <w:rFonts w:ascii="宋体" w:hAnsi="宋体"/>
          <w:color w:val="auto"/>
          <w:sz w:val="44"/>
          <w:szCs w:val="44"/>
          <w:highlight w:val="none"/>
        </w:rPr>
      </w:pPr>
    </w:p>
    <w:p w14:paraId="64C6983D">
      <w:pPr>
        <w:rPr>
          <w:rFonts w:ascii="宋体" w:hAnsi="宋体"/>
          <w:color w:val="auto"/>
          <w:sz w:val="44"/>
          <w:szCs w:val="44"/>
          <w:highlight w:val="none"/>
        </w:rPr>
      </w:pPr>
    </w:p>
    <w:p w14:paraId="1336621C">
      <w:pPr>
        <w:rPr>
          <w:rFonts w:ascii="宋体" w:hAnsi="宋体"/>
          <w:color w:val="auto"/>
          <w:sz w:val="44"/>
          <w:szCs w:val="44"/>
          <w:highlight w:val="none"/>
        </w:rPr>
      </w:pPr>
    </w:p>
    <w:p w14:paraId="27B45998">
      <w:pPr>
        <w:rPr>
          <w:rFonts w:ascii="宋体" w:hAnsi="宋体"/>
          <w:color w:val="auto"/>
          <w:sz w:val="44"/>
          <w:szCs w:val="44"/>
          <w:highlight w:val="none"/>
        </w:rPr>
      </w:pPr>
    </w:p>
    <w:p w14:paraId="0EE2434C">
      <w:pPr>
        <w:rPr>
          <w:rFonts w:ascii="宋体" w:hAnsi="宋体"/>
          <w:color w:val="auto"/>
          <w:sz w:val="44"/>
          <w:szCs w:val="44"/>
          <w:highlight w:val="none"/>
        </w:rPr>
      </w:pPr>
    </w:p>
    <w:p w14:paraId="2A8B2E17">
      <w:pPr>
        <w:rPr>
          <w:rFonts w:ascii="宋体" w:hAnsi="宋体"/>
          <w:color w:val="auto"/>
          <w:sz w:val="44"/>
          <w:szCs w:val="44"/>
          <w:highlight w:val="none"/>
        </w:rPr>
      </w:pPr>
    </w:p>
    <w:p w14:paraId="1EF1D50C">
      <w:pPr>
        <w:rPr>
          <w:rFonts w:ascii="宋体" w:hAnsi="宋体"/>
          <w:color w:val="auto"/>
          <w:sz w:val="44"/>
          <w:szCs w:val="44"/>
          <w:highlight w:val="none"/>
        </w:rPr>
      </w:pPr>
    </w:p>
    <w:p w14:paraId="70991C48">
      <w:pPr>
        <w:rPr>
          <w:rFonts w:ascii="宋体" w:hAnsi="宋体"/>
          <w:color w:val="auto"/>
          <w:sz w:val="44"/>
          <w:szCs w:val="44"/>
          <w:highlight w:val="none"/>
        </w:rPr>
      </w:pPr>
    </w:p>
    <w:p w14:paraId="3B79557A">
      <w:pPr>
        <w:rPr>
          <w:rFonts w:ascii="宋体" w:hAnsi="宋体"/>
          <w:color w:val="auto"/>
          <w:sz w:val="44"/>
          <w:szCs w:val="44"/>
          <w:highlight w:val="none"/>
        </w:rPr>
      </w:pPr>
    </w:p>
    <w:p w14:paraId="74711967">
      <w:pPr>
        <w:rPr>
          <w:rFonts w:ascii="宋体" w:hAnsi="宋体"/>
          <w:color w:val="auto"/>
          <w:sz w:val="44"/>
          <w:szCs w:val="44"/>
          <w:highlight w:val="none"/>
        </w:rPr>
      </w:pPr>
    </w:p>
    <w:p w14:paraId="6FA7C8FE">
      <w:pPr>
        <w:spacing w:line="360" w:lineRule="auto"/>
        <w:rPr>
          <w:rFonts w:ascii="宋体" w:hAnsi="宋体"/>
          <w:color w:val="auto"/>
          <w:highlight w:val="none"/>
        </w:rPr>
      </w:pPr>
      <w:bookmarkStart w:id="467" w:name="招标文件06章图纸01"/>
      <w:bookmarkEnd w:id="467"/>
    </w:p>
    <w:p w14:paraId="10E6ADDD">
      <w:pPr>
        <w:pStyle w:val="2"/>
        <w:spacing w:before="0" w:after="0" w:line="360" w:lineRule="auto"/>
        <w:jc w:val="center"/>
        <w:rPr>
          <w:rFonts w:ascii="宋体" w:hAnsi="宋体"/>
          <w:color w:val="auto"/>
          <w:sz w:val="52"/>
          <w:szCs w:val="52"/>
          <w:highlight w:val="none"/>
        </w:rPr>
      </w:pPr>
      <w:bookmarkStart w:id="468" w:name="_Toc13896"/>
      <w:bookmarkStart w:id="469" w:name="_Toc6205"/>
      <w:bookmarkStart w:id="470" w:name="_Toc8804"/>
      <w:r>
        <w:rPr>
          <w:rFonts w:hint="eastAsia" w:ascii="宋体" w:hAnsi="宋体"/>
          <w:color w:val="auto"/>
          <w:sz w:val="52"/>
          <w:szCs w:val="52"/>
          <w:highlight w:val="none"/>
        </w:rPr>
        <w:t>第 三 卷</w:t>
      </w:r>
      <w:bookmarkEnd w:id="468"/>
      <w:bookmarkEnd w:id="469"/>
      <w:bookmarkEnd w:id="470"/>
      <w:bookmarkStart w:id="471" w:name="_Toc509218847"/>
      <w:bookmarkStart w:id="472" w:name="_Toc536796850"/>
      <w:bookmarkStart w:id="473" w:name="_Toc536619968"/>
      <w:bookmarkStart w:id="474" w:name="_Toc13211206"/>
      <w:bookmarkStart w:id="475" w:name="_Toc536628344"/>
      <w:bookmarkStart w:id="476" w:name="_Toc536796986"/>
      <w:bookmarkStart w:id="477" w:name="_Toc536797390"/>
      <w:bookmarkStart w:id="478" w:name="_Toc536620100"/>
      <w:bookmarkStart w:id="479" w:name="_Toc536621880"/>
      <w:bookmarkStart w:id="480" w:name="_Toc13211764"/>
      <w:bookmarkStart w:id="481" w:name="_Toc534185826"/>
      <w:bookmarkStart w:id="482" w:name="_Toc536797255"/>
      <w:bookmarkStart w:id="483" w:name="_Toc13210772"/>
      <w:bookmarkStart w:id="484" w:name="_Toc536797121"/>
    </w:p>
    <w:bookmarkEnd w:id="471"/>
    <w:p w14:paraId="13D55B23">
      <w:pPr>
        <w:rPr>
          <w:color w:val="auto"/>
          <w:highlight w:val="none"/>
        </w:rPr>
      </w:pPr>
      <w:r>
        <w:rPr>
          <w:color w:val="auto"/>
          <w:highlight w:val="none"/>
        </w:rPr>
        <w:br w:type="page"/>
      </w:r>
      <w:bookmarkEnd w:id="472"/>
      <w:bookmarkEnd w:id="473"/>
      <w:bookmarkEnd w:id="474"/>
      <w:bookmarkEnd w:id="475"/>
      <w:bookmarkEnd w:id="476"/>
      <w:bookmarkEnd w:id="477"/>
      <w:bookmarkEnd w:id="478"/>
      <w:bookmarkEnd w:id="479"/>
      <w:bookmarkEnd w:id="480"/>
      <w:bookmarkEnd w:id="481"/>
      <w:bookmarkEnd w:id="482"/>
      <w:bookmarkEnd w:id="483"/>
      <w:bookmarkEnd w:id="484"/>
    </w:p>
    <w:p w14:paraId="406D0FB1">
      <w:pPr>
        <w:pStyle w:val="2"/>
        <w:spacing w:line="360" w:lineRule="auto"/>
        <w:jc w:val="center"/>
        <w:rPr>
          <w:rFonts w:ascii="宋体" w:hAnsi="宋体"/>
          <w:color w:val="auto"/>
          <w:highlight w:val="none"/>
        </w:rPr>
      </w:pPr>
      <w:bookmarkStart w:id="485" w:name="招标文件07章技术标准和要求"/>
      <w:bookmarkEnd w:id="485"/>
      <w:bookmarkStart w:id="486" w:name="_Toc17170"/>
      <w:bookmarkStart w:id="487" w:name="_Toc16451"/>
      <w:r>
        <w:rPr>
          <w:rFonts w:hint="eastAsia" w:ascii="宋体" w:hAnsi="宋体"/>
          <w:color w:val="auto"/>
          <w:highlight w:val="none"/>
          <w:lang w:eastAsia="zh-CN"/>
        </w:rPr>
        <w:t>第五章</w:t>
      </w:r>
      <w:r>
        <w:rPr>
          <w:rFonts w:hint="eastAsia" w:ascii="宋体" w:hAnsi="宋体"/>
          <w:color w:val="auto"/>
          <w:highlight w:val="none"/>
        </w:rPr>
        <w:t xml:space="preserve">  </w:t>
      </w:r>
      <w:r>
        <w:rPr>
          <w:rFonts w:ascii="宋体" w:hAnsi="宋体"/>
          <w:color w:val="auto"/>
          <w:highlight w:val="none"/>
        </w:rPr>
        <w:t>技术标准和要求</w:t>
      </w:r>
      <w:bookmarkEnd w:id="486"/>
      <w:bookmarkEnd w:id="487"/>
      <w:bookmarkStart w:id="488" w:name="招标文件07章技术标准和要求01"/>
      <w:bookmarkEnd w:id="488"/>
      <w:bookmarkStart w:id="489" w:name="_Toc430530524"/>
      <w:bookmarkStart w:id="490" w:name="_Toc287620808"/>
    </w:p>
    <w:bookmarkEnd w:id="489"/>
    <w:bookmarkEnd w:id="490"/>
    <w:p w14:paraId="39E94648">
      <w:pPr>
        <w:spacing w:line="360" w:lineRule="auto"/>
        <w:jc w:val="center"/>
        <w:rPr>
          <w:rFonts w:ascii="宋体" w:hAnsi="宋体"/>
          <w:color w:val="auto"/>
          <w:szCs w:val="21"/>
          <w:highlight w:val="none"/>
        </w:rPr>
      </w:pPr>
      <w:r>
        <w:rPr>
          <w:rFonts w:ascii="宋体" w:hAnsi="宋体"/>
          <w:color w:val="auto"/>
          <w:szCs w:val="21"/>
          <w:highlight w:val="none"/>
        </w:rPr>
        <w:t>由</w:t>
      </w:r>
      <w:r>
        <w:rPr>
          <w:rFonts w:hint="eastAsia" w:ascii="宋体" w:hAnsi="宋体"/>
          <w:color w:val="auto"/>
          <w:szCs w:val="21"/>
          <w:highlight w:val="none"/>
          <w:lang w:eastAsia="zh-CN"/>
        </w:rPr>
        <w:t>比选人</w:t>
      </w:r>
      <w:r>
        <w:rPr>
          <w:rFonts w:ascii="宋体" w:hAnsi="宋体"/>
          <w:color w:val="auto"/>
          <w:szCs w:val="21"/>
          <w:highlight w:val="none"/>
        </w:rPr>
        <w:t>根据招标项目的实际情况编写</w:t>
      </w:r>
      <w:r>
        <w:rPr>
          <w:rFonts w:hint="eastAsia" w:ascii="宋体" w:hAnsi="宋体"/>
          <w:color w:val="auto"/>
          <w:szCs w:val="21"/>
          <w:highlight w:val="none"/>
        </w:rPr>
        <w:t>（如有）。</w:t>
      </w:r>
    </w:p>
    <w:p w14:paraId="30A62972">
      <w:pPr>
        <w:spacing w:line="360" w:lineRule="auto"/>
        <w:rPr>
          <w:rFonts w:ascii="宋体" w:hAnsi="宋体"/>
          <w:color w:val="auto"/>
          <w:highlight w:val="none"/>
        </w:rPr>
      </w:pPr>
      <w:r>
        <w:rPr>
          <w:rFonts w:ascii="宋体" w:hAnsi="宋体"/>
          <w:color w:val="auto"/>
          <w:highlight w:val="none"/>
        </w:rPr>
        <w:br w:type="page"/>
      </w:r>
    </w:p>
    <w:p w14:paraId="2C217832">
      <w:pPr>
        <w:pStyle w:val="2"/>
        <w:spacing w:line="360" w:lineRule="auto"/>
        <w:jc w:val="center"/>
        <w:rPr>
          <w:rFonts w:ascii="宋体" w:hAnsi="宋体"/>
          <w:color w:val="auto"/>
          <w:highlight w:val="none"/>
        </w:rPr>
      </w:pPr>
      <w:bookmarkStart w:id="491" w:name="_Toc509218852"/>
      <w:bookmarkStart w:id="492" w:name="_Toc287607865"/>
      <w:bookmarkStart w:id="493" w:name="_Toc287620812"/>
      <w:bookmarkStart w:id="494" w:name="_Toc23843"/>
      <w:bookmarkStart w:id="495" w:name="_Toc534185829"/>
      <w:bookmarkStart w:id="496" w:name="_Toc4333"/>
      <w:bookmarkStart w:id="497" w:name="_Toc430530528"/>
      <w:r>
        <w:rPr>
          <w:rFonts w:hint="eastAsia" w:ascii="宋体" w:hAnsi="宋体"/>
          <w:color w:val="auto"/>
          <w:highlight w:val="none"/>
          <w:lang w:eastAsia="zh-CN"/>
        </w:rPr>
        <w:t>第六章</w:t>
      </w:r>
      <w:r>
        <w:rPr>
          <w:rFonts w:hint="eastAsia" w:ascii="宋体" w:hAnsi="宋体"/>
          <w:color w:val="auto"/>
          <w:highlight w:val="none"/>
        </w:rPr>
        <w:t xml:space="preserve">  </w:t>
      </w:r>
      <w:r>
        <w:rPr>
          <w:rFonts w:hint="eastAsia" w:ascii="宋体" w:hAnsi="宋体"/>
          <w:color w:val="auto"/>
          <w:highlight w:val="none"/>
          <w:lang w:eastAsia="zh-CN"/>
        </w:rPr>
        <w:t>竞选文件</w:t>
      </w:r>
      <w:r>
        <w:rPr>
          <w:rFonts w:hint="eastAsia" w:ascii="宋体" w:hAnsi="宋体"/>
          <w:color w:val="auto"/>
          <w:highlight w:val="none"/>
        </w:rPr>
        <w:t>格式</w:t>
      </w:r>
      <w:bookmarkEnd w:id="491"/>
      <w:bookmarkEnd w:id="492"/>
      <w:bookmarkEnd w:id="493"/>
      <w:bookmarkEnd w:id="494"/>
      <w:bookmarkEnd w:id="495"/>
      <w:bookmarkEnd w:id="496"/>
      <w:bookmarkEnd w:id="497"/>
    </w:p>
    <w:p w14:paraId="317E1156">
      <w:pPr>
        <w:spacing w:line="360" w:lineRule="auto"/>
        <w:rPr>
          <w:rFonts w:ascii="宋体" w:hAnsi="宋体"/>
          <w:color w:val="auto"/>
          <w:sz w:val="32"/>
          <w:szCs w:val="32"/>
          <w:highlight w:val="none"/>
        </w:rPr>
      </w:pPr>
    </w:p>
    <w:p w14:paraId="5009760B">
      <w:pPr>
        <w:autoSpaceDE w:val="0"/>
        <w:autoSpaceDN w:val="0"/>
        <w:adjustRightInd w:val="0"/>
        <w:spacing w:line="276" w:lineRule="auto"/>
        <w:ind w:right="-23"/>
        <w:jc w:val="left"/>
        <w:rPr>
          <w:rFonts w:ascii="宋体" w:hAnsi="宋体"/>
          <w:b/>
          <w:color w:val="auto"/>
          <w:kern w:val="0"/>
          <w:sz w:val="24"/>
          <w:highlight w:val="none"/>
        </w:rPr>
      </w:pPr>
      <w:r>
        <w:rPr>
          <w:rFonts w:ascii="宋体" w:hAnsi="宋体"/>
          <w:color w:val="auto"/>
          <w:szCs w:val="20"/>
          <w:highlight w:val="none"/>
        </w:rPr>
        <w:br w:type="page"/>
      </w:r>
      <w:bookmarkStart w:id="498" w:name="_Toc287607866"/>
      <w:bookmarkStart w:id="499" w:name="_Toc277082642"/>
      <w:bookmarkStart w:id="500" w:name="_Toc430530529"/>
      <w:bookmarkStart w:id="501" w:name="_Toc287620813"/>
      <w:bookmarkStart w:id="502" w:name="_Toc224103494"/>
    </w:p>
    <w:bookmarkEnd w:id="498"/>
    <w:bookmarkEnd w:id="499"/>
    <w:bookmarkEnd w:id="500"/>
    <w:bookmarkEnd w:id="501"/>
    <w:bookmarkEnd w:id="502"/>
    <w:p w14:paraId="5A7E173C">
      <w:pPr>
        <w:tabs>
          <w:tab w:val="left" w:pos="2580"/>
          <w:tab w:val="left" w:pos="5940"/>
        </w:tabs>
        <w:autoSpaceDE w:val="0"/>
        <w:autoSpaceDN w:val="0"/>
        <w:adjustRightInd w:val="0"/>
        <w:snapToGrid w:val="0"/>
        <w:spacing w:line="360" w:lineRule="auto"/>
        <w:jc w:val="left"/>
        <w:rPr>
          <w:rFonts w:ascii="宋体" w:hAnsi="宋体"/>
          <w:color w:val="auto"/>
          <w:kern w:val="0"/>
          <w:sz w:val="28"/>
          <w:szCs w:val="28"/>
          <w:highlight w:val="none"/>
          <w:u w:val="single"/>
        </w:rPr>
      </w:pPr>
    </w:p>
    <w:p w14:paraId="0DA5A817">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14:paraId="6AC83FBB">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404B5E6B">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117CB3B2">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192B551E">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69052940">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6A74A43D">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lang w:val="en-US" w:eastAsia="zh-CN"/>
        </w:rPr>
        <w:t>竞</w:t>
      </w:r>
      <w:r>
        <w:rPr>
          <w:rFonts w:hint="eastAsia" w:ascii="宋体" w:hAnsi="宋体"/>
          <w:color w:val="auto"/>
          <w:kern w:val="0"/>
          <w:sz w:val="72"/>
          <w:szCs w:val="72"/>
          <w:highlight w:val="none"/>
        </w:rPr>
        <w:t xml:space="preserve"> 标 文 件</w:t>
      </w:r>
    </w:p>
    <w:p w14:paraId="2ECDC36E">
      <w:pPr>
        <w:autoSpaceDE w:val="0"/>
        <w:autoSpaceDN w:val="0"/>
        <w:adjustRightInd w:val="0"/>
        <w:snapToGrid w:val="0"/>
        <w:spacing w:line="360" w:lineRule="auto"/>
        <w:jc w:val="left"/>
        <w:rPr>
          <w:rFonts w:ascii="宋体" w:hAnsi="宋体"/>
          <w:color w:val="auto"/>
          <w:kern w:val="0"/>
          <w:sz w:val="16"/>
          <w:szCs w:val="16"/>
          <w:highlight w:val="none"/>
        </w:rPr>
      </w:pPr>
    </w:p>
    <w:p w14:paraId="734616AE">
      <w:pPr>
        <w:autoSpaceDE w:val="0"/>
        <w:autoSpaceDN w:val="0"/>
        <w:adjustRightInd w:val="0"/>
        <w:snapToGrid w:val="0"/>
        <w:spacing w:line="360" w:lineRule="auto"/>
        <w:jc w:val="left"/>
        <w:rPr>
          <w:rFonts w:ascii="宋体" w:hAnsi="宋体"/>
          <w:b/>
          <w:color w:val="auto"/>
          <w:kern w:val="0"/>
          <w:sz w:val="20"/>
          <w:szCs w:val="20"/>
          <w:highlight w:val="none"/>
        </w:rPr>
      </w:pPr>
    </w:p>
    <w:p w14:paraId="4A32D940">
      <w:pPr>
        <w:autoSpaceDE w:val="0"/>
        <w:autoSpaceDN w:val="0"/>
        <w:adjustRightInd w:val="0"/>
        <w:snapToGrid w:val="0"/>
        <w:spacing w:line="360" w:lineRule="auto"/>
        <w:jc w:val="left"/>
        <w:rPr>
          <w:rFonts w:ascii="宋体" w:hAnsi="宋体"/>
          <w:b/>
          <w:color w:val="auto"/>
          <w:kern w:val="0"/>
          <w:sz w:val="20"/>
          <w:szCs w:val="20"/>
          <w:highlight w:val="none"/>
        </w:rPr>
      </w:pPr>
    </w:p>
    <w:p w14:paraId="54B5BF72">
      <w:pPr>
        <w:autoSpaceDE w:val="0"/>
        <w:autoSpaceDN w:val="0"/>
        <w:adjustRightInd w:val="0"/>
        <w:snapToGrid w:val="0"/>
        <w:spacing w:line="360" w:lineRule="auto"/>
        <w:jc w:val="left"/>
        <w:rPr>
          <w:rFonts w:ascii="宋体" w:hAnsi="宋体"/>
          <w:b/>
          <w:color w:val="auto"/>
          <w:kern w:val="0"/>
          <w:sz w:val="20"/>
          <w:szCs w:val="20"/>
          <w:highlight w:val="none"/>
        </w:rPr>
      </w:pPr>
    </w:p>
    <w:p w14:paraId="75A717CC">
      <w:pPr>
        <w:autoSpaceDE w:val="0"/>
        <w:autoSpaceDN w:val="0"/>
        <w:adjustRightInd w:val="0"/>
        <w:snapToGrid w:val="0"/>
        <w:spacing w:line="360" w:lineRule="auto"/>
        <w:jc w:val="left"/>
        <w:rPr>
          <w:rFonts w:ascii="宋体" w:hAnsi="宋体"/>
          <w:b/>
          <w:color w:val="auto"/>
          <w:kern w:val="0"/>
          <w:sz w:val="20"/>
          <w:szCs w:val="20"/>
          <w:highlight w:val="none"/>
        </w:rPr>
      </w:pPr>
    </w:p>
    <w:p w14:paraId="64015F36">
      <w:pPr>
        <w:autoSpaceDE w:val="0"/>
        <w:autoSpaceDN w:val="0"/>
        <w:adjustRightInd w:val="0"/>
        <w:snapToGrid w:val="0"/>
        <w:spacing w:line="360" w:lineRule="auto"/>
        <w:jc w:val="left"/>
        <w:rPr>
          <w:rFonts w:ascii="宋体" w:hAnsi="宋体"/>
          <w:b/>
          <w:color w:val="auto"/>
          <w:kern w:val="0"/>
          <w:sz w:val="20"/>
          <w:szCs w:val="20"/>
          <w:highlight w:val="none"/>
        </w:rPr>
      </w:pPr>
    </w:p>
    <w:p w14:paraId="7383155A">
      <w:pPr>
        <w:autoSpaceDE w:val="0"/>
        <w:autoSpaceDN w:val="0"/>
        <w:adjustRightInd w:val="0"/>
        <w:snapToGrid w:val="0"/>
        <w:spacing w:line="360" w:lineRule="auto"/>
        <w:jc w:val="left"/>
        <w:rPr>
          <w:rFonts w:ascii="宋体" w:hAnsi="宋体"/>
          <w:b/>
          <w:color w:val="auto"/>
          <w:kern w:val="0"/>
          <w:sz w:val="20"/>
          <w:szCs w:val="20"/>
          <w:highlight w:val="none"/>
        </w:rPr>
      </w:pPr>
    </w:p>
    <w:p w14:paraId="0474CCF3">
      <w:pPr>
        <w:autoSpaceDE w:val="0"/>
        <w:autoSpaceDN w:val="0"/>
        <w:adjustRightInd w:val="0"/>
        <w:snapToGrid w:val="0"/>
        <w:spacing w:line="360" w:lineRule="auto"/>
        <w:jc w:val="left"/>
        <w:rPr>
          <w:rFonts w:ascii="宋体" w:hAnsi="宋体"/>
          <w:b/>
          <w:color w:val="auto"/>
          <w:kern w:val="0"/>
          <w:sz w:val="20"/>
          <w:szCs w:val="20"/>
          <w:highlight w:val="none"/>
        </w:rPr>
      </w:pPr>
    </w:p>
    <w:p w14:paraId="3270DD07">
      <w:pPr>
        <w:autoSpaceDE w:val="0"/>
        <w:autoSpaceDN w:val="0"/>
        <w:adjustRightInd w:val="0"/>
        <w:snapToGrid w:val="0"/>
        <w:spacing w:line="360" w:lineRule="auto"/>
        <w:jc w:val="left"/>
        <w:rPr>
          <w:rFonts w:ascii="宋体" w:hAnsi="宋体"/>
          <w:b/>
          <w:color w:val="auto"/>
          <w:kern w:val="0"/>
          <w:sz w:val="20"/>
          <w:szCs w:val="20"/>
          <w:highlight w:val="none"/>
        </w:rPr>
      </w:pPr>
    </w:p>
    <w:p w14:paraId="2B2BE4A4">
      <w:pPr>
        <w:autoSpaceDE w:val="0"/>
        <w:autoSpaceDN w:val="0"/>
        <w:adjustRightInd w:val="0"/>
        <w:snapToGrid w:val="0"/>
        <w:spacing w:line="360" w:lineRule="auto"/>
        <w:jc w:val="left"/>
        <w:rPr>
          <w:rFonts w:ascii="宋体" w:hAnsi="宋体"/>
          <w:b/>
          <w:color w:val="auto"/>
          <w:kern w:val="0"/>
          <w:sz w:val="20"/>
          <w:szCs w:val="20"/>
          <w:highlight w:val="none"/>
        </w:rPr>
      </w:pPr>
    </w:p>
    <w:p w14:paraId="1BEC2339">
      <w:pPr>
        <w:autoSpaceDE w:val="0"/>
        <w:autoSpaceDN w:val="0"/>
        <w:adjustRightInd w:val="0"/>
        <w:snapToGrid w:val="0"/>
        <w:spacing w:line="360" w:lineRule="auto"/>
        <w:jc w:val="left"/>
        <w:rPr>
          <w:rFonts w:ascii="宋体" w:hAnsi="宋体"/>
          <w:b/>
          <w:color w:val="auto"/>
          <w:kern w:val="0"/>
          <w:sz w:val="20"/>
          <w:szCs w:val="20"/>
          <w:highlight w:val="none"/>
        </w:rPr>
      </w:pPr>
    </w:p>
    <w:p w14:paraId="4F8A7C56">
      <w:pPr>
        <w:autoSpaceDE w:val="0"/>
        <w:autoSpaceDN w:val="0"/>
        <w:adjustRightInd w:val="0"/>
        <w:snapToGrid w:val="0"/>
        <w:spacing w:line="360" w:lineRule="auto"/>
        <w:jc w:val="left"/>
        <w:rPr>
          <w:rFonts w:ascii="宋体" w:hAnsi="宋体"/>
          <w:b/>
          <w:color w:val="auto"/>
          <w:kern w:val="0"/>
          <w:sz w:val="20"/>
          <w:szCs w:val="20"/>
          <w:highlight w:val="none"/>
        </w:rPr>
      </w:pPr>
    </w:p>
    <w:p w14:paraId="66E020B3">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lang w:eastAsia="zh-CN"/>
        </w:rPr>
        <w:t>竞选人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4BA59A24">
      <w:pPr>
        <w:tabs>
          <w:tab w:val="left" w:pos="6080"/>
          <w:tab w:val="left" w:pos="6640"/>
        </w:tabs>
        <w:autoSpaceDE w:val="0"/>
        <w:autoSpaceDN w:val="0"/>
        <w:adjustRightInd w:val="0"/>
        <w:snapToGrid w:val="0"/>
        <w:spacing w:after="156" w:afterLines="50" w:line="36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21CD11FD">
      <w:pPr>
        <w:autoSpaceDE w:val="0"/>
        <w:autoSpaceDN w:val="0"/>
        <w:adjustRightInd w:val="0"/>
        <w:snapToGrid w:val="0"/>
        <w:spacing w:line="360" w:lineRule="auto"/>
        <w:jc w:val="center"/>
        <w:rPr>
          <w:rFonts w:ascii="宋体" w:hAnsi="宋体"/>
          <w:color w:val="auto"/>
          <w:kern w:val="0"/>
          <w:sz w:val="24"/>
          <w:szCs w:val="21"/>
          <w:highlight w:val="none"/>
        </w:rPr>
      </w:pP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年</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月</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日</w:t>
      </w:r>
      <w:r>
        <w:rPr>
          <w:rFonts w:ascii="宋体" w:hAnsi="宋体"/>
          <w:color w:val="auto"/>
          <w:kern w:val="0"/>
          <w:sz w:val="24"/>
          <w:szCs w:val="21"/>
          <w:highlight w:val="none"/>
        </w:rPr>
        <w:br w:type="page"/>
      </w:r>
    </w:p>
    <w:p w14:paraId="4A8BB472">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14:paraId="78FC9EF4">
      <w:pPr>
        <w:autoSpaceDE w:val="0"/>
        <w:autoSpaceDN w:val="0"/>
        <w:adjustRightInd w:val="0"/>
        <w:snapToGrid w:val="0"/>
        <w:spacing w:line="360" w:lineRule="auto"/>
        <w:jc w:val="left"/>
        <w:rPr>
          <w:rFonts w:ascii="宋体" w:hAnsi="宋体"/>
          <w:color w:val="auto"/>
          <w:kern w:val="0"/>
          <w:sz w:val="24"/>
          <w:szCs w:val="21"/>
          <w:highlight w:val="none"/>
        </w:rPr>
      </w:pPr>
    </w:p>
    <w:p w14:paraId="4FF52F27">
      <w:pPr>
        <w:autoSpaceDE w:val="0"/>
        <w:autoSpaceDN w:val="0"/>
        <w:adjustRightInd w:val="0"/>
        <w:spacing w:line="360"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（一）竞选函</w:t>
      </w:r>
    </w:p>
    <w:p w14:paraId="3B4F213F">
      <w:pPr>
        <w:autoSpaceDE w:val="0"/>
        <w:autoSpaceDN w:val="0"/>
        <w:adjustRightInd w:val="0"/>
        <w:spacing w:line="360"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（二）法定代表人身份证明或附有法定代表人身份证明的授权委托书</w:t>
      </w:r>
    </w:p>
    <w:p w14:paraId="3D90F43A">
      <w:pPr>
        <w:autoSpaceDE w:val="0"/>
        <w:autoSpaceDN w:val="0"/>
        <w:adjustRightInd w:val="0"/>
        <w:spacing w:line="360"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（三）类似项目情况表</w:t>
      </w:r>
    </w:p>
    <w:p w14:paraId="23764617">
      <w:pPr>
        <w:autoSpaceDE w:val="0"/>
        <w:autoSpaceDN w:val="0"/>
        <w:adjustRightInd w:val="0"/>
        <w:spacing w:line="360"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w:t>
      </w:r>
      <w:r>
        <w:rPr>
          <w:rFonts w:hint="eastAsia" w:ascii="宋体" w:hAnsi="宋体"/>
          <w:color w:val="auto"/>
          <w:kern w:val="0"/>
          <w:sz w:val="24"/>
          <w:highlight w:val="none"/>
          <w:lang w:val="en-US" w:eastAsia="zh-CN"/>
        </w:rPr>
        <w:t>四</w:t>
      </w:r>
      <w:r>
        <w:rPr>
          <w:rFonts w:hint="eastAsia" w:ascii="宋体" w:hAnsi="宋体"/>
          <w:color w:val="auto"/>
          <w:kern w:val="0"/>
          <w:sz w:val="24"/>
          <w:highlight w:val="none"/>
        </w:rPr>
        <w:t>）承诺</w:t>
      </w:r>
    </w:p>
    <w:p w14:paraId="5A8631A6">
      <w:pPr>
        <w:autoSpaceDE w:val="0"/>
        <w:autoSpaceDN w:val="0"/>
        <w:adjustRightInd w:val="0"/>
        <w:spacing w:line="360"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w:t>
      </w:r>
      <w:r>
        <w:rPr>
          <w:rFonts w:hint="eastAsia" w:ascii="宋体" w:hAnsi="宋体"/>
          <w:color w:val="auto"/>
          <w:kern w:val="0"/>
          <w:sz w:val="24"/>
          <w:highlight w:val="none"/>
          <w:lang w:val="en-US" w:eastAsia="zh-CN"/>
        </w:rPr>
        <w:t>五</w:t>
      </w:r>
      <w:r>
        <w:rPr>
          <w:rFonts w:hint="eastAsia" w:ascii="宋体" w:hAnsi="宋体"/>
          <w:color w:val="auto"/>
          <w:kern w:val="0"/>
          <w:sz w:val="24"/>
          <w:highlight w:val="none"/>
        </w:rPr>
        <w:t>）技术方案</w:t>
      </w:r>
    </w:p>
    <w:p w14:paraId="3B591693">
      <w:pPr>
        <w:autoSpaceDE w:val="0"/>
        <w:autoSpaceDN w:val="0"/>
        <w:adjustRightInd w:val="0"/>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w:t>
      </w:r>
      <w:r>
        <w:rPr>
          <w:rFonts w:hint="eastAsia" w:ascii="宋体" w:hAnsi="宋体"/>
          <w:color w:val="auto"/>
          <w:kern w:val="0"/>
          <w:sz w:val="24"/>
          <w:highlight w:val="none"/>
          <w:lang w:val="en-US" w:eastAsia="zh-CN"/>
        </w:rPr>
        <w:t>六</w:t>
      </w:r>
      <w:r>
        <w:rPr>
          <w:rFonts w:hint="eastAsia" w:ascii="宋体" w:hAnsi="宋体"/>
          <w:color w:val="auto"/>
          <w:kern w:val="0"/>
          <w:sz w:val="24"/>
          <w:highlight w:val="none"/>
        </w:rPr>
        <w:t>）其他资料</w:t>
      </w:r>
    </w:p>
    <w:p w14:paraId="1585053B">
      <w:pPr>
        <w:autoSpaceDE w:val="0"/>
        <w:autoSpaceDN w:val="0"/>
        <w:adjustRightInd w:val="0"/>
        <w:snapToGrid w:val="0"/>
        <w:spacing w:line="360" w:lineRule="auto"/>
        <w:jc w:val="left"/>
        <w:rPr>
          <w:rFonts w:ascii="宋体" w:hAnsi="宋体"/>
          <w:color w:val="auto"/>
          <w:w w:val="99"/>
          <w:kern w:val="0"/>
          <w:sz w:val="28"/>
          <w:szCs w:val="28"/>
          <w:highlight w:val="none"/>
        </w:rPr>
      </w:pPr>
    </w:p>
    <w:p w14:paraId="7F009875">
      <w:pPr>
        <w:pStyle w:val="4"/>
        <w:spacing w:before="0" w:after="0" w:line="400" w:lineRule="exact"/>
        <w:jc w:val="center"/>
        <w:rPr>
          <w:rFonts w:hint="eastAsia" w:ascii="宋体" w:hAnsi="宋体" w:eastAsia="宋体"/>
          <w:b w:val="0"/>
          <w:color w:val="auto"/>
          <w:highlight w:val="none"/>
          <w:lang w:eastAsia="zh-CN"/>
        </w:rPr>
      </w:pPr>
      <w:bookmarkStart w:id="503" w:name="_Toc224103495"/>
      <w:bookmarkStart w:id="504" w:name="_Toc287607867"/>
      <w:bookmarkStart w:id="505" w:name="_Toc509218854"/>
      <w:bookmarkStart w:id="506" w:name="_Toc534185831"/>
      <w:bookmarkStart w:id="507" w:name="_Toc430530530"/>
      <w:bookmarkStart w:id="508" w:name="_Toc287620814"/>
      <w:bookmarkStart w:id="509" w:name="_Toc277082643"/>
      <w:r>
        <w:rPr>
          <w:rFonts w:ascii="宋体" w:hAnsi="宋体"/>
          <w:color w:val="auto"/>
          <w:highlight w:val="none"/>
        </w:rPr>
        <w:br w:type="page"/>
      </w:r>
      <w:bookmarkStart w:id="510" w:name="_Toc26071"/>
      <w:bookmarkStart w:id="511" w:name="_Toc882"/>
      <w:bookmarkStart w:id="512" w:name="_Toc4019"/>
      <w:r>
        <w:rPr>
          <w:rFonts w:hint="eastAsia"/>
          <w:color w:val="auto"/>
          <w:highlight w:val="none"/>
        </w:rPr>
        <w:t>（一）</w:t>
      </w:r>
      <w:bookmarkEnd w:id="503"/>
      <w:bookmarkEnd w:id="504"/>
      <w:bookmarkEnd w:id="505"/>
      <w:bookmarkEnd w:id="506"/>
      <w:bookmarkEnd w:id="507"/>
      <w:bookmarkEnd w:id="508"/>
      <w:bookmarkEnd w:id="509"/>
      <w:bookmarkEnd w:id="510"/>
      <w:r>
        <w:rPr>
          <w:rFonts w:hint="eastAsia"/>
          <w:color w:val="auto"/>
          <w:highlight w:val="none"/>
          <w:lang w:eastAsia="zh-CN"/>
        </w:rPr>
        <w:t>竞选函</w:t>
      </w:r>
      <w:bookmarkEnd w:id="511"/>
      <w:bookmarkEnd w:id="512"/>
    </w:p>
    <w:p w14:paraId="4E59153C">
      <w:pPr>
        <w:tabs>
          <w:tab w:val="left" w:pos="2640"/>
        </w:tabs>
        <w:autoSpaceDE w:val="0"/>
        <w:autoSpaceDN w:val="0"/>
        <w:adjustRightInd w:val="0"/>
        <w:spacing w:line="400" w:lineRule="exact"/>
        <w:rPr>
          <w:rFonts w:ascii="宋体" w:hAnsi="宋体"/>
          <w:snapToGrid w:val="0"/>
          <w:color w:val="auto"/>
          <w:kern w:val="0"/>
          <w:szCs w:val="21"/>
          <w:highlight w:val="none"/>
        </w:rPr>
      </w:pP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w:t>
      </w:r>
      <w:r>
        <w:rPr>
          <w:rFonts w:hint="eastAsia" w:ascii="宋体" w:hAnsi="宋体"/>
          <w:snapToGrid w:val="0"/>
          <w:color w:val="auto"/>
          <w:kern w:val="0"/>
          <w:szCs w:val="21"/>
          <w:highlight w:val="none"/>
          <w:u w:val="single"/>
          <w:lang w:eastAsia="zh-CN"/>
        </w:rPr>
        <w:t>比选人</w:t>
      </w:r>
      <w:r>
        <w:rPr>
          <w:rFonts w:ascii="宋体" w:hAnsi="宋体"/>
          <w:snapToGrid w:val="0"/>
          <w:color w:val="auto"/>
          <w:kern w:val="0"/>
          <w:szCs w:val="21"/>
          <w:highlight w:val="none"/>
          <w:u w:val="single"/>
        </w:rPr>
        <w:t>名称）</w:t>
      </w:r>
      <w:r>
        <w:rPr>
          <w:rFonts w:ascii="宋体" w:hAnsi="宋体"/>
          <w:snapToGrid w:val="0"/>
          <w:color w:val="auto"/>
          <w:kern w:val="0"/>
          <w:szCs w:val="21"/>
          <w:highlight w:val="none"/>
        </w:rPr>
        <w:t>：</w:t>
      </w:r>
    </w:p>
    <w:p w14:paraId="2EFE7F2B">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我方已仔细研究了</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（项目名称）</w:t>
      </w:r>
      <w:r>
        <w:rPr>
          <w:rFonts w:ascii="宋体" w:hAnsi="宋体"/>
          <w:snapToGrid w:val="0"/>
          <w:color w:val="auto"/>
          <w:kern w:val="0"/>
          <w:szCs w:val="21"/>
          <w:highlight w:val="none"/>
        </w:rPr>
        <w:t>招标文件的全部内容，</w:t>
      </w:r>
      <w:r>
        <w:rPr>
          <w:rFonts w:ascii="宋体" w:hAnsi="宋体"/>
          <w:snapToGrid w:val="0"/>
          <w:color w:val="auto"/>
          <w:kern w:val="0"/>
          <w:szCs w:val="21"/>
          <w:highlight w:val="none"/>
        </w:rPr>
        <w:t>愿意以人民币（大写）</w:t>
      </w:r>
      <w:r>
        <w:rPr>
          <w:rFonts w:ascii="宋体" w:hAnsi="宋体"/>
          <w:snapToGrid w:val="0"/>
          <w:color w:val="auto"/>
          <w:kern w:val="0"/>
          <w:szCs w:val="21"/>
          <w:highlight w:val="none"/>
          <w:u w:val="single"/>
        </w:rPr>
        <w:tab/>
      </w:r>
      <w:r>
        <w:rPr>
          <w:rFonts w:hint="eastAsia" w:ascii="宋体" w:hAnsi="宋体"/>
          <w:snapToGrid w:val="0"/>
          <w:color w:val="auto"/>
          <w:kern w:val="0"/>
          <w:szCs w:val="21"/>
          <w:highlight w:val="none"/>
          <w:u w:val="single"/>
          <w:lang w:val="en-US" w:eastAsia="zh-CN"/>
        </w:rPr>
        <w:t>元/亩/年</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ab/>
      </w:r>
      <w:r>
        <w:rPr>
          <w:rFonts w:hint="eastAsia" w:ascii="宋体" w:hAnsi="宋体"/>
          <w:snapToGrid w:val="0"/>
          <w:color w:val="auto"/>
          <w:kern w:val="0"/>
          <w:szCs w:val="21"/>
          <w:highlight w:val="none"/>
          <w:u w:val="single"/>
          <w:lang w:val="en-US" w:eastAsia="zh-CN"/>
        </w:rPr>
        <w:t>元/亩/年</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作为每亩管护费</w:t>
      </w:r>
      <w:r>
        <w:rPr>
          <w:rFonts w:ascii="宋体" w:hAnsi="宋体"/>
          <w:snapToGrid w:val="0"/>
          <w:color w:val="auto"/>
          <w:kern w:val="0"/>
          <w:szCs w:val="21"/>
          <w:highlight w:val="none"/>
        </w:rPr>
        <w:t>进行报价，</w:t>
      </w:r>
      <w:r>
        <w:rPr>
          <w:rFonts w:hint="eastAsia" w:ascii="宋体" w:hAnsi="宋体"/>
          <w:snapToGrid w:val="0"/>
          <w:color w:val="auto"/>
          <w:kern w:val="0"/>
          <w:szCs w:val="21"/>
          <w:highlight w:val="none"/>
          <w:lang w:val="en-US" w:eastAsia="zh-CN"/>
        </w:rPr>
        <w:t>暂定</w:t>
      </w:r>
      <w:r>
        <w:rPr>
          <w:rFonts w:ascii="宋体" w:hAnsi="宋体"/>
          <w:snapToGrid w:val="0"/>
          <w:color w:val="auto"/>
          <w:kern w:val="0"/>
          <w:szCs w:val="21"/>
          <w:highlight w:val="none"/>
        </w:rPr>
        <w:t>的投标总报价</w:t>
      </w:r>
      <w:r>
        <w:rPr>
          <w:rFonts w:hint="eastAsia" w:ascii="宋体" w:hAnsi="宋体"/>
          <w:snapToGrid w:val="0"/>
          <w:color w:val="auto"/>
          <w:kern w:val="0"/>
          <w:szCs w:val="21"/>
          <w:highlight w:val="none"/>
          <w:lang w:val="en-US" w:eastAsia="zh-CN"/>
        </w:rPr>
        <w:t>为</w:t>
      </w:r>
      <w:r>
        <w:rPr>
          <w:rFonts w:hint="eastAsia" w:ascii="宋体" w:hAnsi="宋体"/>
          <w:snapToGrid w:val="0"/>
          <w:color w:val="auto"/>
          <w:kern w:val="0"/>
          <w:szCs w:val="21"/>
          <w:highlight w:val="none"/>
          <w:u w:val="single"/>
          <w:lang w:val="en-US" w:eastAsia="zh-CN"/>
        </w:rPr>
        <w:t xml:space="preserve">           </w:t>
      </w:r>
      <w:r>
        <w:rPr>
          <w:rFonts w:hint="eastAsia" w:ascii="宋体" w:hAnsi="宋体"/>
          <w:snapToGrid w:val="0"/>
          <w:color w:val="auto"/>
          <w:kern w:val="0"/>
          <w:szCs w:val="21"/>
          <w:highlight w:val="none"/>
          <w:lang w:val="en-US" w:eastAsia="zh-CN"/>
        </w:rPr>
        <w:t>元</w:t>
      </w:r>
      <w:r>
        <w:rPr>
          <w:rFonts w:hint="eastAsia" w:ascii="宋体" w:hAnsi="宋体"/>
          <w:snapToGrid w:val="0"/>
          <w:color w:val="auto"/>
          <w:kern w:val="0"/>
          <w:szCs w:val="21"/>
          <w:highlight w:val="none"/>
          <w:lang w:val="en-US" w:eastAsia="zh-CN"/>
        </w:rPr>
        <w:t>，</w:t>
      </w:r>
      <w:r>
        <w:rPr>
          <w:rFonts w:hint="eastAsia" w:ascii="宋体" w:hAnsi="宋体"/>
          <w:snapToGrid w:val="0"/>
          <w:color w:val="auto"/>
          <w:kern w:val="0"/>
          <w:szCs w:val="21"/>
          <w:highlight w:val="none"/>
        </w:rPr>
        <w:t>委托代理人为：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，身份证号码为</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。工期</w:t>
      </w:r>
      <w:r>
        <w:rPr>
          <w:rFonts w:hint="eastAsia" w:ascii="宋体" w:hAnsi="宋体"/>
          <w:snapToGrid w:val="0"/>
          <w:color w:val="auto"/>
          <w:kern w:val="0"/>
          <w:szCs w:val="21"/>
          <w:highlight w:val="none"/>
        </w:rPr>
        <w:t>达到招标文件的要求</w:t>
      </w:r>
      <w:r>
        <w:rPr>
          <w:rFonts w:ascii="宋体" w:hAnsi="宋体"/>
          <w:snapToGrid w:val="0"/>
          <w:color w:val="auto"/>
          <w:kern w:val="0"/>
          <w:szCs w:val="21"/>
          <w:highlight w:val="none"/>
        </w:rPr>
        <w:t>，按合同约定实施和完成</w:t>
      </w:r>
      <w:r>
        <w:rPr>
          <w:rFonts w:hint="eastAsia" w:ascii="宋体" w:hAnsi="宋体"/>
          <w:snapToGrid w:val="0"/>
          <w:color w:val="auto"/>
          <w:kern w:val="0"/>
          <w:szCs w:val="21"/>
          <w:highlight w:val="none"/>
          <w:lang w:val="en-US" w:eastAsia="zh-CN"/>
        </w:rPr>
        <w:t>本项目</w:t>
      </w:r>
      <w:r>
        <w:rPr>
          <w:rFonts w:ascii="宋体" w:hAnsi="宋体"/>
          <w:snapToGrid w:val="0"/>
          <w:color w:val="auto"/>
          <w:kern w:val="0"/>
          <w:szCs w:val="21"/>
          <w:highlight w:val="none"/>
        </w:rPr>
        <w:t>，工程质量达到</w:t>
      </w:r>
      <w:r>
        <w:rPr>
          <w:rFonts w:hint="eastAsia" w:ascii="宋体" w:hAnsi="宋体"/>
          <w:snapToGrid w:val="0"/>
          <w:color w:val="auto"/>
          <w:kern w:val="0"/>
          <w:szCs w:val="21"/>
          <w:highlight w:val="none"/>
        </w:rPr>
        <w:t>招标文件的要求</w:t>
      </w:r>
      <w:r>
        <w:rPr>
          <w:rFonts w:ascii="宋体" w:hAnsi="宋体"/>
          <w:snapToGrid w:val="0"/>
          <w:color w:val="auto"/>
          <w:kern w:val="0"/>
          <w:szCs w:val="21"/>
          <w:highlight w:val="none"/>
        </w:rPr>
        <w:t>。</w:t>
      </w:r>
    </w:p>
    <w:p w14:paraId="6081DDCD">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我方承诺</w:t>
      </w:r>
      <w:r>
        <w:rPr>
          <w:rFonts w:hint="eastAsia" w:ascii="宋体" w:hAnsi="宋体"/>
          <w:snapToGrid w:val="0"/>
          <w:color w:val="auto"/>
          <w:kern w:val="0"/>
          <w:szCs w:val="21"/>
          <w:highlight w:val="none"/>
        </w:rPr>
        <w:t>响应招标文件规定的投标有效期，</w:t>
      </w:r>
      <w:r>
        <w:rPr>
          <w:rFonts w:ascii="宋体" w:hAnsi="宋体"/>
          <w:snapToGrid w:val="0"/>
          <w:color w:val="auto"/>
          <w:kern w:val="0"/>
          <w:szCs w:val="21"/>
          <w:highlight w:val="none"/>
        </w:rPr>
        <w:t>在投标有效期内不修改、撤销</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w:t>
      </w:r>
    </w:p>
    <w:p w14:paraId="03B6B191">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如我方中标：</w:t>
      </w:r>
    </w:p>
    <w:p w14:paraId="0468E344">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（1）我方承诺在收到中标通知书后，在中标通知书规定的期限内与你方签订合同。</w:t>
      </w:r>
    </w:p>
    <w:p w14:paraId="62792715">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（2）随同本</w:t>
      </w:r>
      <w:r>
        <w:rPr>
          <w:rFonts w:hint="eastAsia" w:ascii="宋体" w:hAnsi="宋体"/>
          <w:snapToGrid w:val="0"/>
          <w:color w:val="auto"/>
          <w:kern w:val="0"/>
          <w:szCs w:val="21"/>
          <w:highlight w:val="none"/>
          <w:lang w:eastAsia="zh-CN"/>
        </w:rPr>
        <w:t>竞选函</w:t>
      </w:r>
      <w:r>
        <w:rPr>
          <w:rFonts w:ascii="宋体" w:hAnsi="宋体"/>
          <w:snapToGrid w:val="0"/>
          <w:color w:val="auto"/>
          <w:kern w:val="0"/>
          <w:szCs w:val="21"/>
          <w:highlight w:val="none"/>
        </w:rPr>
        <w:t>递交的</w:t>
      </w:r>
      <w:r>
        <w:rPr>
          <w:rFonts w:hint="eastAsia" w:ascii="宋体" w:hAnsi="宋体"/>
          <w:snapToGrid w:val="0"/>
          <w:color w:val="auto"/>
          <w:kern w:val="0"/>
          <w:szCs w:val="21"/>
          <w:highlight w:val="none"/>
          <w:lang w:eastAsia="zh-CN"/>
        </w:rPr>
        <w:t>竞选函</w:t>
      </w:r>
      <w:r>
        <w:rPr>
          <w:rFonts w:ascii="宋体" w:hAnsi="宋体"/>
          <w:snapToGrid w:val="0"/>
          <w:color w:val="auto"/>
          <w:kern w:val="0"/>
          <w:szCs w:val="21"/>
          <w:highlight w:val="none"/>
        </w:rPr>
        <w:t>附录属于合同文件的组成部分。</w:t>
      </w:r>
    </w:p>
    <w:p w14:paraId="442B852D">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（3）我方承诺按照招标文件规定向你方递交履约担保。</w:t>
      </w:r>
    </w:p>
    <w:p w14:paraId="2B646A42">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（4）我方承诺在合同约定的期限内完成并移交全部合同工程。</w:t>
      </w:r>
    </w:p>
    <w:p w14:paraId="32FDDEF1">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hint="eastAsia" w:ascii="宋体" w:hAnsi="宋体"/>
          <w:snapToGrid w:val="0"/>
          <w:color w:val="auto"/>
          <w:kern w:val="0"/>
          <w:szCs w:val="21"/>
          <w:highlight w:val="none"/>
        </w:rPr>
        <w:t>（5）我方承诺以不低于招标文件</w:t>
      </w:r>
      <w:r>
        <w:rPr>
          <w:rFonts w:hint="eastAsia" w:ascii="宋体" w:hAnsi="宋体"/>
          <w:snapToGrid w:val="0"/>
          <w:color w:val="auto"/>
          <w:kern w:val="0"/>
          <w:szCs w:val="21"/>
          <w:highlight w:val="none"/>
          <w:lang w:eastAsia="zh-CN"/>
        </w:rPr>
        <w:t>第五章</w:t>
      </w:r>
      <w:r>
        <w:rPr>
          <w:rFonts w:hint="eastAsia" w:ascii="宋体" w:hAnsi="宋体"/>
          <w:snapToGrid w:val="0"/>
          <w:color w:val="auto"/>
          <w:kern w:val="0"/>
          <w:szCs w:val="21"/>
          <w:highlight w:val="none"/>
        </w:rPr>
        <w:t xml:space="preserve"> 技术标准和要求中所列的技术指标和参数要求完成全部合同工程。</w:t>
      </w:r>
    </w:p>
    <w:p w14:paraId="69DB11CC">
      <w:pPr>
        <w:tabs>
          <w:tab w:val="left" w:pos="5985"/>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4</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w:t>
      </w:r>
      <w:r>
        <w:rPr>
          <w:rFonts w:ascii="宋体" w:hAnsi="宋体"/>
          <w:snapToGrid w:val="0"/>
          <w:color w:val="auto"/>
          <w:spacing w:val="-2"/>
          <w:kern w:val="0"/>
          <w:szCs w:val="21"/>
          <w:highlight w:val="none"/>
        </w:rPr>
        <w:t>在此声明，所递交的</w:t>
      </w:r>
      <w:r>
        <w:rPr>
          <w:rFonts w:hint="eastAsia" w:ascii="宋体" w:hAnsi="宋体"/>
          <w:snapToGrid w:val="0"/>
          <w:color w:val="auto"/>
          <w:spacing w:val="-2"/>
          <w:kern w:val="0"/>
          <w:szCs w:val="21"/>
          <w:highlight w:val="none"/>
          <w:lang w:eastAsia="zh-CN"/>
        </w:rPr>
        <w:t>竞选文件</w:t>
      </w:r>
      <w:r>
        <w:rPr>
          <w:rFonts w:ascii="宋体" w:hAnsi="宋体"/>
          <w:snapToGrid w:val="0"/>
          <w:color w:val="auto"/>
          <w:spacing w:val="-2"/>
          <w:kern w:val="0"/>
          <w:szCs w:val="21"/>
          <w:highlight w:val="none"/>
        </w:rPr>
        <w:t>及有关资料内容完整、真实和准确，且不存在第二章“</w:t>
      </w:r>
      <w:r>
        <w:rPr>
          <w:rFonts w:hint="eastAsia" w:ascii="宋体" w:hAnsi="宋体"/>
          <w:snapToGrid w:val="0"/>
          <w:color w:val="auto"/>
          <w:spacing w:val="-2"/>
          <w:kern w:val="0"/>
          <w:szCs w:val="21"/>
          <w:highlight w:val="none"/>
          <w:lang w:eastAsia="zh-CN"/>
        </w:rPr>
        <w:t>竞选人</w:t>
      </w:r>
      <w:r>
        <w:rPr>
          <w:rFonts w:ascii="宋体" w:hAnsi="宋体"/>
          <w:snapToGrid w:val="0"/>
          <w:color w:val="auto"/>
          <w:kern w:val="0"/>
          <w:szCs w:val="21"/>
          <w:highlight w:val="none"/>
        </w:rPr>
        <w:t>须知”第 1.4.3 项规定的任何一种情形。同时我方承诺接受招标文件及附件、澄清及</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通知中所有的内容。</w:t>
      </w:r>
    </w:p>
    <w:p w14:paraId="178D1FF0">
      <w:pPr>
        <w:tabs>
          <w:tab w:val="left" w:pos="5985"/>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5</w:t>
      </w:r>
      <w:r>
        <w:rPr>
          <w:rFonts w:hint="eastAsia" w:ascii="宋体" w:hAnsi="宋体"/>
          <w:snapToGrid w:val="0"/>
          <w:color w:val="auto"/>
          <w:kern w:val="0"/>
          <w:szCs w:val="21"/>
          <w:highlight w:val="none"/>
        </w:rPr>
        <w:t xml:space="preserve">. </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（其他补充说明）</w:t>
      </w:r>
      <w:r>
        <w:rPr>
          <w:rFonts w:ascii="宋体" w:hAnsi="宋体"/>
          <w:snapToGrid w:val="0"/>
          <w:color w:val="auto"/>
          <w:kern w:val="0"/>
          <w:szCs w:val="21"/>
          <w:highlight w:val="none"/>
        </w:rPr>
        <w:t>。</w:t>
      </w:r>
    </w:p>
    <w:p w14:paraId="2A2C25B6">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投  标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14:paraId="2F71EBD5">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w:t>
      </w:r>
      <w:r>
        <w:rPr>
          <w:rFonts w:hint="eastAsia" w:ascii="宋体" w:hAnsi="宋体"/>
          <w:snapToGrid w:val="0"/>
          <w:color w:val="auto"/>
          <w:kern w:val="0"/>
          <w:szCs w:val="21"/>
          <w:highlight w:val="none"/>
        </w:rPr>
        <w:t>或其委托代理人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p>
    <w:p w14:paraId="45451948">
      <w:pPr>
        <w:tabs>
          <w:tab w:val="left" w:pos="7035"/>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地</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5479A5DD">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网</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40FD121D">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单位电话（座机）：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委托代理人电话（手机）：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767BBD2B">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传</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真：</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03876521">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u w:val="single"/>
        </w:rPr>
      </w:pPr>
      <w:r>
        <w:rPr>
          <w:rFonts w:ascii="宋体" w:hAnsi="宋体"/>
          <w:snapToGrid w:val="0"/>
          <w:color w:val="auto"/>
          <w:kern w:val="0"/>
          <w:szCs w:val="21"/>
          <w:highlight w:val="none"/>
        </w:rPr>
        <w:t>邮政编码：</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0E617923">
      <w:pPr>
        <w:tabs>
          <w:tab w:val="left" w:pos="8300"/>
        </w:tabs>
        <w:autoSpaceDE w:val="0"/>
        <w:autoSpaceDN w:val="0"/>
        <w:adjustRightInd w:val="0"/>
        <w:spacing w:line="400" w:lineRule="exact"/>
        <w:ind w:firstLine="400" w:firstLineChars="200"/>
        <w:rPr>
          <w:rFonts w:ascii="宋体" w:hAnsi="宋体"/>
          <w:snapToGrid w:val="0"/>
          <w:color w:val="auto"/>
          <w:kern w:val="0"/>
          <w:sz w:val="20"/>
          <w:szCs w:val="20"/>
          <w:highlight w:val="none"/>
        </w:rPr>
      </w:pPr>
    </w:p>
    <w:p w14:paraId="31FE5902">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7BD9F6B0">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rPr>
      </w:pPr>
    </w:p>
    <w:p w14:paraId="18E55E8B">
      <w:pPr>
        <w:tabs>
          <w:tab w:val="left" w:pos="8300"/>
        </w:tabs>
        <w:autoSpaceDE w:val="0"/>
        <w:autoSpaceDN w:val="0"/>
        <w:adjustRightInd w:val="0"/>
        <w:spacing w:line="400" w:lineRule="exact"/>
        <w:ind w:firstLine="400" w:firstLineChars="200"/>
        <w:jc w:val="right"/>
        <w:rPr>
          <w:rFonts w:ascii="宋体" w:hAnsi="宋体"/>
          <w:snapToGrid w:val="0"/>
          <w:color w:val="auto"/>
          <w:kern w:val="0"/>
          <w:sz w:val="20"/>
          <w:szCs w:val="20"/>
          <w:highlight w:val="none"/>
        </w:rPr>
      </w:pPr>
    </w:p>
    <w:p w14:paraId="3F8D4C83">
      <w:pPr>
        <w:pStyle w:val="4"/>
        <w:jc w:val="center"/>
        <w:rPr>
          <w:rFonts w:ascii="宋体" w:hAnsi="宋体"/>
          <w:b w:val="0"/>
          <w:snapToGrid w:val="0"/>
          <w:color w:val="auto"/>
          <w:kern w:val="0"/>
          <w:sz w:val="30"/>
          <w:szCs w:val="30"/>
          <w:highlight w:val="none"/>
        </w:rPr>
      </w:pPr>
      <w:bookmarkStart w:id="513" w:name="_Toc287620815"/>
      <w:bookmarkStart w:id="514" w:name="_Toc224103496"/>
      <w:bookmarkStart w:id="515" w:name="_Toc287607868"/>
      <w:bookmarkStart w:id="516" w:name="_Toc430530531"/>
      <w:bookmarkStart w:id="517" w:name="_Toc277082644"/>
      <w:r>
        <w:rPr>
          <w:rFonts w:ascii="宋体" w:hAnsi="宋体"/>
          <w:color w:val="auto"/>
          <w:sz w:val="28"/>
          <w:highlight w:val="none"/>
        </w:rPr>
        <w:br w:type="page"/>
      </w:r>
      <w:bookmarkStart w:id="518" w:name="_Toc6045"/>
      <w:bookmarkStart w:id="519" w:name="_Toc509218855"/>
      <w:bookmarkStart w:id="520" w:name="_Toc30967"/>
      <w:bookmarkStart w:id="521" w:name="_Toc534185832"/>
      <w:bookmarkStart w:id="522" w:name="_Toc24965"/>
      <w:r>
        <w:rPr>
          <w:color w:val="auto"/>
          <w:highlight w:val="none"/>
        </w:rPr>
        <w:t>（二）</w:t>
      </w:r>
      <w:bookmarkEnd w:id="513"/>
      <w:bookmarkEnd w:id="514"/>
      <w:bookmarkEnd w:id="515"/>
      <w:bookmarkEnd w:id="516"/>
      <w:bookmarkEnd w:id="517"/>
      <w:bookmarkEnd w:id="518"/>
      <w:bookmarkEnd w:id="519"/>
      <w:bookmarkEnd w:id="520"/>
      <w:bookmarkEnd w:id="521"/>
      <w:bookmarkStart w:id="523" w:name="_Toc224103497"/>
      <w:bookmarkStart w:id="524" w:name="_Toc8650"/>
      <w:bookmarkStart w:id="525" w:name="_Toc287620816"/>
      <w:bookmarkStart w:id="526" w:name="_Toc20860"/>
      <w:bookmarkStart w:id="527" w:name="_Toc277082645"/>
      <w:bookmarkStart w:id="528" w:name="_Toc430530532"/>
      <w:bookmarkStart w:id="529" w:name="_Toc287607869"/>
      <w:r>
        <w:rPr>
          <w:rFonts w:hint="eastAsia"/>
          <w:color w:val="auto"/>
          <w:sz w:val="30"/>
          <w:szCs w:val="30"/>
          <w:highlight w:val="none"/>
        </w:rPr>
        <w:t>法定代表人身份证明或附有法定代表人身份证明的授权委托书</w:t>
      </w:r>
      <w:bookmarkEnd w:id="522"/>
      <w:bookmarkEnd w:id="523"/>
      <w:bookmarkEnd w:id="524"/>
      <w:bookmarkEnd w:id="525"/>
      <w:bookmarkEnd w:id="526"/>
      <w:bookmarkEnd w:id="527"/>
      <w:bookmarkEnd w:id="528"/>
      <w:bookmarkEnd w:id="529"/>
    </w:p>
    <w:p w14:paraId="4FF170E9">
      <w:pP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14:paraId="058A3349">
      <w:pPr>
        <w:spacing w:line="480" w:lineRule="auto"/>
        <w:jc w:val="center"/>
        <w:rPr>
          <w:rFonts w:ascii="宋体" w:hAnsi="宋体"/>
          <w:color w:val="auto"/>
          <w:highlight w:val="none"/>
        </w:rPr>
      </w:pPr>
    </w:p>
    <w:p w14:paraId="16919ADA">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5A76F722">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21FD1CF1">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1DB6290F">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267AE0DC">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57013796">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19F4F800">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eastAsia="zh-CN"/>
        </w:rPr>
        <w:t>竞选人</w:t>
      </w:r>
      <w:r>
        <w:rPr>
          <w:rFonts w:ascii="宋体" w:hAnsi="宋体"/>
          <w:color w:val="auto"/>
          <w:kern w:val="0"/>
          <w:szCs w:val="21"/>
          <w:highlight w:val="none"/>
          <w:u w:val="single"/>
        </w:rPr>
        <w:t>名称）</w:t>
      </w:r>
      <w:r>
        <w:rPr>
          <w:rFonts w:ascii="宋体" w:hAnsi="宋体"/>
          <w:color w:val="auto"/>
          <w:kern w:val="0"/>
          <w:szCs w:val="21"/>
          <w:highlight w:val="none"/>
        </w:rPr>
        <w:t>的法定代表人。</w:t>
      </w:r>
    </w:p>
    <w:p w14:paraId="0862638D">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特此证明。</w:t>
      </w:r>
    </w:p>
    <w:p w14:paraId="4D68F2CA">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附：法定代表人身份证复印件（双面）</w:t>
      </w:r>
    </w:p>
    <w:p w14:paraId="68250027">
      <w:pPr>
        <w:pStyle w:val="17"/>
        <w:spacing w:after="0" w:line="360" w:lineRule="auto"/>
        <w:rPr>
          <w:rFonts w:ascii="宋体" w:hAnsi="宋体"/>
          <w:color w:val="auto"/>
          <w:szCs w:val="21"/>
          <w:highlight w:val="none"/>
        </w:rPr>
      </w:pPr>
    </w:p>
    <w:p w14:paraId="44531C53">
      <w:pPr>
        <w:pStyle w:val="17"/>
        <w:spacing w:after="0" w:line="360" w:lineRule="auto"/>
        <w:rPr>
          <w:rFonts w:ascii="宋体" w:hAnsi="宋体"/>
          <w:color w:val="auto"/>
          <w:szCs w:val="21"/>
          <w:highlight w:val="none"/>
        </w:rPr>
      </w:pPr>
    </w:p>
    <w:p w14:paraId="2B10ACDE">
      <w:pPr>
        <w:pStyle w:val="17"/>
        <w:spacing w:after="0" w:line="360" w:lineRule="auto"/>
        <w:rPr>
          <w:rFonts w:ascii="宋体" w:hAnsi="宋体"/>
          <w:color w:val="auto"/>
          <w:szCs w:val="21"/>
          <w:highlight w:val="none"/>
        </w:rPr>
      </w:pPr>
    </w:p>
    <w:p w14:paraId="6BA3519B">
      <w:pPr>
        <w:pStyle w:val="17"/>
        <w:spacing w:after="0" w:line="360" w:lineRule="auto"/>
        <w:rPr>
          <w:rFonts w:ascii="宋体" w:hAnsi="宋体"/>
          <w:color w:val="auto"/>
          <w:szCs w:val="21"/>
          <w:highlight w:val="none"/>
        </w:rPr>
      </w:pPr>
    </w:p>
    <w:p w14:paraId="7056A343">
      <w:pPr>
        <w:pStyle w:val="17"/>
        <w:spacing w:after="0" w:line="360" w:lineRule="auto"/>
        <w:rPr>
          <w:rFonts w:ascii="宋体" w:hAnsi="宋体"/>
          <w:color w:val="auto"/>
          <w:szCs w:val="21"/>
          <w:highlight w:val="none"/>
        </w:rPr>
      </w:pPr>
    </w:p>
    <w:p w14:paraId="552AF9DB">
      <w:pPr>
        <w:pStyle w:val="17"/>
        <w:spacing w:after="0" w:line="360" w:lineRule="auto"/>
        <w:rPr>
          <w:rFonts w:ascii="宋体" w:hAnsi="宋体"/>
          <w:color w:val="auto"/>
          <w:szCs w:val="21"/>
          <w:highlight w:val="none"/>
        </w:rPr>
      </w:pPr>
    </w:p>
    <w:p w14:paraId="79214AA2">
      <w:pPr>
        <w:autoSpaceDE w:val="0"/>
        <w:autoSpaceDN w:val="0"/>
        <w:adjustRightInd w:val="0"/>
        <w:snapToGrid w:val="0"/>
        <w:spacing w:line="480" w:lineRule="auto"/>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14:paraId="460FBDB4">
      <w:pPr>
        <w:autoSpaceDE w:val="0"/>
        <w:autoSpaceDN w:val="0"/>
        <w:adjustRightInd w:val="0"/>
        <w:snapToGrid w:val="0"/>
        <w:spacing w:line="480" w:lineRule="auto"/>
        <w:jc w:val="left"/>
        <w:rPr>
          <w:rFonts w:ascii="宋体" w:hAnsi="宋体"/>
          <w:color w:val="auto"/>
          <w:kern w:val="0"/>
          <w:sz w:val="20"/>
          <w:szCs w:val="20"/>
          <w:highlight w:val="none"/>
        </w:rPr>
      </w:pPr>
    </w:p>
    <w:p w14:paraId="703DFD0E">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7DB90814">
      <w:pPr>
        <w:autoSpaceDE w:val="0"/>
        <w:autoSpaceDN w:val="0"/>
        <w:adjustRightInd w:val="0"/>
        <w:snapToGrid w:val="0"/>
        <w:spacing w:line="360" w:lineRule="auto"/>
        <w:jc w:val="left"/>
        <w:rPr>
          <w:rFonts w:ascii="宋体" w:hAnsi="宋体"/>
          <w:color w:val="auto"/>
          <w:kern w:val="0"/>
          <w:highlight w:val="none"/>
        </w:rPr>
      </w:pPr>
    </w:p>
    <w:p w14:paraId="4B851DB4">
      <w:pPr>
        <w:autoSpaceDE w:val="0"/>
        <w:autoSpaceDN w:val="0"/>
        <w:adjustRightInd w:val="0"/>
        <w:snapToGrid w:val="0"/>
        <w:spacing w:line="360" w:lineRule="auto"/>
        <w:jc w:val="left"/>
        <w:rPr>
          <w:rFonts w:ascii="宋体" w:hAnsi="宋体"/>
          <w:color w:val="auto"/>
          <w:kern w:val="0"/>
          <w:highlight w:val="none"/>
        </w:rPr>
      </w:pPr>
    </w:p>
    <w:p w14:paraId="3D37E919">
      <w:pPr>
        <w:spacing w:line="360" w:lineRule="auto"/>
        <w:ind w:firstLine="420" w:firstLineChars="200"/>
        <w:rPr>
          <w:rFonts w:ascii="宋体" w:hAnsi="宋体"/>
          <w:color w:val="auto"/>
          <w:highlight w:val="none"/>
        </w:rPr>
      </w:pPr>
      <w:r>
        <w:rPr>
          <w:rFonts w:ascii="宋体" w:hAnsi="宋体"/>
          <w:color w:val="auto"/>
          <w:highlight w:val="none"/>
        </w:rPr>
        <w:t>注：法定代表人身份证明需按上述格式填写完整，不可缺少内容。在此基础上增加内容的不影响其有效性。</w:t>
      </w:r>
    </w:p>
    <w:p w14:paraId="2E4C78BF">
      <w:pPr>
        <w:autoSpaceDE w:val="0"/>
        <w:autoSpaceDN w:val="0"/>
        <w:adjustRightInd w:val="0"/>
        <w:snapToGrid w:val="0"/>
        <w:spacing w:line="360" w:lineRule="auto"/>
        <w:jc w:val="left"/>
        <w:rPr>
          <w:rFonts w:ascii="宋体" w:hAnsi="宋体"/>
          <w:color w:val="auto"/>
          <w:kern w:val="0"/>
          <w:highlight w:val="none"/>
        </w:rPr>
      </w:pPr>
    </w:p>
    <w:p w14:paraId="1FA25EB2">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0"/>
          <w:szCs w:val="20"/>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14:paraId="2E6303FD">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w:t>
      </w:r>
      <w:r>
        <w:rPr>
          <w:rFonts w:hint="eastAsia" w:ascii="宋体" w:hAnsi="宋体"/>
          <w:color w:val="auto"/>
          <w:spacing w:val="-1"/>
          <w:kern w:val="0"/>
          <w:szCs w:val="21"/>
          <w:highlight w:val="none"/>
          <w:u w:val="single"/>
          <w:lang w:eastAsia="zh-CN"/>
        </w:rPr>
        <w:t>竞选人</w:t>
      </w:r>
      <w:r>
        <w:rPr>
          <w:rFonts w:ascii="宋体" w:hAnsi="宋体"/>
          <w:color w:val="auto"/>
          <w:kern w:val="0"/>
          <w:szCs w:val="21"/>
          <w:highlight w:val="none"/>
          <w:u w:val="single"/>
        </w:rPr>
        <w:t>名称</w:t>
      </w:r>
      <w:r>
        <w:rPr>
          <w:rFonts w:ascii="宋体" w:hAnsi="宋体"/>
          <w:color w:val="auto"/>
          <w:spacing w:val="1"/>
          <w:kern w:val="0"/>
          <w:szCs w:val="21"/>
          <w:highlight w:val="none"/>
          <w:u w:val="singl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为我方代理人。代理人根据授权，以我方名义签署、澄清、说明、补正、递交、撤回、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hint="eastAsia" w:ascii="宋体" w:hAnsi="宋体"/>
          <w:color w:val="auto"/>
          <w:kern w:val="0"/>
          <w:szCs w:val="21"/>
          <w:highlight w:val="none"/>
          <w:lang w:eastAsia="zh-CN"/>
        </w:rPr>
        <w:t>竞选文件</w:t>
      </w:r>
      <w:r>
        <w:rPr>
          <w:rFonts w:ascii="宋体" w:hAnsi="宋体"/>
          <w:color w:val="auto"/>
          <w:kern w:val="0"/>
          <w:szCs w:val="21"/>
          <w:highlight w:val="none"/>
        </w:rPr>
        <w:t>、签订合同和处理有关事宜， 其法律后果由我方承担。</w:t>
      </w:r>
    </w:p>
    <w:p w14:paraId="070BA5EB">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14:paraId="0B72E15F">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14:paraId="164ED729">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p>
    <w:p w14:paraId="20ED1CCB">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74580EAC">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2E73C6F5">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38233581">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w:t>
      </w:r>
    </w:p>
    <w:p w14:paraId="3193A3E8">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3C390903">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14:paraId="5FC55A17">
      <w:pPr>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委托代理人电话（手机）：                                          </w:t>
      </w:r>
    </w:p>
    <w:p w14:paraId="52120E09">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附：法定代表人和委托代理人身份证复印件（双面）</w:t>
      </w:r>
    </w:p>
    <w:p w14:paraId="02279631">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17F3EA8B">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0A76E843">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2FA5AC52">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696881A1">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76F627C7">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5B7A83D9">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2B6DEB5E">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p>
    <w:p w14:paraId="10340BE5">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highlight w:val="none"/>
        </w:rPr>
      </w:pPr>
    </w:p>
    <w:p w14:paraId="2D54D754">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437D0EF3">
      <w:pPr>
        <w:tabs>
          <w:tab w:val="left" w:pos="5760"/>
        </w:tabs>
        <w:autoSpaceDE w:val="0"/>
        <w:autoSpaceDN w:val="0"/>
        <w:adjustRightIn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2、法定代表人身份证明及授权委托书原件装入</w:t>
      </w:r>
      <w:r>
        <w:rPr>
          <w:rFonts w:hint="eastAsia" w:ascii="宋体" w:hAnsi="宋体"/>
          <w:color w:val="auto"/>
          <w:kern w:val="0"/>
          <w:szCs w:val="21"/>
          <w:highlight w:val="none"/>
          <w:lang w:eastAsia="zh-CN"/>
        </w:rPr>
        <w:t>竞选文件</w:t>
      </w:r>
      <w:r>
        <w:rPr>
          <w:rFonts w:ascii="宋体" w:hAnsi="宋体"/>
          <w:color w:val="auto"/>
          <w:kern w:val="0"/>
          <w:szCs w:val="21"/>
          <w:highlight w:val="none"/>
        </w:rPr>
        <w:t>一并递交。另外须准备一份授权委托书原件在开标现场出具。</w:t>
      </w:r>
    </w:p>
    <w:p w14:paraId="146D75DC">
      <w:pPr>
        <w:spacing w:line="360" w:lineRule="auto"/>
        <w:ind w:firstLine="420" w:firstLineChars="200"/>
        <w:jc w:val="left"/>
        <w:rPr>
          <w:rFonts w:ascii="宋体" w:hAnsi="宋体"/>
          <w:color w:val="auto"/>
          <w:highlight w:val="none"/>
        </w:rPr>
      </w:pPr>
      <w:r>
        <w:rPr>
          <w:rFonts w:hint="eastAsia" w:ascii="宋体" w:hAnsi="宋体"/>
          <w:color w:val="auto"/>
          <w:kern w:val="0"/>
          <w:szCs w:val="21"/>
          <w:highlight w:val="none"/>
        </w:rPr>
        <w:t>3.</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14:paraId="10370211">
      <w:pPr>
        <w:spacing w:line="360" w:lineRule="auto"/>
        <w:ind w:firstLine="420" w:firstLineChars="200"/>
        <w:rPr>
          <w:rFonts w:ascii="宋体" w:hAnsi="宋体"/>
          <w:color w:val="auto"/>
          <w:highlight w:val="none"/>
        </w:rPr>
      </w:pPr>
      <w:r>
        <w:rPr>
          <w:rFonts w:ascii="宋体" w:hAnsi="宋体"/>
          <w:color w:val="auto"/>
          <w:highlight w:val="none"/>
        </w:rPr>
        <w:br w:type="page"/>
      </w:r>
      <w:bookmarkStart w:id="530" w:name="_Toc287607872"/>
      <w:bookmarkStart w:id="531" w:name="_Toc224103500"/>
      <w:bookmarkStart w:id="532" w:name="_Toc287620819"/>
      <w:bookmarkStart w:id="533" w:name="_Toc430530534"/>
    </w:p>
    <w:bookmarkEnd w:id="530"/>
    <w:bookmarkEnd w:id="531"/>
    <w:bookmarkEnd w:id="532"/>
    <w:bookmarkEnd w:id="533"/>
    <w:p w14:paraId="47877C9E">
      <w:pPr>
        <w:pStyle w:val="4"/>
        <w:spacing w:before="0" w:after="0" w:line="360" w:lineRule="auto"/>
        <w:jc w:val="center"/>
        <w:rPr>
          <w:rFonts w:ascii="宋体" w:hAnsi="宋体"/>
          <w:b w:val="0"/>
          <w:color w:val="auto"/>
          <w:highlight w:val="none"/>
        </w:rPr>
      </w:pPr>
      <w:bookmarkStart w:id="534" w:name="_Toc11964"/>
      <w:bookmarkStart w:id="535" w:name="_Toc30136"/>
      <w:bookmarkStart w:id="536" w:name="_Toc534185843"/>
      <w:bookmarkStart w:id="537" w:name="_Toc509218866"/>
      <w:r>
        <w:rPr>
          <w:rFonts w:ascii="宋体" w:hAnsi="宋体"/>
          <w:b w:val="0"/>
          <w:color w:val="auto"/>
          <w:highlight w:val="none"/>
        </w:rPr>
        <w:t>（</w:t>
      </w:r>
      <w:r>
        <w:rPr>
          <w:rFonts w:hint="eastAsia" w:ascii="宋体" w:hAnsi="宋体"/>
          <w:b w:val="0"/>
          <w:color w:val="auto"/>
          <w:highlight w:val="none"/>
          <w:lang w:val="en-US" w:eastAsia="zh-CN"/>
        </w:rPr>
        <w:t>三</w:t>
      </w:r>
      <w:r>
        <w:rPr>
          <w:rFonts w:ascii="宋体" w:hAnsi="宋体"/>
          <w:b w:val="0"/>
          <w:color w:val="auto"/>
          <w:highlight w:val="none"/>
        </w:rPr>
        <w:t>）</w:t>
      </w:r>
      <w:r>
        <w:rPr>
          <w:rFonts w:hint="eastAsia" w:ascii="宋体" w:hAnsi="宋体"/>
          <w:b w:val="0"/>
          <w:color w:val="auto"/>
          <w:highlight w:val="none"/>
        </w:rPr>
        <w:t>承诺</w:t>
      </w:r>
      <w:bookmarkEnd w:id="534"/>
      <w:bookmarkEnd w:id="535"/>
    </w:p>
    <w:p w14:paraId="0DB8C77B">
      <w:pPr>
        <w:snapToGrid w:val="0"/>
        <w:spacing w:line="380" w:lineRule="exact"/>
        <w:rPr>
          <w:rFonts w:ascii="宋体" w:hAnsi="宋体"/>
          <w:color w:val="auto"/>
          <w:szCs w:val="21"/>
          <w:highlight w:val="none"/>
          <w:u w:val="singl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比选人</w:t>
      </w:r>
      <w:r>
        <w:rPr>
          <w:rFonts w:hint="eastAsia" w:ascii="宋体" w:hAnsi="宋体"/>
          <w:color w:val="auto"/>
          <w:szCs w:val="21"/>
          <w:highlight w:val="none"/>
          <w:u w:val="single"/>
        </w:rPr>
        <w:t>名称）</w:t>
      </w:r>
      <w:r>
        <w:rPr>
          <w:rFonts w:hint="eastAsia" w:ascii="宋体" w:hAnsi="宋体"/>
          <w:color w:val="auto"/>
          <w:szCs w:val="21"/>
          <w:highlight w:val="none"/>
        </w:rPr>
        <w:t>：</w:t>
      </w:r>
    </w:p>
    <w:p w14:paraId="30E57AFE">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我公司</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竞选</w:t>
      </w:r>
      <w:r>
        <w:rPr>
          <w:rFonts w:hint="eastAsia" w:ascii="宋体" w:hAnsi="宋体"/>
          <w:color w:val="auto"/>
          <w:szCs w:val="21"/>
          <w:highlight w:val="none"/>
          <w:u w:val="single"/>
        </w:rPr>
        <w:t>人名称）</w:t>
      </w:r>
      <w:r>
        <w:rPr>
          <w:rFonts w:hint="eastAsia" w:ascii="宋体" w:hAnsi="宋体"/>
          <w:color w:val="auto"/>
          <w:szCs w:val="21"/>
          <w:highlight w:val="none"/>
        </w:rPr>
        <w:t>参加了贵单位</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的投标，自愿作出以下承诺：</w:t>
      </w:r>
    </w:p>
    <w:p w14:paraId="59D33E03">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1、我公司投标截止日投标资格情况不存在下列情形之一：</w:t>
      </w:r>
    </w:p>
    <w:p w14:paraId="26C6D463">
      <w:pPr>
        <w:snapToGrid w:val="0"/>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14:paraId="6E673EAD">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（2）被“信用中国”网站(www.creditchina.gov.cn) 列为失信被 执行人；</w:t>
      </w:r>
    </w:p>
    <w:p w14:paraId="1D3BE6E5">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（3）被国家、重庆市（含市或任意区县）有关行政部门处以暂停投标资格行政处罚，且在处罚期限内；</w:t>
      </w:r>
    </w:p>
    <w:p w14:paraId="336867B4">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）被重庆市</w:t>
      </w:r>
      <w:r>
        <w:rPr>
          <w:rFonts w:hint="eastAsia" w:ascii="宋体" w:hAnsi="宋体"/>
          <w:color w:val="auto"/>
          <w:szCs w:val="21"/>
          <w:highlight w:val="none"/>
          <w:lang w:eastAsia="zh-CN"/>
        </w:rPr>
        <w:t>市级有关行业</w:t>
      </w:r>
      <w:r>
        <w:rPr>
          <w:rFonts w:hint="eastAsia" w:ascii="宋体" w:hAnsi="宋体"/>
          <w:color w:val="auto"/>
          <w:szCs w:val="21"/>
          <w:highlight w:val="none"/>
        </w:rPr>
        <w:t>主管部门暂停在渝承揽新业务且在暂停期内。</w:t>
      </w:r>
    </w:p>
    <w:p w14:paraId="3C7E4395">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、我公司在资格审查部分中提供的相关证明材料真实有效，不存在弄虚作假情形。</w:t>
      </w:r>
      <w:r>
        <w:rPr>
          <w:rFonts w:hint="eastAsia" w:ascii="宋体" w:hAnsi="宋体"/>
          <w:color w:val="auto"/>
          <w:szCs w:val="21"/>
          <w:highlight w:val="none"/>
          <w:u w:val="single"/>
          <w:lang w:val="en-US" w:eastAsia="zh-CN"/>
        </w:rPr>
        <w:t>贵单位</w:t>
      </w:r>
      <w:r>
        <w:rPr>
          <w:rFonts w:hint="eastAsia" w:ascii="宋体" w:hAnsi="宋体"/>
          <w:color w:val="auto"/>
          <w:szCs w:val="21"/>
          <w:highlight w:val="none"/>
          <w:u w:val="single"/>
        </w:rPr>
        <w:t>在合同签订前均有权对我</w:t>
      </w:r>
      <w:r>
        <w:rPr>
          <w:rFonts w:hint="eastAsia" w:ascii="宋体" w:hAnsi="宋体"/>
          <w:color w:val="auto"/>
          <w:szCs w:val="21"/>
          <w:highlight w:val="none"/>
          <w:u w:val="single"/>
          <w:lang w:val="en-US" w:eastAsia="zh-CN"/>
        </w:rPr>
        <w:t>公</w:t>
      </w:r>
      <w:r>
        <w:rPr>
          <w:rFonts w:hint="eastAsia" w:ascii="宋体" w:hAnsi="宋体"/>
          <w:color w:val="auto"/>
          <w:szCs w:val="21"/>
          <w:highlight w:val="none"/>
          <w:u w:val="single"/>
        </w:rPr>
        <w:t>司提供的资料进行核实，若发现弄虚作假，</w:t>
      </w:r>
      <w:r>
        <w:rPr>
          <w:rFonts w:hint="eastAsia" w:ascii="宋体" w:hAnsi="宋体"/>
          <w:color w:val="auto"/>
          <w:szCs w:val="21"/>
          <w:highlight w:val="none"/>
          <w:u w:val="single"/>
          <w:lang w:val="en-US" w:eastAsia="zh-CN"/>
        </w:rPr>
        <w:t>按相关规定</w:t>
      </w:r>
      <w:r>
        <w:rPr>
          <w:rFonts w:hint="eastAsia" w:ascii="宋体" w:hAnsi="宋体"/>
          <w:color w:val="auto"/>
          <w:szCs w:val="21"/>
          <w:highlight w:val="none"/>
          <w:u w:val="single"/>
        </w:rPr>
        <w:t>取消</w:t>
      </w:r>
      <w:r>
        <w:rPr>
          <w:rFonts w:hint="eastAsia" w:ascii="宋体" w:hAnsi="宋体"/>
          <w:color w:val="auto"/>
          <w:szCs w:val="21"/>
          <w:highlight w:val="none"/>
          <w:u w:val="single"/>
          <w:lang w:val="en-US" w:eastAsia="zh-CN"/>
        </w:rPr>
        <w:t>我公司</w:t>
      </w:r>
      <w:r>
        <w:rPr>
          <w:rFonts w:hint="eastAsia" w:ascii="宋体" w:hAnsi="宋体"/>
          <w:color w:val="auto"/>
          <w:szCs w:val="21"/>
          <w:highlight w:val="none"/>
          <w:u w:val="single"/>
        </w:rPr>
        <w:t>中标资格，并按相关法律法规报招标投标监督部门，投标保证金不予退还，我</w:t>
      </w:r>
      <w:r>
        <w:rPr>
          <w:rFonts w:hint="eastAsia" w:ascii="宋体" w:hAnsi="宋体"/>
          <w:color w:val="auto"/>
          <w:szCs w:val="21"/>
          <w:highlight w:val="none"/>
          <w:u w:val="single"/>
          <w:lang w:val="en-US" w:eastAsia="zh-CN"/>
        </w:rPr>
        <w:t>公</w:t>
      </w:r>
      <w:r>
        <w:rPr>
          <w:rFonts w:hint="eastAsia" w:ascii="宋体" w:hAnsi="宋体"/>
          <w:color w:val="auto"/>
          <w:szCs w:val="21"/>
          <w:highlight w:val="none"/>
          <w:u w:val="single"/>
        </w:rPr>
        <w:t>司自愿承担因此造成的相关责任并赔偿相应损失</w:t>
      </w:r>
      <w:r>
        <w:rPr>
          <w:rFonts w:hint="eastAsia" w:ascii="宋体" w:hAnsi="宋体"/>
          <w:color w:val="auto"/>
          <w:szCs w:val="21"/>
          <w:highlight w:val="none"/>
        </w:rPr>
        <w:t>。</w:t>
      </w:r>
    </w:p>
    <w:p w14:paraId="1B66B159">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、我公司不存在第二章 投标人须知第 1.4.3 项规定的任何一种情形。</w:t>
      </w:r>
    </w:p>
    <w:p w14:paraId="1F583498">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、我公司的投标文件符合第二章 投标人须知第 1.3.1 项的规定。</w:t>
      </w:r>
    </w:p>
    <w:p w14:paraId="63988BF8">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、我公司的投标文件符合第四章 合同条款及格式规定，投标文件中没有</w:t>
      </w:r>
      <w:r>
        <w:rPr>
          <w:rFonts w:hint="eastAsia" w:ascii="宋体" w:hAnsi="宋体"/>
          <w:color w:val="auto"/>
          <w:szCs w:val="21"/>
          <w:highlight w:val="none"/>
          <w:lang w:val="en-US" w:eastAsia="zh-CN"/>
        </w:rPr>
        <w:t>贵单位</w:t>
      </w:r>
      <w:r>
        <w:rPr>
          <w:rFonts w:hint="eastAsia" w:ascii="宋体" w:hAnsi="宋体"/>
          <w:color w:val="auto"/>
          <w:szCs w:val="21"/>
          <w:highlight w:val="none"/>
        </w:rPr>
        <w:t>不能接受的条件。</w:t>
      </w:r>
    </w:p>
    <w:p w14:paraId="13FB373C">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、我公司的投标文件符合</w:t>
      </w:r>
      <w:r>
        <w:rPr>
          <w:rFonts w:hint="eastAsia" w:ascii="宋体" w:hAnsi="宋体"/>
          <w:color w:val="auto"/>
          <w:szCs w:val="21"/>
          <w:highlight w:val="none"/>
          <w:lang w:eastAsia="zh-CN"/>
        </w:rPr>
        <w:t>第五章</w:t>
      </w:r>
      <w:r>
        <w:rPr>
          <w:rFonts w:hint="eastAsia" w:ascii="宋体" w:hAnsi="宋体"/>
          <w:color w:val="auto"/>
          <w:szCs w:val="21"/>
          <w:highlight w:val="none"/>
        </w:rPr>
        <w:t xml:space="preserve"> 技术标准和要求（如有）。</w:t>
      </w:r>
    </w:p>
    <w:p w14:paraId="1AE9A782">
      <w:pPr>
        <w:tabs>
          <w:tab w:val="left" w:pos="4200"/>
          <w:tab w:val="left" w:pos="4620"/>
        </w:tabs>
        <w:autoSpaceDE w:val="0"/>
        <w:autoSpaceDN w:val="0"/>
        <w:adjustRightInd w:val="0"/>
        <w:snapToGrid w:val="0"/>
        <w:spacing w:line="360" w:lineRule="auto"/>
        <w:jc w:val="left"/>
        <w:rPr>
          <w:rFonts w:ascii="宋体" w:hAnsi="宋体"/>
          <w:color w:val="auto"/>
          <w:kern w:val="0"/>
          <w:szCs w:val="21"/>
          <w:highlight w:val="none"/>
        </w:rPr>
      </w:pPr>
    </w:p>
    <w:bookmarkEnd w:id="536"/>
    <w:bookmarkEnd w:id="537"/>
    <w:p w14:paraId="579382B7">
      <w:pPr>
        <w:tabs>
          <w:tab w:val="left" w:pos="4200"/>
          <w:tab w:val="left" w:pos="462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lang w:val="en-US" w:eastAsia="zh-CN"/>
        </w:rPr>
        <w:t>竞  选</w:t>
      </w:r>
      <w:r>
        <w:rPr>
          <w:rFonts w:ascii="宋体" w:hAnsi="宋体"/>
          <w:color w:val="auto"/>
          <w:kern w:val="0"/>
          <w:szCs w:val="21"/>
          <w:highlight w:val="none"/>
        </w:rPr>
        <w:t xml:space="preserve">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1F8B4057">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4F6EFA0D">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p>
    <w:p w14:paraId="26B47E1F">
      <w:pPr>
        <w:tabs>
          <w:tab w:val="left" w:pos="6300"/>
        </w:tabs>
        <w:autoSpaceDE w:val="0"/>
        <w:autoSpaceDN w:val="0"/>
        <w:adjustRightInd w:val="0"/>
        <w:snapToGrid w:val="0"/>
        <w:ind w:firstLine="420" w:firstLineChars="200"/>
        <w:jc w:val="right"/>
        <w:rPr>
          <w:rFonts w:ascii="宋体" w:hAnsi="宋体"/>
          <w:b/>
          <w:color w:val="auto"/>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日</w:t>
      </w:r>
    </w:p>
    <w:p w14:paraId="6A64C5A0">
      <w:pPr>
        <w:rPr>
          <w:color w:val="auto"/>
          <w:highlight w:val="none"/>
        </w:rPr>
      </w:pPr>
      <w:r>
        <w:rPr>
          <w:color w:val="auto"/>
          <w:highlight w:val="none"/>
        </w:rPr>
        <w:br w:type="page"/>
      </w:r>
    </w:p>
    <w:p w14:paraId="6192F244">
      <w:pPr>
        <w:pStyle w:val="4"/>
        <w:numPr>
          <w:ilvl w:val="0"/>
          <w:numId w:val="0"/>
        </w:numPr>
        <w:spacing w:before="0" w:line="360" w:lineRule="auto"/>
        <w:jc w:val="center"/>
        <w:rPr>
          <w:rFonts w:hint="eastAsia" w:ascii="宋体" w:hAnsi="宋体"/>
          <w:b w:val="0"/>
          <w:color w:val="auto"/>
          <w:highlight w:val="none"/>
          <w:lang w:val="en-US" w:eastAsia="zh-CN"/>
        </w:rPr>
      </w:pPr>
      <w:bookmarkStart w:id="538" w:name="_Toc17679"/>
      <w:bookmarkStart w:id="539" w:name="_Toc25182"/>
      <w:r>
        <w:rPr>
          <w:rFonts w:hint="eastAsia" w:ascii="宋体" w:hAnsi="宋体"/>
          <w:b w:val="0"/>
          <w:color w:val="auto"/>
          <w:highlight w:val="none"/>
          <w:lang w:val="en-US" w:eastAsia="zh-CN"/>
        </w:rPr>
        <w:t>（四）技术方案</w:t>
      </w:r>
      <w:bookmarkEnd w:id="538"/>
    </w:p>
    <w:p w14:paraId="540F7D94">
      <w:pPr>
        <w:numPr>
          <w:ilvl w:val="0"/>
          <w:numId w:val="0"/>
        </w:numPr>
        <w:jc w:val="center"/>
        <w:rPr>
          <w:rFonts w:hint="eastAsia"/>
          <w:color w:val="auto"/>
          <w:highlight w:val="none"/>
          <w:lang w:val="en-US" w:eastAsia="zh-CN"/>
        </w:rPr>
      </w:pPr>
      <w:r>
        <w:rPr>
          <w:rFonts w:hint="eastAsia"/>
          <w:color w:val="auto"/>
          <w:highlight w:val="none"/>
          <w:lang w:val="en-US" w:eastAsia="zh-CN"/>
        </w:rPr>
        <w:t>（格式自拟）</w:t>
      </w:r>
    </w:p>
    <w:p w14:paraId="65D8F776">
      <w:pPr>
        <w:rPr>
          <w:rFonts w:hint="eastAsia" w:ascii="宋体" w:hAnsi="宋体"/>
          <w:b w:val="0"/>
          <w:color w:val="auto"/>
          <w:highlight w:val="none"/>
          <w:lang w:val="en-US" w:eastAsia="zh-CN"/>
        </w:rPr>
      </w:pPr>
      <w:r>
        <w:rPr>
          <w:rFonts w:hint="eastAsia" w:ascii="宋体" w:hAnsi="宋体"/>
          <w:b w:val="0"/>
          <w:color w:val="auto"/>
          <w:highlight w:val="none"/>
          <w:lang w:val="en-US" w:eastAsia="zh-CN"/>
        </w:rPr>
        <w:br w:type="page"/>
      </w:r>
    </w:p>
    <w:p w14:paraId="7DBBF559">
      <w:pPr>
        <w:rPr>
          <w:rFonts w:hint="eastAsia"/>
          <w:color w:val="auto"/>
          <w:highlight w:val="none"/>
          <w:lang w:eastAsia="zh-CN"/>
        </w:rPr>
      </w:pPr>
    </w:p>
    <w:p w14:paraId="72767D13">
      <w:pPr>
        <w:pStyle w:val="4"/>
        <w:spacing w:before="0" w:line="360" w:lineRule="auto"/>
        <w:jc w:val="center"/>
        <w:rPr>
          <w:rFonts w:ascii="宋体" w:hAnsi="宋体"/>
          <w:b/>
          <w:color w:val="auto"/>
          <w:highlight w:val="none"/>
        </w:rPr>
      </w:pPr>
      <w:bookmarkStart w:id="540" w:name="_Toc11543"/>
      <w:r>
        <w:rPr>
          <w:rFonts w:hint="eastAsia" w:ascii="宋体" w:hAnsi="宋体"/>
          <w:b w:val="0"/>
          <w:color w:val="auto"/>
          <w:highlight w:val="none"/>
        </w:rPr>
        <w:t>（</w:t>
      </w:r>
      <w:r>
        <w:rPr>
          <w:rFonts w:hint="eastAsia" w:ascii="宋体" w:hAnsi="宋体"/>
          <w:b w:val="0"/>
          <w:color w:val="auto"/>
          <w:highlight w:val="none"/>
          <w:lang w:val="en-US" w:eastAsia="zh-CN"/>
        </w:rPr>
        <w:t>五</w:t>
      </w:r>
      <w:r>
        <w:rPr>
          <w:rFonts w:hint="eastAsia" w:ascii="宋体" w:hAnsi="宋体"/>
          <w:b w:val="0"/>
          <w:color w:val="auto"/>
          <w:highlight w:val="none"/>
        </w:rPr>
        <w:t>）其他资料</w:t>
      </w:r>
      <w:bookmarkEnd w:id="464"/>
      <w:bookmarkEnd w:id="465"/>
      <w:bookmarkEnd w:id="466"/>
      <w:bookmarkEnd w:id="539"/>
      <w:bookmarkEnd w:id="540"/>
    </w:p>
    <w:sectPr>
      <w:footerReference r:id="rId8" w:type="default"/>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方正仿宋简体">
    <w:altName w:val="微软雅黑"/>
    <w:panose1 w:val="02000000000000000000"/>
    <w:charset w:val="86"/>
    <w:family w:val="auto"/>
    <w:pitch w:val="default"/>
    <w:sig w:usb0="00000000" w:usb1="00000000" w:usb2="00000012"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6B4AF">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2CEA4">
    <w:pPr>
      <w:pStyle w:val="29"/>
      <w:framePr w:wrap="around" w:vAnchor="text" w:hAnchor="margin" w:xAlign="center" w:y="1"/>
      <w:rPr>
        <w:rStyle w:val="51"/>
      </w:rPr>
    </w:pPr>
    <w:r>
      <w:fldChar w:fldCharType="begin"/>
    </w:r>
    <w:r>
      <w:rPr>
        <w:rStyle w:val="51"/>
      </w:rPr>
      <w:instrText xml:space="preserve">PAGE  </w:instrText>
    </w:r>
    <w:r>
      <w:fldChar w:fldCharType="separate"/>
    </w:r>
    <w:r>
      <w:rPr>
        <w:rStyle w:val="51"/>
      </w:rPr>
      <w:t>- 3 -</w:t>
    </w:r>
    <w:r>
      <w:fldChar w:fldCharType="end"/>
    </w:r>
  </w:p>
  <w:p w14:paraId="7DE3A307">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525A0">
    <w:pPr>
      <w:pStyle w:val="29"/>
      <w:jc w:val="center"/>
    </w:pPr>
    <w:r>
      <w:fldChar w:fldCharType="begin"/>
    </w:r>
    <w:r>
      <w:instrText xml:space="preserve">PAGE   \* MERGEFORMAT</w:instrText>
    </w:r>
    <w:r>
      <w:fldChar w:fldCharType="separate"/>
    </w:r>
    <w:r>
      <w:rPr>
        <w:lang w:val="zh-CN"/>
      </w:rPr>
      <w:t>2</w:t>
    </w:r>
    <w:r>
      <w:fldChar w:fldCharType="end"/>
    </w:r>
  </w:p>
  <w:p w14:paraId="36DAD84D">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04943">
    <w:pPr>
      <w:pStyle w:val="29"/>
    </w:pPr>
  </w:p>
  <w:p w14:paraId="15DA3782">
    <w:pPr>
      <w:pStyle w:val="29"/>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D71D82F">
                          <w:pPr>
                            <w:pStyle w:val="29"/>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5dblS0AAAAAUBAAAPAAAAAAAAAAEAIAAAACIAAABkcnMvZG93bnJldi54bWxQSwECFAAUAAAA&#10;CACHTuJAunM+tL0BAAB7AwAADgAAAAAAAAABACAAAAAfAQAAZHJzL2Uyb0RvYy54bWxQSwUGAAAA&#10;AAYABgBZAQAATgUAAAAA&#10;">
              <v:fill on="f" focussize="0,0"/>
              <v:stroke on="f"/>
              <v:imagedata o:title=""/>
              <o:lock v:ext="edit" aspectratio="f"/>
              <v:textbox inset="0mm,0mm,0mm,0mm" style="mso-fit-shape-to-text:t;">
                <w:txbxContent>
                  <w:p w14:paraId="4D71D82F">
                    <w:pPr>
                      <w:pStyle w:val="29"/>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4EBDE">
    <w:pPr>
      <w:pStyle w:val="29"/>
      <w:jc w:val="center"/>
    </w:pPr>
    <w:r>
      <w:t xml:space="preserve">- </w:t>
    </w:r>
    <w:r>
      <w:fldChar w:fldCharType="begin"/>
    </w:r>
    <w:r>
      <w:instrText xml:space="preserve"> PAGE </w:instrText>
    </w:r>
    <w:r>
      <w:fldChar w:fldCharType="separate"/>
    </w:r>
    <w:r>
      <w:t>243</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6BFDE">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FhMjY0Y2RkNWExOGEzYTYwYjdhY2FkODY4NWZlZTcifQ=="/>
  </w:docVars>
  <w:rsids>
    <w:rsidRoot w:val="00000000"/>
    <w:rsid w:val="00303E72"/>
    <w:rsid w:val="003D0404"/>
    <w:rsid w:val="004D7E24"/>
    <w:rsid w:val="00B85CAF"/>
    <w:rsid w:val="00C671DB"/>
    <w:rsid w:val="01080D6F"/>
    <w:rsid w:val="01750EDE"/>
    <w:rsid w:val="01F91143"/>
    <w:rsid w:val="020250A8"/>
    <w:rsid w:val="022226F1"/>
    <w:rsid w:val="023C235A"/>
    <w:rsid w:val="02497534"/>
    <w:rsid w:val="025832D3"/>
    <w:rsid w:val="02804BE3"/>
    <w:rsid w:val="029C3B08"/>
    <w:rsid w:val="02CB3070"/>
    <w:rsid w:val="02CC5914"/>
    <w:rsid w:val="03505229"/>
    <w:rsid w:val="03604B36"/>
    <w:rsid w:val="03712D21"/>
    <w:rsid w:val="039E635A"/>
    <w:rsid w:val="03AD472C"/>
    <w:rsid w:val="03CF3A69"/>
    <w:rsid w:val="03D64DF8"/>
    <w:rsid w:val="04082AD7"/>
    <w:rsid w:val="04325AC8"/>
    <w:rsid w:val="043C1EA8"/>
    <w:rsid w:val="04C133B2"/>
    <w:rsid w:val="05104339"/>
    <w:rsid w:val="05151950"/>
    <w:rsid w:val="057364D8"/>
    <w:rsid w:val="05C018BB"/>
    <w:rsid w:val="05D14557"/>
    <w:rsid w:val="05D340EA"/>
    <w:rsid w:val="05FE2133"/>
    <w:rsid w:val="05FE7CAD"/>
    <w:rsid w:val="061B4D44"/>
    <w:rsid w:val="068154EF"/>
    <w:rsid w:val="06A44E95"/>
    <w:rsid w:val="06B30E1D"/>
    <w:rsid w:val="06C453DB"/>
    <w:rsid w:val="07146850"/>
    <w:rsid w:val="07163C30"/>
    <w:rsid w:val="07222102"/>
    <w:rsid w:val="073065CD"/>
    <w:rsid w:val="0747316B"/>
    <w:rsid w:val="07487DBA"/>
    <w:rsid w:val="074B228B"/>
    <w:rsid w:val="07634BF4"/>
    <w:rsid w:val="076B5898"/>
    <w:rsid w:val="07AB6459"/>
    <w:rsid w:val="07CF3F25"/>
    <w:rsid w:val="080737D2"/>
    <w:rsid w:val="08274BDD"/>
    <w:rsid w:val="0831084F"/>
    <w:rsid w:val="087735D0"/>
    <w:rsid w:val="0878647D"/>
    <w:rsid w:val="08C25591"/>
    <w:rsid w:val="08CD594E"/>
    <w:rsid w:val="08D8516E"/>
    <w:rsid w:val="090C3DE8"/>
    <w:rsid w:val="092D606A"/>
    <w:rsid w:val="09ED536B"/>
    <w:rsid w:val="0A3035BA"/>
    <w:rsid w:val="0A375EC4"/>
    <w:rsid w:val="0A47370C"/>
    <w:rsid w:val="0A60366D"/>
    <w:rsid w:val="0A7144F7"/>
    <w:rsid w:val="0A797225"/>
    <w:rsid w:val="0A83110A"/>
    <w:rsid w:val="0A984D5C"/>
    <w:rsid w:val="0AC97F37"/>
    <w:rsid w:val="0AD33E3F"/>
    <w:rsid w:val="0AE65BC8"/>
    <w:rsid w:val="0B0E42E3"/>
    <w:rsid w:val="0B25248E"/>
    <w:rsid w:val="0B374AB7"/>
    <w:rsid w:val="0B8A12CF"/>
    <w:rsid w:val="0C293F7E"/>
    <w:rsid w:val="0C2D2A4E"/>
    <w:rsid w:val="0D4D71AD"/>
    <w:rsid w:val="0D5076B5"/>
    <w:rsid w:val="0D865199"/>
    <w:rsid w:val="0DAE5500"/>
    <w:rsid w:val="0DBF06AB"/>
    <w:rsid w:val="0DEA7073"/>
    <w:rsid w:val="0E091442"/>
    <w:rsid w:val="0E3D2AE0"/>
    <w:rsid w:val="0E4017EB"/>
    <w:rsid w:val="0E7616B1"/>
    <w:rsid w:val="0E8813E4"/>
    <w:rsid w:val="0E903981"/>
    <w:rsid w:val="0EA855E3"/>
    <w:rsid w:val="0EE06B2A"/>
    <w:rsid w:val="0F0D215C"/>
    <w:rsid w:val="0F3118B1"/>
    <w:rsid w:val="0F96368D"/>
    <w:rsid w:val="0FB104C7"/>
    <w:rsid w:val="0FE16FFE"/>
    <w:rsid w:val="0FED2443"/>
    <w:rsid w:val="102C328E"/>
    <w:rsid w:val="10703EDE"/>
    <w:rsid w:val="108160EB"/>
    <w:rsid w:val="108C5B45"/>
    <w:rsid w:val="109E6278"/>
    <w:rsid w:val="10CC1442"/>
    <w:rsid w:val="10D821AF"/>
    <w:rsid w:val="112278CE"/>
    <w:rsid w:val="11292A0B"/>
    <w:rsid w:val="11335637"/>
    <w:rsid w:val="114C04A7"/>
    <w:rsid w:val="11747428"/>
    <w:rsid w:val="119A3475"/>
    <w:rsid w:val="11B642AD"/>
    <w:rsid w:val="11CE71F6"/>
    <w:rsid w:val="11D30BC8"/>
    <w:rsid w:val="127C4DBC"/>
    <w:rsid w:val="12A83E03"/>
    <w:rsid w:val="131E2FC6"/>
    <w:rsid w:val="139D323C"/>
    <w:rsid w:val="13CA799C"/>
    <w:rsid w:val="13CB74DA"/>
    <w:rsid w:val="13E600BD"/>
    <w:rsid w:val="142B25EC"/>
    <w:rsid w:val="14A21959"/>
    <w:rsid w:val="14A51FB8"/>
    <w:rsid w:val="14F0383F"/>
    <w:rsid w:val="14FE5F5C"/>
    <w:rsid w:val="155F0AA1"/>
    <w:rsid w:val="15E129AC"/>
    <w:rsid w:val="15F8488C"/>
    <w:rsid w:val="16660FCB"/>
    <w:rsid w:val="169315EF"/>
    <w:rsid w:val="16B43061"/>
    <w:rsid w:val="16F37DA2"/>
    <w:rsid w:val="172508E3"/>
    <w:rsid w:val="17D15BAA"/>
    <w:rsid w:val="184B14B9"/>
    <w:rsid w:val="18AD2173"/>
    <w:rsid w:val="19124240"/>
    <w:rsid w:val="193D71F3"/>
    <w:rsid w:val="19453BA6"/>
    <w:rsid w:val="195F7294"/>
    <w:rsid w:val="198F3627"/>
    <w:rsid w:val="199450E1"/>
    <w:rsid w:val="1998697F"/>
    <w:rsid w:val="19B968F6"/>
    <w:rsid w:val="1A562397"/>
    <w:rsid w:val="1A6920CA"/>
    <w:rsid w:val="1A6D6992"/>
    <w:rsid w:val="1AD00105"/>
    <w:rsid w:val="1ADE4866"/>
    <w:rsid w:val="1AF167D8"/>
    <w:rsid w:val="1B5E7755"/>
    <w:rsid w:val="1B6034CD"/>
    <w:rsid w:val="1BB27AA1"/>
    <w:rsid w:val="1BB41F8B"/>
    <w:rsid w:val="1BF7155D"/>
    <w:rsid w:val="1C0E117B"/>
    <w:rsid w:val="1C444B9D"/>
    <w:rsid w:val="1C5841A4"/>
    <w:rsid w:val="1C5E5533"/>
    <w:rsid w:val="1C67088B"/>
    <w:rsid w:val="1C8A485F"/>
    <w:rsid w:val="1CAC66AA"/>
    <w:rsid w:val="1CAD1FED"/>
    <w:rsid w:val="1CD3692F"/>
    <w:rsid w:val="1D383FD6"/>
    <w:rsid w:val="1D5113F8"/>
    <w:rsid w:val="1D8A4831"/>
    <w:rsid w:val="1D9E2B66"/>
    <w:rsid w:val="1DBC69B5"/>
    <w:rsid w:val="1DD711E3"/>
    <w:rsid w:val="1E086BAA"/>
    <w:rsid w:val="1E197963"/>
    <w:rsid w:val="1E37428D"/>
    <w:rsid w:val="1E6C3F37"/>
    <w:rsid w:val="1EA044C3"/>
    <w:rsid w:val="1F1E7609"/>
    <w:rsid w:val="1F3D0501"/>
    <w:rsid w:val="1F5B449A"/>
    <w:rsid w:val="1F602B3B"/>
    <w:rsid w:val="1F707A57"/>
    <w:rsid w:val="1F7A2683"/>
    <w:rsid w:val="1FD004F5"/>
    <w:rsid w:val="202820DF"/>
    <w:rsid w:val="205B4E2B"/>
    <w:rsid w:val="208F4C4A"/>
    <w:rsid w:val="20981226"/>
    <w:rsid w:val="20A83220"/>
    <w:rsid w:val="20E71F9A"/>
    <w:rsid w:val="21046E3A"/>
    <w:rsid w:val="210618F0"/>
    <w:rsid w:val="21270CC2"/>
    <w:rsid w:val="21271830"/>
    <w:rsid w:val="21274A8D"/>
    <w:rsid w:val="2181419D"/>
    <w:rsid w:val="21D50045"/>
    <w:rsid w:val="21FB6346"/>
    <w:rsid w:val="225418B2"/>
    <w:rsid w:val="22821F7B"/>
    <w:rsid w:val="23B1237E"/>
    <w:rsid w:val="23DD36F6"/>
    <w:rsid w:val="24266EC9"/>
    <w:rsid w:val="24280900"/>
    <w:rsid w:val="24293F8F"/>
    <w:rsid w:val="24DB0580"/>
    <w:rsid w:val="251F57E3"/>
    <w:rsid w:val="255552F4"/>
    <w:rsid w:val="25F969F8"/>
    <w:rsid w:val="26124F7C"/>
    <w:rsid w:val="26176E7E"/>
    <w:rsid w:val="264B6B28"/>
    <w:rsid w:val="26506010"/>
    <w:rsid w:val="268877A1"/>
    <w:rsid w:val="26936134"/>
    <w:rsid w:val="26BB23D9"/>
    <w:rsid w:val="26D36140"/>
    <w:rsid w:val="26ED7BDF"/>
    <w:rsid w:val="27181100"/>
    <w:rsid w:val="271E5FEA"/>
    <w:rsid w:val="27541A0C"/>
    <w:rsid w:val="275B5C83"/>
    <w:rsid w:val="278E278E"/>
    <w:rsid w:val="27B74E95"/>
    <w:rsid w:val="27FF7BCA"/>
    <w:rsid w:val="28344812"/>
    <w:rsid w:val="285717B4"/>
    <w:rsid w:val="285A74F6"/>
    <w:rsid w:val="28AF528E"/>
    <w:rsid w:val="290D71FC"/>
    <w:rsid w:val="29746395"/>
    <w:rsid w:val="29F23CDD"/>
    <w:rsid w:val="2A30249C"/>
    <w:rsid w:val="2A370F32"/>
    <w:rsid w:val="2A570191"/>
    <w:rsid w:val="2ACA0D3E"/>
    <w:rsid w:val="2AE61515"/>
    <w:rsid w:val="2AF341C0"/>
    <w:rsid w:val="2B050B4A"/>
    <w:rsid w:val="2B0E0723"/>
    <w:rsid w:val="2B133327"/>
    <w:rsid w:val="2B230073"/>
    <w:rsid w:val="2B712262"/>
    <w:rsid w:val="2B817C7B"/>
    <w:rsid w:val="2BEF6806"/>
    <w:rsid w:val="2C9E07BF"/>
    <w:rsid w:val="2D1B777C"/>
    <w:rsid w:val="2D2307FE"/>
    <w:rsid w:val="2D4C1B03"/>
    <w:rsid w:val="2D5269EE"/>
    <w:rsid w:val="2D832920"/>
    <w:rsid w:val="2D937732"/>
    <w:rsid w:val="2DCD42C6"/>
    <w:rsid w:val="2DE0049D"/>
    <w:rsid w:val="2E3260C6"/>
    <w:rsid w:val="2E506832"/>
    <w:rsid w:val="2E5D03BB"/>
    <w:rsid w:val="2E7D5CEC"/>
    <w:rsid w:val="2EF05516"/>
    <w:rsid w:val="2F065CE2"/>
    <w:rsid w:val="2F594063"/>
    <w:rsid w:val="30BF31A0"/>
    <w:rsid w:val="3115220C"/>
    <w:rsid w:val="314E47F2"/>
    <w:rsid w:val="31624A09"/>
    <w:rsid w:val="31653D42"/>
    <w:rsid w:val="316600C5"/>
    <w:rsid w:val="31977496"/>
    <w:rsid w:val="31A551E2"/>
    <w:rsid w:val="31CE550A"/>
    <w:rsid w:val="31F12C79"/>
    <w:rsid w:val="31F75DB5"/>
    <w:rsid w:val="32036508"/>
    <w:rsid w:val="32096215"/>
    <w:rsid w:val="32483B76"/>
    <w:rsid w:val="32513718"/>
    <w:rsid w:val="326B7C1E"/>
    <w:rsid w:val="3300448E"/>
    <w:rsid w:val="332A25DE"/>
    <w:rsid w:val="334F3707"/>
    <w:rsid w:val="342A2472"/>
    <w:rsid w:val="34AC6BCC"/>
    <w:rsid w:val="35020CF9"/>
    <w:rsid w:val="35252B14"/>
    <w:rsid w:val="353728A3"/>
    <w:rsid w:val="35584DBD"/>
    <w:rsid w:val="35A47489"/>
    <w:rsid w:val="366432E4"/>
    <w:rsid w:val="36C95F72"/>
    <w:rsid w:val="37105893"/>
    <w:rsid w:val="37422246"/>
    <w:rsid w:val="37577894"/>
    <w:rsid w:val="38040D2A"/>
    <w:rsid w:val="382471D8"/>
    <w:rsid w:val="3881462B"/>
    <w:rsid w:val="38A37DF3"/>
    <w:rsid w:val="38A81BB8"/>
    <w:rsid w:val="39741A71"/>
    <w:rsid w:val="39974C7E"/>
    <w:rsid w:val="3A054308"/>
    <w:rsid w:val="3A125E82"/>
    <w:rsid w:val="3A6C4FEA"/>
    <w:rsid w:val="3AB24F6F"/>
    <w:rsid w:val="3AB94550"/>
    <w:rsid w:val="3B620744"/>
    <w:rsid w:val="3B62768D"/>
    <w:rsid w:val="3B871F63"/>
    <w:rsid w:val="3B8C3A12"/>
    <w:rsid w:val="3BB27261"/>
    <w:rsid w:val="3C053DBF"/>
    <w:rsid w:val="3C0B4D8F"/>
    <w:rsid w:val="3CB67EA4"/>
    <w:rsid w:val="3CB74ABF"/>
    <w:rsid w:val="3D3912A9"/>
    <w:rsid w:val="3D874491"/>
    <w:rsid w:val="3DB8289D"/>
    <w:rsid w:val="3DFA1107"/>
    <w:rsid w:val="3E405A3C"/>
    <w:rsid w:val="3E485474"/>
    <w:rsid w:val="3E7E2E6C"/>
    <w:rsid w:val="3E976956"/>
    <w:rsid w:val="3EC51715"/>
    <w:rsid w:val="3EE93D37"/>
    <w:rsid w:val="3F081602"/>
    <w:rsid w:val="3F1A40AE"/>
    <w:rsid w:val="3FA72611"/>
    <w:rsid w:val="3FC4377B"/>
    <w:rsid w:val="3FFC4A76"/>
    <w:rsid w:val="41526B64"/>
    <w:rsid w:val="4169555E"/>
    <w:rsid w:val="417F0B65"/>
    <w:rsid w:val="41AA69A0"/>
    <w:rsid w:val="41B03D78"/>
    <w:rsid w:val="41FF6551"/>
    <w:rsid w:val="42045464"/>
    <w:rsid w:val="42134546"/>
    <w:rsid w:val="4246491B"/>
    <w:rsid w:val="428464EB"/>
    <w:rsid w:val="42A06816"/>
    <w:rsid w:val="42A17BA6"/>
    <w:rsid w:val="42C34E0B"/>
    <w:rsid w:val="43526A49"/>
    <w:rsid w:val="43644E69"/>
    <w:rsid w:val="439F6E61"/>
    <w:rsid w:val="43BE2B8A"/>
    <w:rsid w:val="444255B6"/>
    <w:rsid w:val="44A66E7D"/>
    <w:rsid w:val="44AC2A30"/>
    <w:rsid w:val="44D31D31"/>
    <w:rsid w:val="450F2962"/>
    <w:rsid w:val="452B7DF8"/>
    <w:rsid w:val="45462E84"/>
    <w:rsid w:val="45482758"/>
    <w:rsid w:val="45671CBD"/>
    <w:rsid w:val="458F2FB5"/>
    <w:rsid w:val="4599112C"/>
    <w:rsid w:val="459C0CF6"/>
    <w:rsid w:val="46736B3C"/>
    <w:rsid w:val="46873DD0"/>
    <w:rsid w:val="46C16C66"/>
    <w:rsid w:val="46D149CF"/>
    <w:rsid w:val="47741649"/>
    <w:rsid w:val="47845EE5"/>
    <w:rsid w:val="47C85DD2"/>
    <w:rsid w:val="47ED3A8B"/>
    <w:rsid w:val="48081624"/>
    <w:rsid w:val="48896197"/>
    <w:rsid w:val="48C91E02"/>
    <w:rsid w:val="48DF1625"/>
    <w:rsid w:val="48FC6901"/>
    <w:rsid w:val="48FE1841"/>
    <w:rsid w:val="49025314"/>
    <w:rsid w:val="491A265E"/>
    <w:rsid w:val="49221F0B"/>
    <w:rsid w:val="497C2B8A"/>
    <w:rsid w:val="49916FD6"/>
    <w:rsid w:val="49D24877"/>
    <w:rsid w:val="4A4C4A99"/>
    <w:rsid w:val="4A826E28"/>
    <w:rsid w:val="4A8561FD"/>
    <w:rsid w:val="4A8B37B9"/>
    <w:rsid w:val="4AC97137"/>
    <w:rsid w:val="4B7324DB"/>
    <w:rsid w:val="4B7815D4"/>
    <w:rsid w:val="4B9656D2"/>
    <w:rsid w:val="4B9F6840"/>
    <w:rsid w:val="4BE100EF"/>
    <w:rsid w:val="4C1635B0"/>
    <w:rsid w:val="4C177113"/>
    <w:rsid w:val="4C1E4213"/>
    <w:rsid w:val="4C8B1FB6"/>
    <w:rsid w:val="4D115B26"/>
    <w:rsid w:val="4D16563C"/>
    <w:rsid w:val="4D673998"/>
    <w:rsid w:val="4DB90697"/>
    <w:rsid w:val="4E165AE9"/>
    <w:rsid w:val="4E1C29D4"/>
    <w:rsid w:val="4E280B54"/>
    <w:rsid w:val="4E37780E"/>
    <w:rsid w:val="4E590582"/>
    <w:rsid w:val="4E91146E"/>
    <w:rsid w:val="4EAC044A"/>
    <w:rsid w:val="4EBD72A6"/>
    <w:rsid w:val="4EF47004"/>
    <w:rsid w:val="4F320A9E"/>
    <w:rsid w:val="4F471CD3"/>
    <w:rsid w:val="4F6B7A5F"/>
    <w:rsid w:val="4F781E8C"/>
    <w:rsid w:val="4F79447E"/>
    <w:rsid w:val="4FE70DC0"/>
    <w:rsid w:val="4FEE03A0"/>
    <w:rsid w:val="5059342B"/>
    <w:rsid w:val="508F4A82"/>
    <w:rsid w:val="50B52C6C"/>
    <w:rsid w:val="51051479"/>
    <w:rsid w:val="520D67C1"/>
    <w:rsid w:val="52AA2CA4"/>
    <w:rsid w:val="52B0193D"/>
    <w:rsid w:val="531D5224"/>
    <w:rsid w:val="53236DB5"/>
    <w:rsid w:val="53394028"/>
    <w:rsid w:val="53460A16"/>
    <w:rsid w:val="53B03160"/>
    <w:rsid w:val="53B11E10"/>
    <w:rsid w:val="53BB67EB"/>
    <w:rsid w:val="53D46D42"/>
    <w:rsid w:val="53E50B93"/>
    <w:rsid w:val="54280325"/>
    <w:rsid w:val="54B5148C"/>
    <w:rsid w:val="54CA3B23"/>
    <w:rsid w:val="54CA6E6B"/>
    <w:rsid w:val="55002F4C"/>
    <w:rsid w:val="553A3451"/>
    <w:rsid w:val="55FB55C5"/>
    <w:rsid w:val="560B1ADB"/>
    <w:rsid w:val="561778BD"/>
    <w:rsid w:val="5621502B"/>
    <w:rsid w:val="563F35B6"/>
    <w:rsid w:val="566209E7"/>
    <w:rsid w:val="56843281"/>
    <w:rsid w:val="568F3904"/>
    <w:rsid w:val="56CA5A4F"/>
    <w:rsid w:val="56CC3E96"/>
    <w:rsid w:val="56E83D9B"/>
    <w:rsid w:val="57342B3C"/>
    <w:rsid w:val="57405985"/>
    <w:rsid w:val="57655DBD"/>
    <w:rsid w:val="57672F12"/>
    <w:rsid w:val="57696912"/>
    <w:rsid w:val="57797372"/>
    <w:rsid w:val="57970055"/>
    <w:rsid w:val="57A52A39"/>
    <w:rsid w:val="57B27F05"/>
    <w:rsid w:val="58A50087"/>
    <w:rsid w:val="58B10670"/>
    <w:rsid w:val="58B32426"/>
    <w:rsid w:val="58F20F01"/>
    <w:rsid w:val="590F7D8F"/>
    <w:rsid w:val="59350DEE"/>
    <w:rsid w:val="59952F94"/>
    <w:rsid w:val="59AA358A"/>
    <w:rsid w:val="59B2243E"/>
    <w:rsid w:val="59B53BA0"/>
    <w:rsid w:val="5A0A10DD"/>
    <w:rsid w:val="5A56726E"/>
    <w:rsid w:val="5A6E0A5B"/>
    <w:rsid w:val="5AD36B10"/>
    <w:rsid w:val="5ADC3C17"/>
    <w:rsid w:val="5ADC573B"/>
    <w:rsid w:val="5B0B1E06"/>
    <w:rsid w:val="5B2A0B2F"/>
    <w:rsid w:val="5BC16969"/>
    <w:rsid w:val="5BEF34D6"/>
    <w:rsid w:val="5BF925A6"/>
    <w:rsid w:val="5C2C64D8"/>
    <w:rsid w:val="5CBA7F88"/>
    <w:rsid w:val="5CC04E72"/>
    <w:rsid w:val="5D291F85"/>
    <w:rsid w:val="5D6514FF"/>
    <w:rsid w:val="5D7874FB"/>
    <w:rsid w:val="5DBE13B2"/>
    <w:rsid w:val="5E2006A3"/>
    <w:rsid w:val="5E6C0A33"/>
    <w:rsid w:val="5E785A05"/>
    <w:rsid w:val="5EAF1912"/>
    <w:rsid w:val="5ED0375F"/>
    <w:rsid w:val="5F136EB0"/>
    <w:rsid w:val="5F370970"/>
    <w:rsid w:val="5F5C0E82"/>
    <w:rsid w:val="5F6B37BB"/>
    <w:rsid w:val="5FA40A7B"/>
    <w:rsid w:val="5FEB2206"/>
    <w:rsid w:val="5FF9600D"/>
    <w:rsid w:val="6017124D"/>
    <w:rsid w:val="608C1C3B"/>
    <w:rsid w:val="61160B5C"/>
    <w:rsid w:val="618D4BBE"/>
    <w:rsid w:val="622F24BE"/>
    <w:rsid w:val="62347E94"/>
    <w:rsid w:val="624F2F20"/>
    <w:rsid w:val="6271733B"/>
    <w:rsid w:val="62B51380"/>
    <w:rsid w:val="62D6719E"/>
    <w:rsid w:val="63091321"/>
    <w:rsid w:val="63123361"/>
    <w:rsid w:val="635B76A3"/>
    <w:rsid w:val="637D3ABD"/>
    <w:rsid w:val="63861F03"/>
    <w:rsid w:val="63FF0976"/>
    <w:rsid w:val="64A47E77"/>
    <w:rsid w:val="64DB6CED"/>
    <w:rsid w:val="65150451"/>
    <w:rsid w:val="652E3C0F"/>
    <w:rsid w:val="652F2B95"/>
    <w:rsid w:val="6534707B"/>
    <w:rsid w:val="66327BF7"/>
    <w:rsid w:val="66335079"/>
    <w:rsid w:val="66404F36"/>
    <w:rsid w:val="66644C16"/>
    <w:rsid w:val="66652D12"/>
    <w:rsid w:val="6690467C"/>
    <w:rsid w:val="66A446EB"/>
    <w:rsid w:val="66B5531C"/>
    <w:rsid w:val="67114C48"/>
    <w:rsid w:val="671764AB"/>
    <w:rsid w:val="678C7890"/>
    <w:rsid w:val="68233E92"/>
    <w:rsid w:val="684B396E"/>
    <w:rsid w:val="68752646"/>
    <w:rsid w:val="68A37B22"/>
    <w:rsid w:val="68CD2DF1"/>
    <w:rsid w:val="68F42A0B"/>
    <w:rsid w:val="69342E70"/>
    <w:rsid w:val="696A6892"/>
    <w:rsid w:val="69AE756A"/>
    <w:rsid w:val="6A39281D"/>
    <w:rsid w:val="6A5466E9"/>
    <w:rsid w:val="6A7774B8"/>
    <w:rsid w:val="6AA0366A"/>
    <w:rsid w:val="6AD57716"/>
    <w:rsid w:val="6ADE3093"/>
    <w:rsid w:val="6AF208ED"/>
    <w:rsid w:val="6AFE1987"/>
    <w:rsid w:val="6B234F4A"/>
    <w:rsid w:val="6B3734E3"/>
    <w:rsid w:val="6B6C68F1"/>
    <w:rsid w:val="6B9D4CFC"/>
    <w:rsid w:val="6BE7241B"/>
    <w:rsid w:val="6BF57F88"/>
    <w:rsid w:val="6C066D46"/>
    <w:rsid w:val="6C251FBB"/>
    <w:rsid w:val="6C2E7FC5"/>
    <w:rsid w:val="6C5A6245"/>
    <w:rsid w:val="6C8163CC"/>
    <w:rsid w:val="6C901341"/>
    <w:rsid w:val="6CAB169B"/>
    <w:rsid w:val="6CAE6A95"/>
    <w:rsid w:val="6CC4275D"/>
    <w:rsid w:val="6CC46483"/>
    <w:rsid w:val="6D2156DC"/>
    <w:rsid w:val="6D372470"/>
    <w:rsid w:val="6D3C6797"/>
    <w:rsid w:val="6D6C1709"/>
    <w:rsid w:val="6DAC0977"/>
    <w:rsid w:val="6E0252EB"/>
    <w:rsid w:val="6E5C19CE"/>
    <w:rsid w:val="6EA2607D"/>
    <w:rsid w:val="6EA45408"/>
    <w:rsid w:val="6EC16F54"/>
    <w:rsid w:val="6ED317D6"/>
    <w:rsid w:val="6ED529FF"/>
    <w:rsid w:val="6EE80984"/>
    <w:rsid w:val="6EFD5AB2"/>
    <w:rsid w:val="6F00293A"/>
    <w:rsid w:val="6F0D49D1"/>
    <w:rsid w:val="6FBD33FE"/>
    <w:rsid w:val="6FEA24DA"/>
    <w:rsid w:val="7027728A"/>
    <w:rsid w:val="70AE52B6"/>
    <w:rsid w:val="70EC18B8"/>
    <w:rsid w:val="70EF4BF6"/>
    <w:rsid w:val="711C152C"/>
    <w:rsid w:val="712060FE"/>
    <w:rsid w:val="712B4B58"/>
    <w:rsid w:val="7201431A"/>
    <w:rsid w:val="72021B5A"/>
    <w:rsid w:val="726227FC"/>
    <w:rsid w:val="727F15D8"/>
    <w:rsid w:val="72B01473"/>
    <w:rsid w:val="72CA2A64"/>
    <w:rsid w:val="73565639"/>
    <w:rsid w:val="73740A39"/>
    <w:rsid w:val="73BC23E0"/>
    <w:rsid w:val="73DB05C0"/>
    <w:rsid w:val="74075FB0"/>
    <w:rsid w:val="742076B8"/>
    <w:rsid w:val="74293E7E"/>
    <w:rsid w:val="74A06189"/>
    <w:rsid w:val="74A94712"/>
    <w:rsid w:val="754601B3"/>
    <w:rsid w:val="75634F83"/>
    <w:rsid w:val="75711682"/>
    <w:rsid w:val="757C3BD5"/>
    <w:rsid w:val="75D35CCA"/>
    <w:rsid w:val="760A6969"/>
    <w:rsid w:val="76197675"/>
    <w:rsid w:val="761B33ED"/>
    <w:rsid w:val="76C021E7"/>
    <w:rsid w:val="76CF5F86"/>
    <w:rsid w:val="76D17F50"/>
    <w:rsid w:val="77B43BA0"/>
    <w:rsid w:val="77B92EBE"/>
    <w:rsid w:val="77D221D2"/>
    <w:rsid w:val="77DC2970"/>
    <w:rsid w:val="780A4000"/>
    <w:rsid w:val="781520BE"/>
    <w:rsid w:val="7840713B"/>
    <w:rsid w:val="78697846"/>
    <w:rsid w:val="787212BF"/>
    <w:rsid w:val="78764DC8"/>
    <w:rsid w:val="787C30B9"/>
    <w:rsid w:val="787C544D"/>
    <w:rsid w:val="78BB0DBC"/>
    <w:rsid w:val="7972247C"/>
    <w:rsid w:val="79B419D7"/>
    <w:rsid w:val="79D25064"/>
    <w:rsid w:val="79D25E11"/>
    <w:rsid w:val="7A3B22B0"/>
    <w:rsid w:val="7A4160FC"/>
    <w:rsid w:val="7A7949C1"/>
    <w:rsid w:val="7AA80CC3"/>
    <w:rsid w:val="7AF1296F"/>
    <w:rsid w:val="7AFE0EDA"/>
    <w:rsid w:val="7B5014A7"/>
    <w:rsid w:val="7BB10350"/>
    <w:rsid w:val="7BD25D7B"/>
    <w:rsid w:val="7BE349AD"/>
    <w:rsid w:val="7C016BE2"/>
    <w:rsid w:val="7C2569DE"/>
    <w:rsid w:val="7C684EB3"/>
    <w:rsid w:val="7C707B9F"/>
    <w:rsid w:val="7C8141C6"/>
    <w:rsid w:val="7C855A65"/>
    <w:rsid w:val="7C9C3264"/>
    <w:rsid w:val="7CA875CE"/>
    <w:rsid w:val="7CC145C3"/>
    <w:rsid w:val="7D07647A"/>
    <w:rsid w:val="7D141D22"/>
    <w:rsid w:val="7D44147C"/>
    <w:rsid w:val="7D4551F4"/>
    <w:rsid w:val="7D5947FB"/>
    <w:rsid w:val="7DC07555"/>
    <w:rsid w:val="7DC4436B"/>
    <w:rsid w:val="7DE67CC9"/>
    <w:rsid w:val="7E025C62"/>
    <w:rsid w:val="7E6950CA"/>
    <w:rsid w:val="7E8D0C00"/>
    <w:rsid w:val="7E9E696A"/>
    <w:rsid w:val="7F0569E9"/>
    <w:rsid w:val="7F062761"/>
    <w:rsid w:val="7F0D1D41"/>
    <w:rsid w:val="7F2D5F40"/>
    <w:rsid w:val="7F4A6215"/>
    <w:rsid w:val="7F6D77C7"/>
    <w:rsid w:val="7FB94EC7"/>
    <w:rsid w:val="7FC2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95"/>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194"/>
    <w:qFormat/>
    <w:uiPriority w:val="0"/>
    <w:pPr>
      <w:keepNext/>
      <w:keepLines/>
      <w:spacing w:before="260" w:after="260" w:line="416" w:lineRule="auto"/>
      <w:outlineLvl w:val="2"/>
    </w:pPr>
    <w:rPr>
      <w:b/>
      <w:bCs/>
      <w:sz w:val="32"/>
      <w:szCs w:val="32"/>
    </w:rPr>
  </w:style>
  <w:style w:type="paragraph" w:styleId="5">
    <w:name w:val="heading 4"/>
    <w:basedOn w:val="1"/>
    <w:next w:val="1"/>
    <w:link w:val="180"/>
    <w:qFormat/>
    <w:uiPriority w:val="0"/>
    <w:pPr>
      <w:widowControl/>
      <w:spacing w:before="100" w:beforeAutospacing="1" w:after="100" w:afterAutospacing="1"/>
      <w:jc w:val="left"/>
      <w:outlineLvl w:val="3"/>
    </w:pPr>
    <w:rPr>
      <w:rFonts w:ascii="宋体" w:hAnsi="宋体" w:cs="宋体"/>
      <w:b/>
      <w:bCs/>
      <w:kern w:val="0"/>
      <w:sz w:val="24"/>
    </w:rPr>
  </w:style>
  <w:style w:type="paragraph" w:styleId="6">
    <w:name w:val="heading 5"/>
    <w:basedOn w:val="1"/>
    <w:next w:val="1"/>
    <w:link w:val="293"/>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7">
    <w:name w:val="heading 6"/>
    <w:basedOn w:val="8"/>
    <w:next w:val="1"/>
    <w:link w:val="196"/>
    <w:qFormat/>
    <w:uiPriority w:val="0"/>
    <w:pPr>
      <w:keepNext/>
      <w:keepLines/>
      <w:ind w:firstLine="200" w:firstLineChars="200"/>
      <w:outlineLvl w:val="5"/>
    </w:pPr>
    <w:rPr>
      <w:rFonts w:hAnsi="Arial"/>
    </w:rPr>
  </w:style>
  <w:style w:type="paragraph" w:styleId="9">
    <w:name w:val="heading 7"/>
    <w:basedOn w:val="1"/>
    <w:next w:val="1"/>
    <w:link w:val="273"/>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0">
    <w:name w:val="heading 8"/>
    <w:basedOn w:val="1"/>
    <w:next w:val="1"/>
    <w:link w:val="268"/>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1">
    <w:name w:val="heading 9"/>
    <w:basedOn w:val="1"/>
    <w:next w:val="1"/>
    <w:link w:val="199"/>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8">
    <w:name w:val="Default Paragraph Font"/>
    <w:qFormat/>
    <w:uiPriority w:val="1"/>
  </w:style>
  <w:style w:type="table" w:default="1" w:styleId="46">
    <w:name w:val="Normal Table"/>
    <w:qFormat/>
    <w:uiPriority w:val="99"/>
    <w:tblPr>
      <w:tblCellMar>
        <w:top w:w="0" w:type="dxa"/>
        <w:left w:w="108" w:type="dxa"/>
        <w:bottom w:w="0" w:type="dxa"/>
        <w:right w:w="108" w:type="dxa"/>
      </w:tblCellMar>
    </w:tblPr>
  </w:style>
  <w:style w:type="paragraph" w:styleId="8">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2">
    <w:name w:val="toc 7"/>
    <w:basedOn w:val="1"/>
    <w:next w:val="1"/>
    <w:qFormat/>
    <w:uiPriority w:val="39"/>
    <w:pPr>
      <w:ind w:left="1260"/>
      <w:jc w:val="left"/>
    </w:pPr>
    <w:rPr>
      <w:sz w:val="18"/>
      <w:szCs w:val="18"/>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205"/>
    <w:qFormat/>
    <w:uiPriority w:val="0"/>
    <w:pPr>
      <w:shd w:val="clear" w:color="auto" w:fill="000080"/>
    </w:pPr>
  </w:style>
  <w:style w:type="paragraph" w:styleId="15">
    <w:name w:val="annotation text"/>
    <w:basedOn w:val="1"/>
    <w:link w:val="290"/>
    <w:qFormat/>
    <w:uiPriority w:val="99"/>
    <w:pPr>
      <w:jc w:val="left"/>
    </w:pPr>
  </w:style>
  <w:style w:type="paragraph" w:styleId="16">
    <w:name w:val="Body Text 3"/>
    <w:basedOn w:val="1"/>
    <w:link w:val="309"/>
    <w:qFormat/>
    <w:uiPriority w:val="0"/>
    <w:pPr>
      <w:spacing w:after="120"/>
    </w:pPr>
    <w:rPr>
      <w:sz w:val="16"/>
      <w:szCs w:val="16"/>
    </w:rPr>
  </w:style>
  <w:style w:type="paragraph" w:styleId="17">
    <w:name w:val="Body Text"/>
    <w:basedOn w:val="1"/>
    <w:next w:val="1"/>
    <w:link w:val="215"/>
    <w:qFormat/>
    <w:uiPriority w:val="0"/>
    <w:pPr>
      <w:spacing w:after="120"/>
    </w:pPr>
  </w:style>
  <w:style w:type="paragraph" w:styleId="18">
    <w:name w:val="Body Text Indent"/>
    <w:basedOn w:val="1"/>
    <w:next w:val="1"/>
    <w:link w:val="270"/>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4"/>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305"/>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158"/>
    <w:qFormat/>
    <w:uiPriority w:val="0"/>
    <w:pPr>
      <w:ind w:left="100" w:leftChars="2500"/>
    </w:pPr>
  </w:style>
  <w:style w:type="paragraph" w:styleId="26">
    <w:name w:val="Body Text Indent 2"/>
    <w:basedOn w:val="1"/>
    <w:link w:val="272"/>
    <w:qFormat/>
    <w:uiPriority w:val="0"/>
    <w:pPr>
      <w:widowControl/>
      <w:spacing w:line="480" w:lineRule="auto"/>
      <w:ind w:firstLine="560"/>
      <w:jc w:val="left"/>
    </w:pPr>
    <w:rPr>
      <w:kern w:val="0"/>
      <w:sz w:val="28"/>
    </w:rPr>
  </w:style>
  <w:style w:type="paragraph" w:styleId="27">
    <w:name w:val="endnote text"/>
    <w:basedOn w:val="1"/>
    <w:link w:val="182"/>
    <w:qFormat/>
    <w:uiPriority w:val="0"/>
    <w:pPr>
      <w:widowControl/>
      <w:snapToGrid w:val="0"/>
      <w:jc w:val="left"/>
    </w:pPr>
    <w:rPr>
      <w:rFonts w:ascii="Arial" w:hAnsi="Arial" w:cs="Arial"/>
      <w:kern w:val="0"/>
      <w:sz w:val="20"/>
      <w:lang w:eastAsia="en-US"/>
    </w:rPr>
  </w:style>
  <w:style w:type="paragraph" w:styleId="28">
    <w:name w:val="Balloon Text"/>
    <w:basedOn w:val="1"/>
    <w:link w:val="209"/>
    <w:qFormat/>
    <w:uiPriority w:val="0"/>
    <w:rPr>
      <w:sz w:val="18"/>
      <w:szCs w:val="18"/>
    </w:rPr>
  </w:style>
  <w:style w:type="paragraph" w:styleId="29">
    <w:name w:val="footer"/>
    <w:basedOn w:val="1"/>
    <w:link w:val="197"/>
    <w:qFormat/>
    <w:uiPriority w:val="0"/>
    <w:pPr>
      <w:tabs>
        <w:tab w:val="center" w:pos="4153"/>
        <w:tab w:val="right" w:pos="8306"/>
      </w:tabs>
      <w:snapToGrid w:val="0"/>
      <w:jc w:val="left"/>
    </w:pPr>
    <w:rPr>
      <w:sz w:val="18"/>
      <w:szCs w:val="18"/>
    </w:rPr>
  </w:style>
  <w:style w:type="paragraph" w:styleId="30">
    <w:name w:val="header"/>
    <w:basedOn w:val="1"/>
    <w:link w:val="237"/>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2"/>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5"/>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2"/>
    <w:qFormat/>
    <w:uiPriority w:val="0"/>
    <w:pPr>
      <w:widowControl/>
      <w:jc w:val="center"/>
    </w:pPr>
    <w:rPr>
      <w:kern w:val="0"/>
      <w:sz w:val="20"/>
      <w:u w:val="single"/>
      <w:lang w:eastAsia="en-US"/>
    </w:rPr>
  </w:style>
  <w:style w:type="paragraph" w:styleId="34">
    <w:name w:val="footnote text"/>
    <w:basedOn w:val="1"/>
    <w:link w:val="217"/>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269"/>
    <w:qFormat/>
    <w:uiPriority w:val="0"/>
    <w:pPr>
      <w:spacing w:line="360" w:lineRule="auto"/>
      <w:ind w:firstLine="280" w:firstLineChars="100"/>
    </w:pPr>
    <w:rPr>
      <w:rFonts w:ascii="宋体" w:hAnsi="宋体"/>
      <w:sz w:val="28"/>
      <w:szCs w:val="28"/>
    </w:rPr>
  </w:style>
  <w:style w:type="paragraph" w:styleId="37">
    <w:name w:val="toc 2"/>
    <w:basedOn w:val="3"/>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265"/>
    <w:qFormat/>
    <w:uiPriority w:val="0"/>
    <w:rPr>
      <w:i/>
      <w:iCs/>
      <w:sz w:val="26"/>
    </w:rPr>
  </w:style>
  <w:style w:type="paragraph" w:styleId="40">
    <w:name w:val="HTML Preformatted"/>
    <w:basedOn w:val="1"/>
    <w:link w:val="17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212"/>
    <w:qFormat/>
    <w:uiPriority w:val="0"/>
    <w:pPr>
      <w:widowControl/>
      <w:jc w:val="center"/>
    </w:pPr>
    <w:rPr>
      <w:kern w:val="0"/>
      <w:sz w:val="20"/>
      <w:u w:val="single"/>
      <w:lang w:eastAsia="en-US"/>
    </w:rPr>
  </w:style>
  <w:style w:type="paragraph" w:styleId="44">
    <w:name w:val="annotation subject"/>
    <w:basedOn w:val="15"/>
    <w:next w:val="15"/>
    <w:link w:val="264"/>
    <w:qFormat/>
    <w:uiPriority w:val="0"/>
    <w:rPr>
      <w:b/>
      <w:bCs/>
    </w:rPr>
  </w:style>
  <w:style w:type="paragraph" w:styleId="45">
    <w:name w:val="Body Text First Indent 2"/>
    <w:basedOn w:val="18"/>
    <w:next w:val="1"/>
    <w:qFormat/>
    <w:uiPriority w:val="99"/>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table" w:styleId="47">
    <w:name w:val="Table Grid"/>
    <w:basedOn w:val="46"/>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9">
    <w:name w:val="Strong"/>
    <w:qFormat/>
    <w:uiPriority w:val="0"/>
    <w:rPr>
      <w:b/>
      <w:bCs/>
    </w:rPr>
  </w:style>
  <w:style w:type="character" w:styleId="50">
    <w:name w:val="endnote reference"/>
    <w:qFormat/>
    <w:uiPriority w:val="0"/>
    <w:rPr>
      <w:vertAlign w:val="superscript"/>
    </w:rPr>
  </w:style>
  <w:style w:type="character" w:styleId="51">
    <w:name w:val="page number"/>
    <w:basedOn w:val="48"/>
    <w:qFormat/>
    <w:uiPriority w:val="0"/>
  </w:style>
  <w:style w:type="character" w:styleId="52">
    <w:name w:val="FollowedHyperlink"/>
    <w:qFormat/>
    <w:uiPriority w:val="0"/>
    <w:rPr>
      <w:color w:val="800080"/>
      <w:u w:val="single"/>
    </w:rPr>
  </w:style>
  <w:style w:type="character" w:styleId="53">
    <w:name w:val="Emphasis"/>
    <w:qFormat/>
    <w:uiPriority w:val="0"/>
    <w:rPr>
      <w:i/>
      <w:iCs/>
    </w:rPr>
  </w:style>
  <w:style w:type="character" w:styleId="54">
    <w:name w:val="Hyperlink"/>
    <w:qFormat/>
    <w:uiPriority w:val="99"/>
    <w:rPr>
      <w:color w:val="0000FF"/>
      <w:u w:val="singl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paragraph" w:customStyle="1" w:styleId="57">
    <w:name w:val="目录 53"/>
    <w:next w:val="1"/>
    <w:qFormat/>
    <w:uiPriority w:val="99"/>
    <w:pPr>
      <w:wordWrap w:val="0"/>
      <w:ind w:left="1275"/>
      <w:jc w:val="both"/>
    </w:pPr>
    <w:rPr>
      <w:rFonts w:ascii="Calibri" w:hAnsi="Calibri" w:eastAsia="宋体" w:cs="Times New Roman"/>
      <w:sz w:val="21"/>
      <w:lang w:val="en-US" w:eastAsia="zh-CN" w:bidi="ar-SA"/>
    </w:rPr>
  </w:style>
  <w:style w:type="paragraph" w:customStyle="1" w:styleId="58">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59">
    <w:name w:val="_Style 101"/>
    <w:basedOn w:val="1"/>
    <w:qFormat/>
    <w:uiPriority w:val="99"/>
    <w:pPr>
      <w:ind w:firstLine="420" w:firstLineChars="200"/>
    </w:pPr>
    <w:rPr>
      <w:sz w:val="28"/>
      <w:szCs w:val="28"/>
    </w:rPr>
  </w:style>
  <w:style w:type="paragraph" w:customStyle="1" w:styleId="60">
    <w:name w:val="表格标题"/>
    <w:basedOn w:val="61"/>
    <w:qFormat/>
    <w:uiPriority w:val="0"/>
  </w:style>
  <w:style w:type="paragraph" w:customStyle="1" w:styleId="61">
    <w:name w:val="表格内容"/>
    <w:basedOn w:val="1"/>
    <w:qFormat/>
    <w:uiPriority w:val="0"/>
    <w:pPr>
      <w:suppressLineNumbers/>
      <w:suppressAutoHyphens/>
    </w:pPr>
  </w:style>
  <w:style w:type="paragraph" w:customStyle="1" w:styleId="62">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3">
    <w:name w:val="修订1"/>
    <w:qFormat/>
    <w:uiPriority w:val="0"/>
    <w:rPr>
      <w:rFonts w:ascii="Times New Roman" w:hAnsi="Times New Roman" w:eastAsia="宋体" w:cs="Times New Roman"/>
      <w:kern w:val="2"/>
      <w:sz w:val="21"/>
      <w:szCs w:val="24"/>
      <w:lang w:val="en-US" w:eastAsia="zh-CN" w:bidi="ar-SA"/>
    </w:rPr>
  </w:style>
  <w:style w:type="paragraph" w:customStyle="1" w:styleId="64">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65">
    <w:name w:val="标准样式1"/>
    <w:basedOn w:val="1"/>
    <w:qFormat/>
    <w:uiPriority w:val="0"/>
    <w:pPr>
      <w:spacing w:line="600" w:lineRule="exact"/>
      <w:ind w:firstLine="567"/>
    </w:pPr>
    <w:rPr>
      <w:rFonts w:ascii="Calibri" w:hAnsi="Calibri"/>
      <w:sz w:val="28"/>
    </w:rPr>
  </w:style>
  <w:style w:type="paragraph" w:customStyle="1" w:styleId="66">
    <w:name w:val="列出段落11"/>
    <w:basedOn w:val="1"/>
    <w:qFormat/>
    <w:uiPriority w:val="0"/>
    <w:pPr>
      <w:ind w:firstLine="420" w:firstLineChars="200"/>
    </w:pPr>
    <w:rPr>
      <w:sz w:val="28"/>
      <w:szCs w:val="28"/>
    </w:rPr>
  </w:style>
  <w:style w:type="paragraph" w:customStyle="1" w:styleId="67">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68">
    <w:name w:val="WW-表格标题"/>
    <w:basedOn w:val="69"/>
    <w:qFormat/>
    <w:uiPriority w:val="0"/>
  </w:style>
  <w:style w:type="paragraph" w:customStyle="1" w:styleId="69">
    <w:name w:val="WW-表格内容"/>
    <w:basedOn w:val="1"/>
    <w:qFormat/>
    <w:uiPriority w:val="0"/>
    <w:pPr>
      <w:suppressLineNumbers/>
      <w:suppressAutoHyphens/>
    </w:pPr>
  </w:style>
  <w:style w:type="paragraph" w:customStyle="1" w:styleId="70">
    <w:name w:val="引用2"/>
    <w:basedOn w:val="1"/>
    <w:next w:val="1"/>
    <w:link w:val="301"/>
    <w:qFormat/>
    <w:uiPriority w:val="0"/>
    <w:rPr>
      <w:i/>
      <w:iCs/>
      <w:color w:val="000000"/>
    </w:rPr>
  </w:style>
  <w:style w:type="paragraph" w:customStyle="1" w:styleId="71">
    <w:name w:val="Char Char Char Char Char Char Char Char Char Char"/>
    <w:basedOn w:val="14"/>
    <w:qFormat/>
    <w:uiPriority w:val="0"/>
    <w:pPr>
      <w:spacing w:line="360" w:lineRule="auto"/>
      <w:ind w:firstLine="200" w:firstLineChars="200"/>
    </w:pPr>
    <w:rPr>
      <w:rFonts w:ascii="Tahoma" w:hAnsi="Tahoma"/>
      <w:sz w:val="24"/>
    </w:rPr>
  </w:style>
  <w:style w:type="paragraph" w:customStyle="1" w:styleId="7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3">
    <w:name w:val="Char Char Char Char"/>
    <w:basedOn w:val="14"/>
    <w:qFormat/>
    <w:uiPriority w:val="0"/>
    <w:pPr>
      <w:spacing w:line="360" w:lineRule="auto"/>
      <w:ind w:firstLine="200" w:firstLineChars="200"/>
    </w:pPr>
    <w:rPr>
      <w:rFonts w:ascii="Tahoma" w:hAnsi="Tahoma"/>
      <w:sz w:val="24"/>
    </w:rPr>
  </w:style>
  <w:style w:type="paragraph" w:customStyle="1" w:styleId="74">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5">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6">
    <w:name w:val="p16"/>
    <w:basedOn w:val="1"/>
    <w:qFormat/>
    <w:uiPriority w:val="0"/>
    <w:pPr>
      <w:widowControl/>
    </w:pPr>
    <w:rPr>
      <w:rFonts w:ascii="Calibri" w:hAnsi="Calibri" w:cs="宋体"/>
      <w:kern w:val="0"/>
      <w:szCs w:val="21"/>
    </w:rPr>
  </w:style>
  <w:style w:type="paragraph" w:customStyle="1" w:styleId="77">
    <w:name w:val="列出段落1"/>
    <w:basedOn w:val="1"/>
    <w:qFormat/>
    <w:uiPriority w:val="0"/>
    <w:pPr>
      <w:ind w:firstLine="420" w:firstLineChars="200"/>
    </w:pPr>
    <w:rPr>
      <w:sz w:val="28"/>
      <w:szCs w:val="28"/>
    </w:rPr>
  </w:style>
  <w:style w:type="paragraph" w:customStyle="1" w:styleId="78">
    <w:name w:val="样式1"/>
    <w:basedOn w:val="1"/>
    <w:next w:val="5"/>
    <w:qFormat/>
    <w:uiPriority w:val="0"/>
    <w:pPr>
      <w:spacing w:line="360" w:lineRule="auto"/>
      <w:ind w:firstLine="420" w:firstLineChars="200"/>
    </w:pPr>
    <w:rPr>
      <w:rFonts w:ascii="宋体" w:hAnsi="宋体"/>
      <w:szCs w:val="21"/>
    </w:rPr>
  </w:style>
  <w:style w:type="paragraph" w:customStyle="1" w:styleId="79">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80">
    <w:name w:val="Char9 Char Char Char Char Char Char"/>
    <w:basedOn w:val="14"/>
    <w:qFormat/>
    <w:uiPriority w:val="0"/>
    <w:pPr>
      <w:spacing w:line="360" w:lineRule="auto"/>
      <w:ind w:firstLine="200" w:firstLineChars="200"/>
    </w:pPr>
    <w:rPr>
      <w:rFonts w:ascii="Tahoma" w:hAnsi="Tahoma"/>
      <w:sz w:val="24"/>
    </w:rPr>
  </w:style>
  <w:style w:type="paragraph" w:customStyle="1" w:styleId="81">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2">
    <w:name w:val="引用1"/>
    <w:basedOn w:val="1"/>
    <w:next w:val="1"/>
    <w:link w:val="151"/>
    <w:qFormat/>
    <w:uiPriority w:val="29"/>
    <w:rPr>
      <w:i/>
      <w:iCs/>
      <w:color w:val="000000"/>
      <w:szCs w:val="20"/>
    </w:rPr>
  </w:style>
  <w:style w:type="paragraph" w:customStyle="1" w:styleId="83">
    <w:name w:val="表格文字"/>
    <w:basedOn w:val="1"/>
    <w:qFormat/>
    <w:uiPriority w:val="0"/>
    <w:pPr>
      <w:adjustRightInd w:val="0"/>
      <w:spacing w:line="420" w:lineRule="atLeast"/>
      <w:jc w:val="left"/>
      <w:textAlignment w:val="baseline"/>
    </w:pPr>
    <w:rPr>
      <w:kern w:val="0"/>
      <w:szCs w:val="20"/>
    </w:rPr>
  </w:style>
  <w:style w:type="paragraph" w:customStyle="1" w:styleId="84">
    <w:name w:val="_Style 96"/>
    <w:qFormat/>
    <w:uiPriority w:val="99"/>
    <w:rPr>
      <w:rFonts w:ascii="Calibri" w:hAnsi="Calibri" w:eastAsia="宋体" w:cs="Times New Roman"/>
      <w:kern w:val="2"/>
      <w:sz w:val="21"/>
      <w:szCs w:val="24"/>
      <w:lang w:val="en-US" w:eastAsia="zh-CN" w:bidi="ar-SA"/>
    </w:rPr>
  </w:style>
  <w:style w:type="paragraph" w:customStyle="1" w:styleId="8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6">
    <w:name w:val="_Style 105"/>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7">
    <w:name w:val="正  文"/>
    <w:basedOn w:val="1"/>
    <w:qFormat/>
    <w:uiPriority w:val="0"/>
    <w:pPr>
      <w:spacing w:line="360" w:lineRule="auto"/>
      <w:ind w:firstLine="200" w:firstLineChars="200"/>
    </w:pPr>
    <w:rPr>
      <w:rFonts w:ascii="宋体" w:hAnsi="Calibri"/>
      <w:sz w:val="24"/>
    </w:rPr>
  </w:style>
  <w:style w:type="paragraph" w:customStyle="1" w:styleId="88">
    <w:name w:val="标题4"/>
    <w:basedOn w:val="3"/>
    <w:next w:val="20"/>
    <w:link w:val="244"/>
    <w:qFormat/>
    <w:uiPriority w:val="0"/>
    <w:pPr>
      <w:spacing w:line="413" w:lineRule="auto"/>
    </w:pPr>
    <w:rPr>
      <w:rFonts w:ascii="Arial" w:hAnsi="Arial"/>
      <w:kern w:val="0"/>
      <w:sz w:val="24"/>
    </w:rPr>
  </w:style>
  <w:style w:type="paragraph" w:customStyle="1" w:styleId="89">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9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9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93">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94">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95">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96">
    <w:name w:val="1 Char"/>
    <w:basedOn w:val="1"/>
    <w:qFormat/>
    <w:uiPriority w:val="0"/>
    <w:pPr>
      <w:widowControl/>
      <w:spacing w:after="160" w:line="240" w:lineRule="exact"/>
      <w:jc w:val="left"/>
    </w:pPr>
    <w:rPr>
      <w:rFonts w:ascii="Calibri" w:hAnsi="Calibri"/>
      <w:szCs w:val="20"/>
    </w:rPr>
  </w:style>
  <w:style w:type="paragraph" w:customStyle="1" w:styleId="97">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98">
    <w:name w:val="pa-34"/>
    <w:basedOn w:val="1"/>
    <w:qFormat/>
    <w:uiPriority w:val="0"/>
    <w:pPr>
      <w:widowControl/>
      <w:spacing w:line="360" w:lineRule="atLeast"/>
      <w:ind w:firstLine="420"/>
      <w:jc w:val="left"/>
    </w:pPr>
    <w:rPr>
      <w:rFonts w:ascii="宋体" w:hAnsi="宋体" w:cs="宋体"/>
      <w:kern w:val="0"/>
      <w:sz w:val="24"/>
    </w:rPr>
  </w:style>
  <w:style w:type="paragraph" w:customStyle="1" w:styleId="99">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0">
    <w:name w:val="p15"/>
    <w:basedOn w:val="1"/>
    <w:qFormat/>
    <w:uiPriority w:val="0"/>
    <w:pPr>
      <w:widowControl/>
      <w:spacing w:after="120"/>
    </w:pPr>
    <w:rPr>
      <w:kern w:val="0"/>
      <w:szCs w:val="21"/>
    </w:rPr>
  </w:style>
  <w:style w:type="paragraph" w:customStyle="1" w:styleId="101">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
    <w:name w:val="Char Char Char Char Char Char Char Char Char Char Char Char Char Char Char Char"/>
    <w:basedOn w:val="14"/>
    <w:qFormat/>
    <w:uiPriority w:val="0"/>
    <w:pPr>
      <w:spacing w:line="360" w:lineRule="auto"/>
      <w:ind w:firstLine="200" w:firstLineChars="200"/>
    </w:pPr>
    <w:rPr>
      <w:rFonts w:ascii="Tahoma" w:hAnsi="Tahoma"/>
      <w:sz w:val="24"/>
    </w:rPr>
  </w:style>
  <w:style w:type="paragraph" w:customStyle="1" w:styleId="103">
    <w:name w:val="_Style 124"/>
    <w:basedOn w:val="1"/>
    <w:next w:val="1"/>
    <w:link w:val="198"/>
    <w:qFormat/>
    <w:uiPriority w:val="0"/>
    <w:rPr>
      <w:i/>
      <w:iCs/>
      <w:color w:val="000000"/>
      <w:szCs w:val="22"/>
    </w:rPr>
  </w:style>
  <w:style w:type="paragraph" w:customStyle="1" w:styleId="104">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0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6">
    <w:name w:val="Char Char"/>
    <w:basedOn w:val="1"/>
    <w:qFormat/>
    <w:uiPriority w:val="0"/>
    <w:pPr>
      <w:widowControl/>
      <w:jc w:val="left"/>
    </w:pPr>
    <w:rPr>
      <w:rFonts w:ascii="Verdana" w:hAnsi="Verdana" w:eastAsia="Times New Roman"/>
      <w:kern w:val="0"/>
      <w:sz w:val="16"/>
      <w:szCs w:val="20"/>
      <w:lang w:eastAsia="en-US"/>
    </w:rPr>
  </w:style>
  <w:style w:type="paragraph" w:customStyle="1" w:styleId="107">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108">
    <w:name w:val="pa-27"/>
    <w:basedOn w:val="1"/>
    <w:qFormat/>
    <w:uiPriority w:val="0"/>
    <w:pPr>
      <w:widowControl/>
      <w:spacing w:line="360" w:lineRule="atLeast"/>
      <w:ind w:firstLine="420"/>
    </w:pPr>
    <w:rPr>
      <w:rFonts w:ascii="宋体" w:hAnsi="宋体" w:cs="宋体"/>
      <w:kern w:val="0"/>
      <w:sz w:val="24"/>
    </w:rPr>
  </w:style>
  <w:style w:type="paragraph" w:customStyle="1" w:styleId="109">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0">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11">
    <w:name w:val="表格"/>
    <w:basedOn w:val="1"/>
    <w:qFormat/>
    <w:uiPriority w:val="0"/>
    <w:pPr>
      <w:jc w:val="center"/>
      <w:textAlignment w:val="center"/>
    </w:pPr>
    <w:rPr>
      <w:rFonts w:ascii="华文细黑" w:hAnsi="华文细黑"/>
      <w:kern w:val="0"/>
      <w:szCs w:val="20"/>
    </w:rPr>
  </w:style>
  <w:style w:type="paragraph" w:customStyle="1" w:styleId="112">
    <w:name w:val="明显引用1"/>
    <w:basedOn w:val="1"/>
    <w:next w:val="1"/>
    <w:link w:val="299"/>
    <w:qFormat/>
    <w:uiPriority w:val="30"/>
    <w:pPr>
      <w:pBdr>
        <w:bottom w:val="single" w:color="4F81BD" w:sz="4" w:space="4"/>
      </w:pBdr>
      <w:spacing w:before="200" w:after="280"/>
      <w:ind w:left="936" w:right="936"/>
    </w:pPr>
    <w:rPr>
      <w:b/>
      <w:bCs/>
      <w:i/>
      <w:iCs/>
      <w:color w:val="4F81BD"/>
      <w:szCs w:val="20"/>
    </w:rPr>
  </w:style>
  <w:style w:type="paragraph" w:customStyle="1" w:styleId="113">
    <w:name w:val="样式15"/>
    <w:basedOn w:val="4"/>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4">
    <w:name w:val="TOC 标题2"/>
    <w:basedOn w:val="2"/>
    <w:next w:val="1"/>
    <w:qFormat/>
    <w:uiPriority w:val="0"/>
    <w:pPr>
      <w:outlineLvl w:val="9"/>
    </w:pPr>
    <w:rPr>
      <w:rFonts w:ascii="Calibri" w:hAnsi="Calibri"/>
    </w:rPr>
  </w:style>
  <w:style w:type="paragraph" w:customStyle="1" w:styleId="115">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16">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7">
    <w:name w:val="标题5"/>
    <w:basedOn w:val="4"/>
    <w:link w:val="166"/>
    <w:qFormat/>
    <w:uiPriority w:val="0"/>
    <w:pPr>
      <w:spacing w:line="413" w:lineRule="auto"/>
    </w:pPr>
    <w:rPr>
      <w:rFonts w:ascii="Arial" w:hAnsi="Arial"/>
      <w:kern w:val="0"/>
      <w:sz w:val="24"/>
    </w:rPr>
  </w:style>
  <w:style w:type="paragraph" w:customStyle="1" w:styleId="118">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19">
    <w:name w:val="_Style 64"/>
    <w:basedOn w:val="1"/>
    <w:next w:val="1"/>
    <w:link w:val="298"/>
    <w:qFormat/>
    <w:uiPriority w:val="0"/>
    <w:pPr>
      <w:pBdr>
        <w:bottom w:val="single" w:color="4F81BD" w:sz="4" w:space="4"/>
      </w:pBdr>
      <w:spacing w:before="200" w:after="280"/>
      <w:ind w:left="936" w:right="936"/>
    </w:pPr>
    <w:rPr>
      <w:b/>
      <w:bCs/>
      <w:i/>
      <w:iCs/>
      <w:color w:val="4F81BD"/>
      <w:szCs w:val="22"/>
    </w:rPr>
  </w:style>
  <w:style w:type="paragraph" w:customStyle="1" w:styleId="120">
    <w:name w:val="_Style 128"/>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1">
    <w:name w:val="Char2"/>
    <w:basedOn w:val="1"/>
    <w:qFormat/>
    <w:uiPriority w:val="0"/>
    <w:rPr>
      <w:rFonts w:ascii="Calibri" w:hAnsi="Calibri"/>
    </w:rPr>
  </w:style>
  <w:style w:type="paragraph" w:customStyle="1" w:styleId="122">
    <w:name w:val="_Style 87"/>
    <w:basedOn w:val="1"/>
    <w:qFormat/>
    <w:uiPriority w:val="99"/>
    <w:pPr>
      <w:ind w:firstLine="420" w:firstLineChars="200"/>
    </w:pPr>
    <w:rPr>
      <w:rFonts w:ascii="Calibri" w:hAnsi="Calibri"/>
      <w:sz w:val="28"/>
      <w:szCs w:val="28"/>
    </w:rPr>
  </w:style>
  <w:style w:type="paragraph" w:customStyle="1" w:styleId="123">
    <w:name w:val="自定样式1"/>
    <w:basedOn w:val="1"/>
    <w:qFormat/>
    <w:uiPriority w:val="0"/>
    <w:pPr>
      <w:suppressAutoHyphens/>
      <w:jc w:val="center"/>
    </w:pPr>
    <w:rPr>
      <w:rFonts w:ascii="宋体" w:hAnsi="宋体"/>
      <w:color w:val="000000"/>
      <w:sz w:val="18"/>
    </w:rPr>
  </w:style>
  <w:style w:type="paragraph" w:customStyle="1" w:styleId="124">
    <w:name w:val="_Style 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Char"/>
    <w:basedOn w:val="1"/>
    <w:qFormat/>
    <w:uiPriority w:val="0"/>
  </w:style>
  <w:style w:type="paragraph" w:customStyle="1" w:styleId="126">
    <w:name w:val="标题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7">
    <w:name w:val="列表段落1"/>
    <w:basedOn w:val="1"/>
    <w:qFormat/>
    <w:uiPriority w:val="34"/>
    <w:pPr>
      <w:ind w:firstLine="420" w:firstLineChars="200"/>
    </w:pPr>
    <w:rPr>
      <w:rFonts w:ascii="Calibri" w:hAnsi="Calibri"/>
    </w:rPr>
  </w:style>
  <w:style w:type="paragraph" w:customStyle="1" w:styleId="128">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29">
    <w:name w:val="表体"/>
    <w:basedOn w:val="1"/>
    <w:next w:val="1"/>
    <w:qFormat/>
    <w:uiPriority w:val="0"/>
    <w:pPr>
      <w:spacing w:line="0" w:lineRule="atLeast"/>
    </w:pPr>
    <w:rPr>
      <w:rFonts w:ascii="Calibri" w:hAnsi="Calibri"/>
      <w:b/>
      <w:snapToGrid w:val="0"/>
      <w:szCs w:val="20"/>
    </w:rPr>
  </w:style>
  <w:style w:type="paragraph" w:customStyle="1" w:styleId="130">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31">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2">
    <w:name w:val="Char Char1 Char Char"/>
    <w:basedOn w:val="14"/>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3">
    <w:name w:val="Char11"/>
    <w:basedOn w:val="1"/>
    <w:qFormat/>
    <w:uiPriority w:val="0"/>
  </w:style>
  <w:style w:type="paragraph" w:customStyle="1" w:styleId="134">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35">
    <w:name w:val="样式 标题 3 + (中文) 黑体 小四 非加粗 段前: 7.8 磅 段后: 0 磅 行距: 固定值 20 磅"/>
    <w:basedOn w:val="4"/>
    <w:next w:val="1"/>
    <w:qFormat/>
    <w:uiPriority w:val="0"/>
    <w:pPr>
      <w:spacing w:before="0" w:after="0" w:line="400" w:lineRule="exact"/>
    </w:pPr>
    <w:rPr>
      <w:rFonts w:eastAsia="黑体" w:cs="宋体"/>
      <w:b w:val="0"/>
      <w:bCs w:val="0"/>
      <w:sz w:val="24"/>
      <w:szCs w:val="20"/>
    </w:rPr>
  </w:style>
  <w:style w:type="paragraph" w:customStyle="1" w:styleId="136">
    <w:name w:val="_Style 86"/>
    <w:qFormat/>
    <w:uiPriority w:val="0"/>
    <w:rPr>
      <w:rFonts w:ascii="Times New Roman" w:hAnsi="Times New Roman" w:eastAsia="宋体" w:cs="Times New Roman"/>
      <w:kern w:val="2"/>
      <w:sz w:val="21"/>
      <w:szCs w:val="24"/>
      <w:lang w:val="en-US" w:eastAsia="zh-CN" w:bidi="ar-SA"/>
    </w:rPr>
  </w:style>
  <w:style w:type="paragraph" w:customStyle="1" w:styleId="137">
    <w:name w:val="Char1"/>
    <w:basedOn w:val="1"/>
    <w:qFormat/>
    <w:uiPriority w:val="0"/>
  </w:style>
  <w:style w:type="paragraph" w:customStyle="1" w:styleId="138">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9">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4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1">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43">
    <w:name w:val="正文文本 Char2"/>
    <w:qFormat/>
    <w:uiPriority w:val="99"/>
    <w:rPr>
      <w:kern w:val="2"/>
      <w:sz w:val="21"/>
      <w:szCs w:val="24"/>
    </w:rPr>
  </w:style>
  <w:style w:type="character" w:customStyle="1" w:styleId="144">
    <w:name w:val="尾注文本 Char1"/>
    <w:qFormat/>
    <w:uiPriority w:val="0"/>
    <w:rPr>
      <w:rFonts w:ascii="Arial" w:hAnsi="Arial" w:cs="Arial"/>
      <w:szCs w:val="24"/>
      <w:lang w:eastAsia="en-US"/>
    </w:rPr>
  </w:style>
  <w:style w:type="character" w:customStyle="1" w:styleId="145">
    <w:name w:val="脚注文本 Char"/>
    <w:qFormat/>
    <w:uiPriority w:val="0"/>
    <w:rPr>
      <w:rFonts w:ascii="Arial" w:hAnsi="Arial" w:eastAsia="宋体" w:cs="Arial"/>
      <w:sz w:val="18"/>
      <w:szCs w:val="18"/>
      <w:lang w:eastAsia="en-US"/>
    </w:rPr>
  </w:style>
  <w:style w:type="character" w:customStyle="1" w:styleId="146">
    <w:name w:val="Char Char17"/>
    <w:qFormat/>
    <w:uiPriority w:val="0"/>
    <w:rPr>
      <w:kern w:val="2"/>
      <w:sz w:val="26"/>
      <w:szCs w:val="24"/>
    </w:rPr>
  </w:style>
  <w:style w:type="character" w:customStyle="1" w:styleId="147">
    <w:name w:val="副标题 Char1"/>
    <w:qFormat/>
    <w:uiPriority w:val="0"/>
    <w:rPr>
      <w:szCs w:val="24"/>
      <w:u w:val="single"/>
      <w:lang w:eastAsia="en-US"/>
    </w:rPr>
  </w:style>
  <w:style w:type="character" w:customStyle="1" w:styleId="148">
    <w:name w:val="标题 Char1"/>
    <w:qFormat/>
    <w:uiPriority w:val="10"/>
    <w:rPr>
      <w:szCs w:val="24"/>
      <w:u w:val="single"/>
      <w:lang w:eastAsia="en-US"/>
    </w:rPr>
  </w:style>
  <w:style w:type="character" w:customStyle="1" w:styleId="149">
    <w:name w:val="Char Char24"/>
    <w:qFormat/>
    <w:uiPriority w:val="0"/>
    <w:rPr>
      <w:b/>
      <w:bCs/>
      <w:kern w:val="44"/>
      <w:sz w:val="44"/>
      <w:szCs w:val="44"/>
    </w:rPr>
  </w:style>
  <w:style w:type="character" w:customStyle="1" w:styleId="150">
    <w:name w:val="批注主题 Char"/>
    <w:qFormat/>
    <w:uiPriority w:val="0"/>
    <w:rPr>
      <w:rFonts w:ascii="宋体" w:hAnsi="宋体" w:eastAsia="宋体"/>
      <w:kern w:val="2"/>
      <w:sz w:val="24"/>
      <w:szCs w:val="28"/>
      <w:lang w:val="en-US" w:eastAsia="zh-CN" w:bidi="ar-SA"/>
    </w:rPr>
  </w:style>
  <w:style w:type="character" w:customStyle="1" w:styleId="151">
    <w:name w:val="引用 Char1"/>
    <w:link w:val="82"/>
    <w:qFormat/>
    <w:uiPriority w:val="29"/>
    <w:rPr>
      <w:i/>
      <w:iCs/>
      <w:color w:val="000000"/>
      <w:kern w:val="2"/>
      <w:sz w:val="21"/>
    </w:rPr>
  </w:style>
  <w:style w:type="character" w:customStyle="1" w:styleId="152">
    <w:name w:val="Char Char23"/>
    <w:qFormat/>
    <w:uiPriority w:val="0"/>
    <w:rPr>
      <w:rFonts w:ascii="Cambria" w:hAnsi="Cambria" w:eastAsia="宋体" w:cs="Times New Roman"/>
      <w:b/>
      <w:bCs/>
      <w:kern w:val="2"/>
      <w:sz w:val="32"/>
      <w:szCs w:val="32"/>
    </w:rPr>
  </w:style>
  <w:style w:type="character" w:customStyle="1" w:styleId="153">
    <w:name w:val="ITTHEADER2 Char"/>
    <w:qFormat/>
    <w:uiPriority w:val="0"/>
    <w:rPr>
      <w:rFonts w:ascii="仿宋_GB2312" w:eastAsia="仿宋_GB2312" w:cs="MingLiU"/>
      <w:b/>
      <w:spacing w:val="1"/>
      <w:w w:val="99"/>
      <w:sz w:val="28"/>
      <w:szCs w:val="32"/>
      <w:lang w:val="en-US" w:eastAsia="zh-CN" w:bidi="ar-SA"/>
    </w:rPr>
  </w:style>
  <w:style w:type="character" w:customStyle="1" w:styleId="154">
    <w:name w:val="标题 9 Char1"/>
    <w:qFormat/>
    <w:uiPriority w:val="0"/>
    <w:rPr>
      <w:rFonts w:ascii="Times New Roman" w:hAnsi="Times New Roman" w:eastAsia="仿宋_GB2312" w:cs="Times New Roman"/>
      <w:sz w:val="30"/>
      <w:szCs w:val="20"/>
    </w:rPr>
  </w:style>
  <w:style w:type="character" w:customStyle="1" w:styleId="155">
    <w:name w:val="正文文本 Char1"/>
    <w:qFormat/>
    <w:uiPriority w:val="0"/>
    <w:rPr>
      <w:kern w:val="2"/>
      <w:sz w:val="21"/>
      <w:szCs w:val="22"/>
    </w:rPr>
  </w:style>
  <w:style w:type="character" w:customStyle="1" w:styleId="156">
    <w:name w:val="引用 Char2"/>
    <w:qFormat/>
    <w:uiPriority w:val="99"/>
    <w:rPr>
      <w:i/>
      <w:iCs/>
      <w:color w:val="000000"/>
      <w:kern w:val="2"/>
      <w:sz w:val="21"/>
      <w:szCs w:val="24"/>
    </w:rPr>
  </w:style>
  <w:style w:type="character" w:customStyle="1" w:styleId="157">
    <w:name w:val="正文文本 Char3"/>
    <w:qFormat/>
    <w:uiPriority w:val="99"/>
    <w:rPr>
      <w:rFonts w:ascii="Calibri" w:hAnsi="Calibri" w:eastAsia="宋体" w:cs="Times New Roman"/>
      <w:szCs w:val="24"/>
    </w:rPr>
  </w:style>
  <w:style w:type="character" w:customStyle="1" w:styleId="158">
    <w:name w:val="日期 字符"/>
    <w:link w:val="25"/>
    <w:qFormat/>
    <w:uiPriority w:val="0"/>
    <w:rPr>
      <w:rFonts w:eastAsia="宋体"/>
      <w:kern w:val="2"/>
      <w:sz w:val="21"/>
      <w:szCs w:val="24"/>
      <w:lang w:val="en-US" w:eastAsia="zh-CN" w:bidi="ar-SA"/>
    </w:rPr>
  </w:style>
  <w:style w:type="character" w:customStyle="1" w:styleId="159">
    <w:name w:val="标题 2 Char"/>
    <w:qFormat/>
    <w:uiPriority w:val="0"/>
    <w:rPr>
      <w:rFonts w:ascii="仿宋_GB2312" w:hAnsi="Calibri" w:eastAsia="仿宋_GB2312" w:cs="Times New Roman"/>
      <w:b/>
      <w:spacing w:val="1"/>
      <w:w w:val="99"/>
      <w:kern w:val="0"/>
      <w:sz w:val="28"/>
      <w:szCs w:val="32"/>
    </w:rPr>
  </w:style>
  <w:style w:type="character" w:customStyle="1" w:styleId="160">
    <w:name w:val="标题 7 Char"/>
    <w:qFormat/>
    <w:uiPriority w:val="0"/>
    <w:rPr>
      <w:rFonts w:ascii="Calibri" w:hAnsi="Calibri" w:eastAsia="宋体" w:cs="Times New Roman"/>
      <w:b/>
      <w:bCs/>
      <w:sz w:val="24"/>
      <w:szCs w:val="24"/>
    </w:rPr>
  </w:style>
  <w:style w:type="character" w:customStyle="1" w:styleId="161">
    <w:name w:val="批注框文本 Char1"/>
    <w:qFormat/>
    <w:uiPriority w:val="0"/>
    <w:rPr>
      <w:kern w:val="2"/>
      <w:sz w:val="18"/>
      <w:szCs w:val="18"/>
    </w:rPr>
  </w:style>
  <w:style w:type="character" w:customStyle="1" w:styleId="162">
    <w:name w:val="日期 Char1"/>
    <w:qFormat/>
    <w:uiPriority w:val="0"/>
    <w:rPr>
      <w:kern w:val="2"/>
      <w:sz w:val="21"/>
      <w:szCs w:val="22"/>
    </w:rPr>
  </w:style>
  <w:style w:type="character" w:customStyle="1" w:styleId="163">
    <w:name w:val="_Style 171"/>
    <w:qFormat/>
    <w:uiPriority w:val="0"/>
    <w:rPr>
      <w:b/>
      <w:bCs/>
      <w:i/>
      <w:iCs/>
      <w:color w:val="4F81BD"/>
    </w:rPr>
  </w:style>
  <w:style w:type="character" w:customStyle="1" w:styleId="164">
    <w:name w:val="Char Char22"/>
    <w:qFormat/>
    <w:uiPriority w:val="0"/>
    <w:rPr>
      <w:b/>
      <w:bCs/>
      <w:kern w:val="2"/>
      <w:sz w:val="32"/>
      <w:szCs w:val="32"/>
    </w:rPr>
  </w:style>
  <w:style w:type="character" w:customStyle="1" w:styleId="165">
    <w:name w:val="标题 6 Char1"/>
    <w:qFormat/>
    <w:uiPriority w:val="0"/>
    <w:rPr>
      <w:rFonts w:ascii="Times New Roman" w:hAnsi="Arial" w:eastAsia="仿宋_GB2312" w:cs="Times New Roman"/>
      <w:sz w:val="30"/>
      <w:szCs w:val="20"/>
    </w:rPr>
  </w:style>
  <w:style w:type="character" w:customStyle="1" w:styleId="166">
    <w:name w:val="标题5 Char Char"/>
    <w:link w:val="117"/>
    <w:qFormat/>
    <w:uiPriority w:val="0"/>
    <w:rPr>
      <w:rFonts w:ascii="Arial" w:hAnsi="Arial"/>
      <w:b/>
      <w:bCs/>
      <w:sz w:val="24"/>
      <w:szCs w:val="32"/>
      <w:lang w:bidi="ar-SA"/>
    </w:rPr>
  </w:style>
  <w:style w:type="character" w:customStyle="1" w:styleId="167">
    <w:name w:val="正文文本缩进 Char1"/>
    <w:qFormat/>
    <w:uiPriority w:val="0"/>
    <w:rPr>
      <w:kern w:val="2"/>
      <w:sz w:val="21"/>
      <w:szCs w:val="24"/>
    </w:rPr>
  </w:style>
  <w:style w:type="character" w:customStyle="1" w:styleId="168">
    <w:name w:val="标题 4 Char1"/>
    <w:qFormat/>
    <w:uiPriority w:val="0"/>
    <w:rPr>
      <w:rFonts w:ascii="宋体" w:hAnsi="宋体" w:eastAsia="宋体" w:cs="宋体"/>
      <w:b/>
      <w:bCs/>
      <w:sz w:val="24"/>
      <w:szCs w:val="24"/>
    </w:rPr>
  </w:style>
  <w:style w:type="character" w:customStyle="1" w:styleId="169">
    <w:name w:val="尾注文本 Char"/>
    <w:qFormat/>
    <w:uiPriority w:val="0"/>
    <w:rPr>
      <w:kern w:val="2"/>
      <w:sz w:val="21"/>
      <w:szCs w:val="24"/>
    </w:rPr>
  </w:style>
  <w:style w:type="character" w:customStyle="1" w:styleId="170">
    <w:name w:val="HTML 预设格式 字符"/>
    <w:link w:val="40"/>
    <w:qFormat/>
    <w:uiPriority w:val="0"/>
    <w:rPr>
      <w:rFonts w:ascii="宋体" w:hAnsi="宋体" w:eastAsia="宋体" w:cs="宋体"/>
      <w:color w:val="000000"/>
      <w:sz w:val="24"/>
      <w:szCs w:val="24"/>
      <w:lang w:val="en-US" w:eastAsia="zh-CN" w:bidi="ar-SA"/>
    </w:rPr>
  </w:style>
  <w:style w:type="character" w:customStyle="1" w:styleId="171">
    <w:name w:val="尾注文本 Char2"/>
    <w:qFormat/>
    <w:uiPriority w:val="99"/>
    <w:rPr>
      <w:rFonts w:ascii="Calibri" w:hAnsi="Calibri" w:eastAsia="宋体" w:cs="Times New Roman"/>
      <w:szCs w:val="24"/>
    </w:rPr>
  </w:style>
  <w:style w:type="character" w:customStyle="1" w:styleId="172">
    <w:name w:val="明显强调1"/>
    <w:qFormat/>
    <w:uiPriority w:val="0"/>
    <w:rPr>
      <w:b/>
      <w:bCs/>
      <w:i/>
      <w:iCs/>
      <w:color w:val="4F81BD"/>
    </w:rPr>
  </w:style>
  <w:style w:type="character" w:customStyle="1" w:styleId="173">
    <w:name w:val="正文文本 Char"/>
    <w:qFormat/>
    <w:uiPriority w:val="0"/>
    <w:rPr>
      <w:sz w:val="26"/>
      <w:szCs w:val="24"/>
    </w:rPr>
  </w:style>
  <w:style w:type="character" w:customStyle="1" w:styleId="174">
    <w:name w:val="脚注文本 Char2"/>
    <w:qFormat/>
    <w:uiPriority w:val="99"/>
    <w:rPr>
      <w:rFonts w:ascii="Calibri" w:hAnsi="Calibri" w:eastAsia="宋体" w:cs="Times New Roman"/>
      <w:sz w:val="18"/>
      <w:szCs w:val="18"/>
    </w:rPr>
  </w:style>
  <w:style w:type="character" w:customStyle="1" w:styleId="175">
    <w:name w:val="正文文本 2 Char1"/>
    <w:qFormat/>
    <w:uiPriority w:val="99"/>
    <w:rPr>
      <w:rFonts w:ascii="Calibri" w:hAnsi="Calibri" w:eastAsia="宋体" w:cs="Times New Roman"/>
      <w:szCs w:val="24"/>
    </w:rPr>
  </w:style>
  <w:style w:type="character" w:customStyle="1" w:styleId="176">
    <w:name w:val="_Style 248"/>
    <w:qFormat/>
    <w:uiPriority w:val="0"/>
    <w:rPr>
      <w:b/>
      <w:bCs/>
      <w:smallCaps/>
      <w:spacing w:val="5"/>
    </w:rPr>
  </w:style>
  <w:style w:type="character" w:customStyle="1" w:styleId="177">
    <w:name w:val="明显引用 Char3"/>
    <w:qFormat/>
    <w:uiPriority w:val="30"/>
    <w:rPr>
      <w:rFonts w:ascii="Calibri" w:hAnsi="Calibri" w:eastAsia="宋体" w:cs="Times New Roman"/>
      <w:b/>
      <w:bCs/>
      <w:i/>
      <w:iCs/>
      <w:color w:val="4F81BD"/>
      <w:szCs w:val="24"/>
    </w:rPr>
  </w:style>
  <w:style w:type="character" w:customStyle="1" w:styleId="178">
    <w:name w:val="_Style 254"/>
    <w:qFormat/>
    <w:uiPriority w:val="0"/>
    <w:rPr>
      <w:b/>
      <w:bCs/>
      <w:smallCaps/>
      <w:color w:val="C0504D"/>
      <w:spacing w:val="5"/>
      <w:u w:val="single"/>
    </w:rPr>
  </w:style>
  <w:style w:type="character" w:customStyle="1" w:styleId="179">
    <w:name w:val="正文文本缩进 Char2"/>
    <w:qFormat/>
    <w:uiPriority w:val="99"/>
    <w:rPr>
      <w:rFonts w:ascii="Calibri" w:hAnsi="Calibri" w:eastAsia="宋体" w:cs="Times New Roman"/>
      <w:szCs w:val="24"/>
    </w:rPr>
  </w:style>
  <w:style w:type="character" w:customStyle="1" w:styleId="180">
    <w:name w:val="标题 4 字符"/>
    <w:link w:val="5"/>
    <w:qFormat/>
    <w:uiPriority w:val="0"/>
    <w:rPr>
      <w:rFonts w:ascii="宋体" w:hAnsi="宋体" w:eastAsia="宋体" w:cs="宋体"/>
      <w:b/>
      <w:bCs/>
      <w:sz w:val="24"/>
      <w:szCs w:val="24"/>
      <w:lang w:val="en-US" w:eastAsia="zh-CN" w:bidi="ar-SA"/>
    </w:rPr>
  </w:style>
  <w:style w:type="character" w:customStyle="1" w:styleId="181">
    <w:name w:val="正文文本缩进 3 Char"/>
    <w:qFormat/>
    <w:uiPriority w:val="0"/>
    <w:rPr>
      <w:kern w:val="2"/>
      <w:sz w:val="16"/>
      <w:szCs w:val="16"/>
    </w:rPr>
  </w:style>
  <w:style w:type="character" w:customStyle="1" w:styleId="182">
    <w:name w:val="尾注文本 字符"/>
    <w:link w:val="27"/>
    <w:qFormat/>
    <w:uiPriority w:val="0"/>
    <w:rPr>
      <w:rFonts w:ascii="Arial" w:hAnsi="Arial" w:eastAsia="宋体" w:cs="Arial"/>
      <w:szCs w:val="24"/>
      <w:lang w:val="en-US" w:eastAsia="en-US" w:bidi="ar-SA"/>
    </w:rPr>
  </w:style>
  <w:style w:type="character" w:customStyle="1" w:styleId="183">
    <w:name w:val="引用 Char3"/>
    <w:qFormat/>
    <w:uiPriority w:val="29"/>
    <w:rPr>
      <w:rFonts w:ascii="Calibri" w:hAnsi="Calibri" w:eastAsia="宋体" w:cs="Times New Roman"/>
      <w:i/>
      <w:iCs/>
      <w:color w:val="000000"/>
      <w:szCs w:val="24"/>
    </w:rPr>
  </w:style>
  <w:style w:type="character" w:customStyle="1" w:styleId="184">
    <w:name w:val="Char Char32"/>
    <w:qFormat/>
    <w:uiPriority w:val="0"/>
    <w:rPr>
      <w:rFonts w:ascii="仿宋_GB2312" w:eastAsia="仿宋_GB2312" w:cs="MingLiU"/>
      <w:b/>
      <w:spacing w:val="1"/>
      <w:w w:val="99"/>
      <w:sz w:val="28"/>
      <w:szCs w:val="32"/>
    </w:rPr>
  </w:style>
  <w:style w:type="character" w:customStyle="1" w:styleId="185">
    <w:name w:val="日期 Char"/>
    <w:qFormat/>
    <w:uiPriority w:val="0"/>
    <w:rPr>
      <w:rFonts w:eastAsia="宋体"/>
      <w:szCs w:val="24"/>
    </w:rPr>
  </w:style>
  <w:style w:type="character" w:customStyle="1" w:styleId="186">
    <w:name w:val="页脚 Char"/>
    <w:qFormat/>
    <w:uiPriority w:val="0"/>
    <w:rPr>
      <w:sz w:val="18"/>
      <w:szCs w:val="18"/>
    </w:rPr>
  </w:style>
  <w:style w:type="character" w:customStyle="1" w:styleId="187">
    <w:name w:val="style121"/>
    <w:qFormat/>
    <w:uiPriority w:val="0"/>
    <w:rPr>
      <w:rFonts w:hint="eastAsia" w:ascii="宋体" w:hAnsi="宋体" w:eastAsia="宋体"/>
      <w:sz w:val="18"/>
      <w:szCs w:val="18"/>
    </w:rPr>
  </w:style>
  <w:style w:type="character" w:customStyle="1" w:styleId="188">
    <w:name w:val="ss16"/>
    <w:qFormat/>
    <w:uiPriority w:val="0"/>
    <w:rPr>
      <w:rFonts w:hint="eastAsia" w:ascii="宋体" w:hAnsi="宋体" w:eastAsia="宋体"/>
      <w:color w:val="000000"/>
      <w:sz w:val="9"/>
      <w:szCs w:val="9"/>
    </w:rPr>
  </w:style>
  <w:style w:type="character" w:customStyle="1" w:styleId="189">
    <w:name w:val="textcontents"/>
    <w:qFormat/>
    <w:uiPriority w:val="0"/>
    <w:rPr>
      <w:rFonts w:cs="Times New Roman"/>
    </w:rPr>
  </w:style>
  <w:style w:type="character" w:customStyle="1" w:styleId="190">
    <w:name w:val="14t1"/>
    <w:qFormat/>
    <w:uiPriority w:val="0"/>
    <w:rPr>
      <w:rFonts w:hint="eastAsia" w:ascii="宋体" w:hAnsi="宋体" w:eastAsia="宋体"/>
      <w:sz w:val="11"/>
      <w:szCs w:val="11"/>
    </w:rPr>
  </w:style>
  <w:style w:type="character" w:customStyle="1" w:styleId="191">
    <w:name w:val="不明显参考1"/>
    <w:qFormat/>
    <w:uiPriority w:val="0"/>
    <w:rPr>
      <w:smallCaps/>
      <w:color w:val="C0504D"/>
      <w:u w:val="single"/>
    </w:rPr>
  </w:style>
  <w:style w:type="character" w:customStyle="1" w:styleId="192">
    <w:name w:val="unnamed1"/>
    <w:basedOn w:val="48"/>
    <w:qFormat/>
    <w:uiPriority w:val="0"/>
  </w:style>
  <w:style w:type="character" w:customStyle="1" w:styleId="193">
    <w:name w:val="批注主题 Char3"/>
    <w:qFormat/>
    <w:uiPriority w:val="99"/>
    <w:rPr>
      <w:rFonts w:ascii="Calibri" w:hAnsi="Calibri" w:eastAsia="宋体" w:cs="Times New Roman"/>
      <w:b/>
      <w:bCs/>
      <w:szCs w:val="24"/>
    </w:rPr>
  </w:style>
  <w:style w:type="character" w:customStyle="1" w:styleId="194">
    <w:name w:val="标题 3 字符"/>
    <w:link w:val="4"/>
    <w:qFormat/>
    <w:uiPriority w:val="0"/>
    <w:rPr>
      <w:rFonts w:eastAsia="宋体"/>
      <w:b/>
      <w:bCs/>
      <w:kern w:val="2"/>
      <w:sz w:val="32"/>
      <w:szCs w:val="32"/>
      <w:lang w:val="en-US" w:eastAsia="zh-CN" w:bidi="ar-SA"/>
    </w:rPr>
  </w:style>
  <w:style w:type="character" w:customStyle="1" w:styleId="195">
    <w:name w:val="标题 2 字符"/>
    <w:link w:val="3"/>
    <w:qFormat/>
    <w:uiPriority w:val="0"/>
    <w:rPr>
      <w:rFonts w:ascii="Cambria" w:hAnsi="Cambria" w:eastAsia="宋体"/>
      <w:b/>
      <w:bCs/>
      <w:kern w:val="2"/>
      <w:sz w:val="32"/>
      <w:szCs w:val="32"/>
      <w:lang w:val="en-US" w:eastAsia="zh-CN" w:bidi="ar-SA"/>
    </w:rPr>
  </w:style>
  <w:style w:type="character" w:customStyle="1" w:styleId="196">
    <w:name w:val="标题 6 字符"/>
    <w:link w:val="7"/>
    <w:qFormat/>
    <w:uiPriority w:val="0"/>
    <w:rPr>
      <w:rFonts w:hAnsi="Arial" w:eastAsia="仿宋_GB2312"/>
      <w:sz w:val="30"/>
      <w:lang w:val="en-US" w:eastAsia="zh-CN" w:bidi="ar-SA"/>
    </w:rPr>
  </w:style>
  <w:style w:type="character" w:customStyle="1" w:styleId="197">
    <w:name w:val="页脚 字符"/>
    <w:link w:val="29"/>
    <w:qFormat/>
    <w:uiPriority w:val="0"/>
    <w:rPr>
      <w:rFonts w:eastAsia="宋体"/>
      <w:kern w:val="2"/>
      <w:sz w:val="18"/>
      <w:szCs w:val="18"/>
      <w:lang w:val="en-US" w:eastAsia="zh-CN" w:bidi="ar-SA"/>
    </w:rPr>
  </w:style>
  <w:style w:type="character" w:customStyle="1" w:styleId="198">
    <w:name w:val="引用 Char4"/>
    <w:link w:val="103"/>
    <w:qFormat/>
    <w:uiPriority w:val="0"/>
    <w:rPr>
      <w:i/>
      <w:iCs/>
      <w:color w:val="000000"/>
      <w:kern w:val="2"/>
      <w:sz w:val="21"/>
      <w:szCs w:val="22"/>
      <w:lang w:bidi="ar-SA"/>
    </w:rPr>
  </w:style>
  <w:style w:type="character" w:customStyle="1" w:styleId="199">
    <w:name w:val="标题 9 字符"/>
    <w:link w:val="11"/>
    <w:qFormat/>
    <w:uiPriority w:val="0"/>
    <w:rPr>
      <w:rFonts w:eastAsia="仿宋_GB2312"/>
      <w:sz w:val="30"/>
      <w:lang w:val="en-US" w:eastAsia="zh-CN" w:bidi="ar-SA"/>
    </w:rPr>
  </w:style>
  <w:style w:type="character" w:customStyle="1" w:styleId="200">
    <w:name w:val="标题 3 Char"/>
    <w:qFormat/>
    <w:uiPriority w:val="0"/>
    <w:rPr>
      <w:rFonts w:ascii="仿宋_GB2312" w:hAnsi="Calibri" w:eastAsia="仿宋_GB2312" w:cs="Times New Roman"/>
      <w:b/>
      <w:kern w:val="0"/>
      <w:sz w:val="24"/>
      <w:szCs w:val="28"/>
    </w:rPr>
  </w:style>
  <w:style w:type="character" w:customStyle="1" w:styleId="201">
    <w:name w:val="批注文字 Char2"/>
    <w:qFormat/>
    <w:uiPriority w:val="0"/>
    <w:rPr>
      <w:rFonts w:ascii="Calibri" w:hAnsi="Calibri" w:eastAsia="宋体" w:cs="Times New Roman"/>
      <w:szCs w:val="24"/>
    </w:rPr>
  </w:style>
  <w:style w:type="character" w:customStyle="1" w:styleId="202">
    <w:name w:val="normaltext1"/>
    <w:qFormat/>
    <w:uiPriority w:val="0"/>
    <w:rPr>
      <w:rFonts w:hint="default" w:ascii="ˎ̥" w:hAnsi="ˎ̥"/>
      <w:sz w:val="9"/>
      <w:szCs w:val="9"/>
    </w:rPr>
  </w:style>
  <w:style w:type="character" w:customStyle="1" w:styleId="203">
    <w:name w:val="ca-141"/>
    <w:qFormat/>
    <w:uiPriority w:val="0"/>
    <w:rPr>
      <w:rFonts w:hint="eastAsia" w:ascii="仿宋_GB2312" w:eastAsia="仿宋_GB2312"/>
      <w:sz w:val="21"/>
      <w:szCs w:val="21"/>
    </w:rPr>
  </w:style>
  <w:style w:type="character" w:customStyle="1" w:styleId="204">
    <w:name w:val="main_tdbg_7601"/>
    <w:qFormat/>
    <w:uiPriority w:val="0"/>
    <w:rPr>
      <w:sz w:val="14"/>
      <w:szCs w:val="14"/>
    </w:rPr>
  </w:style>
  <w:style w:type="character" w:customStyle="1" w:styleId="205">
    <w:name w:val="文档结构图 字符"/>
    <w:link w:val="14"/>
    <w:qFormat/>
    <w:uiPriority w:val="0"/>
    <w:rPr>
      <w:rFonts w:eastAsia="宋体"/>
      <w:kern w:val="2"/>
      <w:sz w:val="21"/>
      <w:szCs w:val="24"/>
      <w:lang w:val="en-US" w:eastAsia="zh-CN" w:bidi="ar-SA"/>
    </w:rPr>
  </w:style>
  <w:style w:type="character" w:customStyle="1" w:styleId="206">
    <w:name w:val="批注框文本 Char3"/>
    <w:qFormat/>
    <w:uiPriority w:val="99"/>
    <w:rPr>
      <w:rFonts w:ascii="Calibri" w:hAnsi="Calibri" w:eastAsia="宋体" w:cs="Times New Roman"/>
      <w:sz w:val="18"/>
      <w:szCs w:val="18"/>
    </w:rPr>
  </w:style>
  <w:style w:type="character" w:customStyle="1" w:styleId="207">
    <w:name w:val="Char Char9"/>
    <w:qFormat/>
    <w:uiPriority w:val="0"/>
    <w:rPr>
      <w:rFonts w:ascii="仿宋_GB2312" w:eastAsia="仿宋_GB2312" w:cs="MingLiU"/>
      <w:b/>
      <w:sz w:val="24"/>
      <w:szCs w:val="28"/>
      <w:lang w:val="en-US" w:eastAsia="zh-CN" w:bidi="ar-SA"/>
    </w:rPr>
  </w:style>
  <w:style w:type="character" w:customStyle="1" w:styleId="208">
    <w:name w:val="title11"/>
    <w:qFormat/>
    <w:uiPriority w:val="0"/>
    <w:rPr>
      <w:b/>
      <w:bCs/>
      <w:color w:val="FFFFFF"/>
      <w:sz w:val="11"/>
      <w:szCs w:val="11"/>
    </w:rPr>
  </w:style>
  <w:style w:type="character" w:customStyle="1" w:styleId="209">
    <w:name w:val="批注框文本 字符"/>
    <w:link w:val="28"/>
    <w:qFormat/>
    <w:uiPriority w:val="0"/>
    <w:rPr>
      <w:rFonts w:eastAsia="宋体"/>
      <w:kern w:val="2"/>
      <w:sz w:val="18"/>
      <w:szCs w:val="18"/>
      <w:lang w:val="en-US" w:eastAsia="zh-CN" w:bidi="ar-SA"/>
    </w:rPr>
  </w:style>
  <w:style w:type="character" w:customStyle="1" w:styleId="210">
    <w:name w:val="标题 8 Char1"/>
    <w:qFormat/>
    <w:uiPriority w:val="0"/>
    <w:rPr>
      <w:rFonts w:ascii="Times New Roman" w:hAnsi="Arial" w:eastAsia="仿宋_GB2312" w:cs="Times New Roman"/>
      <w:sz w:val="30"/>
      <w:szCs w:val="20"/>
    </w:rPr>
  </w:style>
  <w:style w:type="character" w:customStyle="1" w:styleId="211">
    <w:name w:val="标题 Char2"/>
    <w:qFormat/>
    <w:uiPriority w:val="10"/>
    <w:rPr>
      <w:rFonts w:ascii="Cambria" w:hAnsi="Cambria" w:eastAsia="宋体" w:cs="Times New Roman"/>
      <w:b/>
      <w:bCs/>
      <w:sz w:val="32"/>
      <w:szCs w:val="32"/>
    </w:rPr>
  </w:style>
  <w:style w:type="character" w:customStyle="1" w:styleId="212">
    <w:name w:val="标题 字符"/>
    <w:link w:val="43"/>
    <w:qFormat/>
    <w:uiPriority w:val="0"/>
    <w:rPr>
      <w:rFonts w:eastAsia="宋体"/>
      <w:szCs w:val="24"/>
      <w:u w:val="single"/>
      <w:lang w:val="en-US" w:eastAsia="en-US" w:bidi="ar-SA"/>
    </w:rPr>
  </w:style>
  <w:style w:type="character" w:customStyle="1" w:styleId="213">
    <w:name w:val="批注主题 Char1"/>
    <w:qFormat/>
    <w:uiPriority w:val="0"/>
    <w:rPr>
      <w:b/>
      <w:bCs/>
      <w:kern w:val="2"/>
      <w:sz w:val="21"/>
      <w:szCs w:val="22"/>
    </w:rPr>
  </w:style>
  <w:style w:type="character" w:customStyle="1" w:styleId="214">
    <w:name w:val="副标题 Char"/>
    <w:qFormat/>
    <w:uiPriority w:val="0"/>
    <w:rPr>
      <w:rFonts w:ascii="Cambria" w:hAnsi="Cambria" w:eastAsia="宋体" w:cs="Times New Roman"/>
      <w:b/>
      <w:bCs/>
      <w:kern w:val="28"/>
      <w:sz w:val="32"/>
      <w:szCs w:val="32"/>
    </w:rPr>
  </w:style>
  <w:style w:type="character" w:customStyle="1" w:styleId="215">
    <w:name w:val="正文文本 字符"/>
    <w:link w:val="17"/>
    <w:qFormat/>
    <w:uiPriority w:val="0"/>
    <w:rPr>
      <w:rFonts w:eastAsia="宋体"/>
      <w:kern w:val="2"/>
      <w:sz w:val="21"/>
      <w:szCs w:val="24"/>
      <w:lang w:val="en-US" w:eastAsia="zh-CN" w:bidi="ar-SA"/>
    </w:rPr>
  </w:style>
  <w:style w:type="character" w:customStyle="1" w:styleId="216">
    <w:name w:val="纯文本 Char1"/>
    <w:qFormat/>
    <w:uiPriority w:val="0"/>
    <w:rPr>
      <w:rFonts w:ascii="宋体" w:hAnsi="Courier New" w:cs="Courier New"/>
      <w:kern w:val="2"/>
      <w:sz w:val="21"/>
      <w:szCs w:val="21"/>
    </w:rPr>
  </w:style>
  <w:style w:type="character" w:customStyle="1" w:styleId="217">
    <w:name w:val="脚注文本 字符"/>
    <w:link w:val="34"/>
    <w:qFormat/>
    <w:uiPriority w:val="0"/>
    <w:rPr>
      <w:rFonts w:ascii="Arial" w:hAnsi="Arial" w:eastAsia="宋体" w:cs="Arial"/>
      <w:sz w:val="18"/>
      <w:szCs w:val="18"/>
      <w:lang w:val="en-US" w:eastAsia="en-US" w:bidi="ar-SA"/>
    </w:rPr>
  </w:style>
  <w:style w:type="character" w:customStyle="1" w:styleId="218">
    <w:name w:val="标题 2 Char1"/>
    <w:qFormat/>
    <w:uiPriority w:val="0"/>
    <w:rPr>
      <w:rFonts w:ascii="Cambria" w:hAnsi="Cambria" w:eastAsia="宋体" w:cs="Times New Roman"/>
      <w:b/>
      <w:bCs/>
      <w:kern w:val="2"/>
      <w:sz w:val="32"/>
      <w:szCs w:val="32"/>
    </w:rPr>
  </w:style>
  <w:style w:type="character" w:customStyle="1" w:styleId="219">
    <w:name w:val="脚注文本 Char1"/>
    <w:qFormat/>
    <w:uiPriority w:val="0"/>
    <w:rPr>
      <w:rFonts w:ascii="Arial" w:hAnsi="Arial" w:cs="Arial"/>
      <w:sz w:val="18"/>
      <w:szCs w:val="18"/>
      <w:lang w:eastAsia="en-US"/>
    </w:rPr>
  </w:style>
  <w:style w:type="character" w:customStyle="1" w:styleId="220">
    <w:name w:val="HTML 预设格式 Char2"/>
    <w:qFormat/>
    <w:uiPriority w:val="99"/>
    <w:rPr>
      <w:rFonts w:ascii="Courier New" w:hAnsi="Courier New" w:eastAsia="宋体" w:cs="Courier New"/>
      <w:sz w:val="20"/>
      <w:szCs w:val="20"/>
    </w:rPr>
  </w:style>
  <w:style w:type="character" w:customStyle="1" w:styleId="221">
    <w:name w:val="标题 8 Char"/>
    <w:qFormat/>
    <w:uiPriority w:val="0"/>
    <w:rPr>
      <w:rFonts w:ascii="Arial" w:hAnsi="Arial" w:eastAsia="黑体" w:cs="Times New Roman"/>
      <w:sz w:val="24"/>
      <w:szCs w:val="24"/>
    </w:rPr>
  </w:style>
  <w:style w:type="character" w:customStyle="1" w:styleId="222">
    <w:name w:val="s3"/>
    <w:qFormat/>
    <w:uiPriority w:val="0"/>
  </w:style>
  <w:style w:type="character" w:customStyle="1" w:styleId="223">
    <w:name w:val="标题 4 Char"/>
    <w:qFormat/>
    <w:uiPriority w:val="0"/>
    <w:rPr>
      <w:rFonts w:ascii="仿宋_GB2312" w:hAnsi="Calibri" w:eastAsia="仿宋_GB2312" w:cs="Times New Roman"/>
      <w:b/>
      <w:kern w:val="0"/>
      <w:sz w:val="24"/>
      <w:szCs w:val="28"/>
    </w:rPr>
  </w:style>
  <w:style w:type="character" w:customStyle="1" w:styleId="224">
    <w:name w:val="正文文本缩进 2 Char"/>
    <w:qFormat/>
    <w:uiPriority w:val="0"/>
    <w:rPr>
      <w:kern w:val="2"/>
      <w:sz w:val="21"/>
      <w:szCs w:val="24"/>
    </w:rPr>
  </w:style>
  <w:style w:type="character" w:customStyle="1" w:styleId="225">
    <w:name w:val="style21"/>
    <w:qFormat/>
    <w:uiPriority w:val="0"/>
    <w:rPr>
      <w:b/>
      <w:bCs/>
      <w:sz w:val="28"/>
      <w:szCs w:val="28"/>
    </w:rPr>
  </w:style>
  <w:style w:type="character" w:customStyle="1" w:styleId="226">
    <w:name w:val="正文文本缩进 2 Char2"/>
    <w:qFormat/>
    <w:uiPriority w:val="99"/>
    <w:rPr>
      <w:rFonts w:ascii="Calibri" w:hAnsi="Calibri" w:eastAsia="宋体" w:cs="Times New Roman"/>
      <w:szCs w:val="24"/>
    </w:rPr>
  </w:style>
  <w:style w:type="character" w:customStyle="1" w:styleId="227">
    <w:name w:val="ht1"/>
    <w:qFormat/>
    <w:uiPriority w:val="0"/>
    <w:rPr>
      <w:rFonts w:ascii="黑体" w:eastAsia="黑体"/>
      <w:b/>
      <w:bCs/>
    </w:rPr>
  </w:style>
  <w:style w:type="character" w:customStyle="1" w:styleId="228">
    <w:name w:val="文档结构图 Char3"/>
    <w:qFormat/>
    <w:uiPriority w:val="99"/>
    <w:rPr>
      <w:rFonts w:ascii="宋体" w:hAnsi="Calibri" w:eastAsia="宋体" w:cs="Times New Roman"/>
      <w:sz w:val="18"/>
      <w:szCs w:val="18"/>
    </w:rPr>
  </w:style>
  <w:style w:type="character" w:customStyle="1" w:styleId="229">
    <w:name w:val="书籍标题1"/>
    <w:qFormat/>
    <w:uiPriority w:val="0"/>
    <w:rPr>
      <w:b/>
      <w:bCs/>
      <w:smallCaps/>
      <w:spacing w:val="5"/>
    </w:rPr>
  </w:style>
  <w:style w:type="character" w:customStyle="1" w:styleId="230">
    <w:name w:val="标题 7 Char1"/>
    <w:qFormat/>
    <w:uiPriority w:val="0"/>
    <w:rPr>
      <w:rFonts w:ascii="Times New Roman" w:hAnsi="Times New Roman" w:eastAsia="仿宋_GB2312" w:cs="Times New Roman"/>
      <w:sz w:val="30"/>
      <w:szCs w:val="20"/>
    </w:rPr>
  </w:style>
  <w:style w:type="character" w:customStyle="1" w:styleId="231">
    <w:name w:val="明显引用 Char2"/>
    <w:qFormat/>
    <w:uiPriority w:val="99"/>
    <w:rPr>
      <w:b/>
      <w:bCs/>
      <w:i/>
      <w:iCs/>
      <w:color w:val="4F81BD"/>
      <w:kern w:val="2"/>
      <w:sz w:val="21"/>
      <w:szCs w:val="24"/>
    </w:rPr>
  </w:style>
  <w:style w:type="character" w:customStyle="1" w:styleId="232">
    <w:name w:val="不明显强调1"/>
    <w:qFormat/>
    <w:uiPriority w:val="0"/>
    <w:rPr>
      <w:i/>
      <w:iCs/>
      <w:color w:val="808080"/>
    </w:rPr>
  </w:style>
  <w:style w:type="character" w:customStyle="1" w:styleId="233">
    <w:name w:val="普通文字 Char Char2"/>
    <w:qFormat/>
    <w:uiPriority w:val="0"/>
    <w:rPr>
      <w:rFonts w:ascii="宋体" w:hAnsi="Courier New"/>
      <w:kern w:val="2"/>
      <w:sz w:val="28"/>
      <w:szCs w:val="28"/>
    </w:rPr>
  </w:style>
  <w:style w:type="character" w:customStyle="1" w:styleId="234">
    <w:name w:val="标题 6 Char"/>
    <w:qFormat/>
    <w:uiPriority w:val="0"/>
    <w:rPr>
      <w:rFonts w:ascii="Arial" w:hAnsi="Arial" w:eastAsia="黑体" w:cs="Times New Roman"/>
      <w:b/>
      <w:bCs/>
      <w:sz w:val="24"/>
      <w:szCs w:val="24"/>
    </w:rPr>
  </w:style>
  <w:style w:type="character" w:customStyle="1" w:styleId="235">
    <w:name w:val="l1"/>
    <w:basedOn w:val="48"/>
    <w:qFormat/>
    <w:uiPriority w:val="0"/>
  </w:style>
  <w:style w:type="character" w:customStyle="1" w:styleId="236">
    <w:name w:val="未处理的提及1"/>
    <w:qFormat/>
    <w:uiPriority w:val="99"/>
    <w:rPr>
      <w:color w:val="808080"/>
      <w:shd w:val="clear" w:color="auto" w:fill="E6E6E6"/>
    </w:rPr>
  </w:style>
  <w:style w:type="character" w:customStyle="1" w:styleId="237">
    <w:name w:val="页眉 字符"/>
    <w:link w:val="30"/>
    <w:qFormat/>
    <w:uiPriority w:val="0"/>
    <w:rPr>
      <w:rFonts w:eastAsia="宋体"/>
      <w:kern w:val="2"/>
      <w:sz w:val="18"/>
      <w:szCs w:val="18"/>
      <w:lang w:val="en-US" w:eastAsia="zh-CN" w:bidi="ar-SA"/>
    </w:rPr>
  </w:style>
  <w:style w:type="character" w:customStyle="1" w:styleId="238">
    <w:name w:val="Char Char35"/>
    <w:qFormat/>
    <w:uiPriority w:val="0"/>
    <w:rPr>
      <w:rFonts w:ascii="仿宋_GB2312" w:eastAsia="仿宋_GB2312" w:cs="MingLiU"/>
      <w:b/>
      <w:sz w:val="24"/>
      <w:szCs w:val="28"/>
    </w:rPr>
  </w:style>
  <w:style w:type="character" w:customStyle="1" w:styleId="239">
    <w:name w:val="Char Char11"/>
    <w:qFormat/>
    <w:uiPriority w:val="0"/>
    <w:rPr>
      <w:rFonts w:eastAsia="黑体"/>
      <w:kern w:val="2"/>
      <w:sz w:val="44"/>
      <w:szCs w:val="44"/>
      <w:lang w:val="en-US" w:eastAsia="zh-CN" w:bidi="ar-SA"/>
    </w:rPr>
  </w:style>
  <w:style w:type="character" w:customStyle="1" w:styleId="240">
    <w:name w:val="style31"/>
    <w:qFormat/>
    <w:uiPriority w:val="0"/>
    <w:rPr>
      <w:sz w:val="10"/>
      <w:szCs w:val="10"/>
    </w:rPr>
  </w:style>
  <w:style w:type="character" w:customStyle="1" w:styleId="241">
    <w:name w:val="0d1471"/>
    <w:qFormat/>
    <w:uiPriority w:val="0"/>
    <w:rPr>
      <w:color w:val="000000"/>
      <w:sz w:val="11"/>
      <w:szCs w:val="11"/>
      <w:u w:val="none"/>
    </w:rPr>
  </w:style>
  <w:style w:type="character" w:customStyle="1" w:styleId="242">
    <w:name w:val="标题 9 Char"/>
    <w:qFormat/>
    <w:uiPriority w:val="0"/>
    <w:rPr>
      <w:rFonts w:ascii="Arial" w:hAnsi="Arial" w:eastAsia="黑体" w:cs="Times New Roman"/>
      <w:szCs w:val="21"/>
    </w:rPr>
  </w:style>
  <w:style w:type="character" w:customStyle="1" w:styleId="243">
    <w:name w:val="标题 3 Char1"/>
    <w:qFormat/>
    <w:uiPriority w:val="0"/>
    <w:rPr>
      <w:rFonts w:ascii="Times New Roman" w:hAnsi="Times New Roman" w:eastAsia="宋体" w:cs="Times New Roman"/>
      <w:b/>
      <w:bCs/>
      <w:kern w:val="2"/>
      <w:sz w:val="32"/>
      <w:szCs w:val="32"/>
    </w:rPr>
  </w:style>
  <w:style w:type="character" w:customStyle="1" w:styleId="244">
    <w:name w:val="标题4 Char Char"/>
    <w:link w:val="88"/>
    <w:qFormat/>
    <w:uiPriority w:val="0"/>
    <w:rPr>
      <w:rFonts w:ascii="Arial" w:hAnsi="Arial"/>
      <w:b/>
      <w:bCs/>
      <w:sz w:val="24"/>
      <w:szCs w:val="32"/>
      <w:lang w:bidi="ar-SA"/>
    </w:rPr>
  </w:style>
  <w:style w:type="character" w:customStyle="1" w:styleId="245">
    <w:name w:val="标题 5 Char1"/>
    <w:qFormat/>
    <w:uiPriority w:val="0"/>
    <w:rPr>
      <w:rFonts w:ascii="宋体" w:hAnsi="宋体" w:eastAsia="宋体" w:cs="宋体"/>
      <w:b/>
      <w:bCs/>
      <w:sz w:val="20"/>
      <w:szCs w:val="20"/>
    </w:rPr>
  </w:style>
  <w:style w:type="character" w:customStyle="1" w:styleId="246">
    <w:name w:val="正文文本缩进 3 Char1"/>
    <w:qFormat/>
    <w:uiPriority w:val="0"/>
    <w:rPr>
      <w:rFonts w:ascii="宋体" w:hAnsi="宋体"/>
      <w:kern w:val="2"/>
      <w:sz w:val="28"/>
      <w:szCs w:val="28"/>
    </w:rPr>
  </w:style>
  <w:style w:type="character" w:customStyle="1" w:styleId="247">
    <w:name w:val="Char Char33"/>
    <w:qFormat/>
    <w:uiPriority w:val="0"/>
    <w:rPr>
      <w:rFonts w:ascii="仿宋_GB2312" w:eastAsia="仿宋_GB2312" w:cs="MingLiU"/>
      <w:b/>
      <w:sz w:val="24"/>
      <w:szCs w:val="28"/>
    </w:rPr>
  </w:style>
  <w:style w:type="character" w:customStyle="1" w:styleId="248">
    <w:name w:val="批注文字 Char1"/>
    <w:qFormat/>
    <w:uiPriority w:val="99"/>
    <w:rPr>
      <w:rFonts w:ascii="Times New Roman" w:hAnsi="Times New Roman" w:eastAsia="宋体" w:cs="Times New Roman"/>
      <w:szCs w:val="24"/>
    </w:rPr>
  </w:style>
  <w:style w:type="character" w:customStyle="1" w:styleId="249">
    <w:name w:val="正文文本 3 Char1"/>
    <w:qFormat/>
    <w:uiPriority w:val="0"/>
    <w:rPr>
      <w:kern w:val="2"/>
      <w:sz w:val="16"/>
      <w:szCs w:val="16"/>
    </w:rPr>
  </w:style>
  <w:style w:type="character" w:customStyle="1" w:styleId="250">
    <w:name w:val="页眉 Char"/>
    <w:qFormat/>
    <w:uiPriority w:val="0"/>
    <w:rPr>
      <w:sz w:val="18"/>
      <w:szCs w:val="18"/>
    </w:rPr>
  </w:style>
  <w:style w:type="character" w:customStyle="1" w:styleId="251">
    <w:name w:val="明显引用 Char"/>
    <w:qFormat/>
    <w:uiPriority w:val="0"/>
    <w:rPr>
      <w:rFonts w:ascii="Times New Roman" w:hAnsi="Times New Roman" w:eastAsia="宋体" w:cs="Times New Roman"/>
      <w:b/>
      <w:bCs/>
      <w:i/>
      <w:iCs/>
      <w:color w:val="4F81BD"/>
      <w:kern w:val="2"/>
      <w:sz w:val="21"/>
      <w:szCs w:val="24"/>
    </w:rPr>
  </w:style>
  <w:style w:type="character" w:customStyle="1" w:styleId="252">
    <w:name w:val="color_red1"/>
    <w:qFormat/>
    <w:uiPriority w:val="0"/>
    <w:rPr>
      <w:color w:val="FA0004"/>
    </w:rPr>
  </w:style>
  <w:style w:type="character" w:customStyle="1" w:styleId="253">
    <w:name w:val="批注主题 Char2"/>
    <w:qFormat/>
    <w:uiPriority w:val="99"/>
    <w:rPr>
      <w:b/>
      <w:bCs/>
      <w:kern w:val="2"/>
      <w:sz w:val="21"/>
      <w:szCs w:val="24"/>
    </w:rPr>
  </w:style>
  <w:style w:type="character" w:customStyle="1" w:styleId="254">
    <w:name w:val="Char Char34"/>
    <w:qFormat/>
    <w:uiPriority w:val="0"/>
    <w:rPr>
      <w:rFonts w:ascii="仿宋_GB2312" w:eastAsia="仿宋_GB2312" w:cs="MingLiU"/>
      <w:b/>
      <w:spacing w:val="1"/>
      <w:w w:val="99"/>
      <w:sz w:val="28"/>
      <w:szCs w:val="32"/>
    </w:rPr>
  </w:style>
  <w:style w:type="character" w:customStyle="1" w:styleId="255">
    <w:name w:val="标题 1 Char"/>
    <w:qFormat/>
    <w:uiPriority w:val="0"/>
    <w:rPr>
      <w:rFonts w:ascii="Times New Roman" w:hAnsi="Times New Roman" w:eastAsia="宋体" w:cs="Times New Roman"/>
      <w:b/>
      <w:bCs/>
      <w:kern w:val="44"/>
      <w:sz w:val="44"/>
      <w:szCs w:val="44"/>
    </w:rPr>
  </w:style>
  <w:style w:type="character" w:customStyle="1" w:styleId="256">
    <w:name w:val="docpro"/>
    <w:basedOn w:val="48"/>
    <w:qFormat/>
    <w:uiPriority w:val="0"/>
  </w:style>
  <w:style w:type="character" w:customStyle="1" w:styleId="257">
    <w:name w:val="正文文本 3 Char"/>
    <w:qFormat/>
    <w:uiPriority w:val="0"/>
    <w:rPr>
      <w:kern w:val="2"/>
      <w:sz w:val="16"/>
      <w:szCs w:val="16"/>
    </w:rPr>
  </w:style>
  <w:style w:type="character" w:customStyle="1" w:styleId="258">
    <w:name w:val="标题 5 Char"/>
    <w:qFormat/>
    <w:uiPriority w:val="0"/>
    <w:rPr>
      <w:rFonts w:ascii="Calibri" w:hAnsi="Calibri" w:eastAsia="宋体" w:cs="Times New Roman"/>
      <w:b/>
      <w:bCs/>
      <w:sz w:val="28"/>
      <w:szCs w:val="28"/>
    </w:rPr>
  </w:style>
  <w:style w:type="character" w:customStyle="1" w:styleId="259">
    <w:name w:val="style161"/>
    <w:qFormat/>
    <w:uiPriority w:val="0"/>
    <w:rPr>
      <w:b/>
      <w:bCs/>
      <w:color w:val="333333"/>
    </w:rPr>
  </w:style>
  <w:style w:type="character" w:customStyle="1" w:styleId="260">
    <w:name w:val="文档结构图 Char2"/>
    <w:qFormat/>
    <w:uiPriority w:val="99"/>
    <w:rPr>
      <w:kern w:val="2"/>
      <w:sz w:val="21"/>
      <w:szCs w:val="24"/>
      <w:shd w:val="clear" w:color="auto" w:fill="000080"/>
    </w:rPr>
  </w:style>
  <w:style w:type="character" w:customStyle="1" w:styleId="261">
    <w:name w:val="页脚 Char1"/>
    <w:qFormat/>
    <w:uiPriority w:val="99"/>
    <w:rPr>
      <w:kern w:val="2"/>
      <w:sz w:val="18"/>
      <w:szCs w:val="18"/>
    </w:rPr>
  </w:style>
  <w:style w:type="character" w:customStyle="1" w:styleId="262">
    <w:name w:val="日期 Char2"/>
    <w:qFormat/>
    <w:uiPriority w:val="99"/>
    <w:rPr>
      <w:kern w:val="2"/>
      <w:sz w:val="21"/>
      <w:szCs w:val="24"/>
    </w:rPr>
  </w:style>
  <w:style w:type="character" w:customStyle="1" w:styleId="263">
    <w:name w:val="HTML 预设格式 Char"/>
    <w:qFormat/>
    <w:uiPriority w:val="0"/>
    <w:rPr>
      <w:rFonts w:ascii="宋体" w:hAnsi="宋体" w:eastAsia="宋体" w:cs="宋体"/>
      <w:color w:val="000000"/>
      <w:sz w:val="24"/>
      <w:szCs w:val="24"/>
    </w:rPr>
  </w:style>
  <w:style w:type="character" w:customStyle="1" w:styleId="264">
    <w:name w:val="批注主题 字符"/>
    <w:link w:val="44"/>
    <w:qFormat/>
    <w:uiPriority w:val="0"/>
    <w:rPr>
      <w:rFonts w:eastAsia="宋体"/>
      <w:b/>
      <w:bCs/>
      <w:kern w:val="2"/>
      <w:sz w:val="21"/>
      <w:szCs w:val="24"/>
      <w:lang w:val="en-US" w:eastAsia="zh-CN" w:bidi="ar-SA"/>
    </w:rPr>
  </w:style>
  <w:style w:type="character" w:customStyle="1" w:styleId="265">
    <w:name w:val="正文文本 2 字符"/>
    <w:link w:val="39"/>
    <w:qFormat/>
    <w:uiPriority w:val="0"/>
    <w:rPr>
      <w:i/>
      <w:iCs/>
      <w:kern w:val="2"/>
      <w:sz w:val="26"/>
      <w:szCs w:val="24"/>
    </w:rPr>
  </w:style>
  <w:style w:type="character" w:customStyle="1" w:styleId="266">
    <w:name w:val="批注框文本 Char"/>
    <w:qFormat/>
    <w:uiPriority w:val="0"/>
    <w:rPr>
      <w:sz w:val="18"/>
      <w:szCs w:val="18"/>
    </w:rPr>
  </w:style>
  <w:style w:type="character" w:customStyle="1" w:styleId="267">
    <w:name w:val="文档结构图 Char"/>
    <w:qFormat/>
    <w:uiPriority w:val="0"/>
    <w:rPr>
      <w:rFonts w:ascii="宋体"/>
      <w:kern w:val="2"/>
      <w:sz w:val="18"/>
      <w:szCs w:val="18"/>
    </w:rPr>
  </w:style>
  <w:style w:type="character" w:customStyle="1" w:styleId="268">
    <w:name w:val="标题 8 字符"/>
    <w:link w:val="10"/>
    <w:qFormat/>
    <w:uiPriority w:val="0"/>
    <w:rPr>
      <w:rFonts w:hAnsi="Arial" w:eastAsia="仿宋_GB2312"/>
      <w:sz w:val="30"/>
      <w:lang w:val="en-US" w:eastAsia="zh-CN" w:bidi="ar-SA"/>
    </w:rPr>
  </w:style>
  <w:style w:type="character" w:customStyle="1" w:styleId="269">
    <w:name w:val="正文文本缩进 3 字符"/>
    <w:link w:val="36"/>
    <w:qFormat/>
    <w:uiPriority w:val="0"/>
    <w:rPr>
      <w:rFonts w:ascii="宋体" w:hAnsi="宋体" w:eastAsia="宋体"/>
      <w:kern w:val="2"/>
      <w:sz w:val="28"/>
      <w:szCs w:val="28"/>
      <w:lang w:val="en-US" w:eastAsia="zh-CN" w:bidi="ar-SA"/>
    </w:rPr>
  </w:style>
  <w:style w:type="character" w:customStyle="1" w:styleId="270">
    <w:name w:val="正文文本缩进 字符"/>
    <w:link w:val="18"/>
    <w:qFormat/>
    <w:uiPriority w:val="0"/>
    <w:rPr>
      <w:rFonts w:eastAsia="宋体"/>
      <w:kern w:val="2"/>
      <w:sz w:val="21"/>
      <w:szCs w:val="24"/>
      <w:lang w:val="en-US" w:eastAsia="zh-CN" w:bidi="ar-SA"/>
    </w:rPr>
  </w:style>
  <w:style w:type="character" w:customStyle="1" w:styleId="271">
    <w:name w:val="_Style 196"/>
    <w:qFormat/>
    <w:uiPriority w:val="0"/>
    <w:rPr>
      <w:i/>
      <w:iCs/>
      <w:color w:val="808080"/>
    </w:rPr>
  </w:style>
  <w:style w:type="character" w:customStyle="1" w:styleId="272">
    <w:name w:val="正文文本缩进 2 字符"/>
    <w:link w:val="26"/>
    <w:qFormat/>
    <w:uiPriority w:val="0"/>
    <w:rPr>
      <w:rFonts w:eastAsia="宋体"/>
      <w:sz w:val="28"/>
      <w:szCs w:val="24"/>
      <w:lang w:val="en-US" w:eastAsia="zh-CN" w:bidi="ar-SA"/>
    </w:rPr>
  </w:style>
  <w:style w:type="character" w:customStyle="1" w:styleId="273">
    <w:name w:val="标题 7 字符"/>
    <w:link w:val="9"/>
    <w:qFormat/>
    <w:uiPriority w:val="0"/>
    <w:rPr>
      <w:rFonts w:eastAsia="仿宋_GB2312"/>
      <w:sz w:val="30"/>
      <w:lang w:val="en-US" w:eastAsia="zh-CN" w:bidi="ar-SA"/>
    </w:rPr>
  </w:style>
  <w:style w:type="character" w:customStyle="1" w:styleId="274">
    <w:name w:val="Char Char13"/>
    <w:qFormat/>
    <w:uiPriority w:val="0"/>
    <w:rPr>
      <w:kern w:val="2"/>
      <w:sz w:val="18"/>
      <w:szCs w:val="18"/>
    </w:rPr>
  </w:style>
  <w:style w:type="character" w:customStyle="1" w:styleId="275">
    <w:name w:val="正文文本缩进 2 Char1"/>
    <w:qFormat/>
    <w:uiPriority w:val="0"/>
    <w:rPr>
      <w:sz w:val="28"/>
      <w:szCs w:val="24"/>
    </w:rPr>
  </w:style>
  <w:style w:type="character" w:customStyle="1" w:styleId="276">
    <w:name w:val="Char Char21"/>
    <w:qFormat/>
    <w:uiPriority w:val="0"/>
    <w:rPr>
      <w:rFonts w:ascii="宋体" w:hAnsi="宋体" w:cs="宋体"/>
      <w:b/>
      <w:bCs/>
      <w:sz w:val="24"/>
      <w:szCs w:val="24"/>
    </w:rPr>
  </w:style>
  <w:style w:type="character" w:customStyle="1" w:styleId="277">
    <w:name w:val="文档结构图 Char1"/>
    <w:qFormat/>
    <w:uiPriority w:val="0"/>
    <w:rPr>
      <w:rFonts w:ascii="宋体"/>
      <w:kern w:val="2"/>
      <w:sz w:val="18"/>
      <w:szCs w:val="18"/>
    </w:rPr>
  </w:style>
  <w:style w:type="character" w:customStyle="1" w:styleId="278">
    <w:name w:val="标题 Char"/>
    <w:qFormat/>
    <w:uiPriority w:val="0"/>
    <w:rPr>
      <w:rFonts w:ascii="Cambria" w:hAnsi="Cambria" w:eastAsia="宋体" w:cs="Times New Roman"/>
      <w:b/>
      <w:bCs/>
      <w:kern w:val="2"/>
      <w:sz w:val="32"/>
      <w:szCs w:val="32"/>
    </w:rPr>
  </w:style>
  <w:style w:type="character" w:customStyle="1" w:styleId="279">
    <w:name w:val="_Style 275"/>
    <w:qFormat/>
    <w:uiPriority w:val="0"/>
    <w:rPr>
      <w:smallCaps/>
      <w:color w:val="C0504D"/>
      <w:u w:val="single"/>
    </w:rPr>
  </w:style>
  <w:style w:type="character" w:customStyle="1" w:styleId="280">
    <w:name w:val="Char Char12"/>
    <w:qFormat/>
    <w:uiPriority w:val="0"/>
    <w:rPr>
      <w:rFonts w:eastAsia="黑体"/>
      <w:kern w:val="2"/>
      <w:sz w:val="44"/>
      <w:szCs w:val="44"/>
      <w:lang w:val="en-US" w:eastAsia="zh-CN" w:bidi="ar-SA"/>
    </w:rPr>
  </w:style>
  <w:style w:type="character" w:customStyle="1" w:styleId="281">
    <w:name w:val="明显参考1"/>
    <w:qFormat/>
    <w:uiPriority w:val="0"/>
    <w:rPr>
      <w:b/>
      <w:bCs/>
      <w:smallCaps/>
      <w:color w:val="C0504D"/>
      <w:spacing w:val="5"/>
      <w:u w:val="single"/>
    </w:rPr>
  </w:style>
  <w:style w:type="character" w:customStyle="1" w:styleId="282">
    <w:name w:val="Char Char36"/>
    <w:qFormat/>
    <w:uiPriority w:val="0"/>
    <w:rPr>
      <w:rFonts w:ascii="仿宋_GB2312" w:eastAsia="仿宋_GB2312" w:cs="MingLiU"/>
      <w:b/>
      <w:sz w:val="24"/>
      <w:szCs w:val="28"/>
    </w:rPr>
  </w:style>
  <w:style w:type="character" w:customStyle="1" w:styleId="283">
    <w:name w:val="批注框文本 Char2"/>
    <w:qFormat/>
    <w:uiPriority w:val="99"/>
    <w:rPr>
      <w:kern w:val="2"/>
      <w:sz w:val="18"/>
      <w:szCs w:val="18"/>
    </w:rPr>
  </w:style>
  <w:style w:type="character" w:customStyle="1" w:styleId="284">
    <w:name w:val="subhead1"/>
    <w:qFormat/>
    <w:uiPriority w:val="0"/>
    <w:rPr>
      <w:rFonts w:hint="default" w:ascii="Tahoma" w:hAnsi="Tahoma" w:cs="Tahoma"/>
      <w:color w:val="000000"/>
      <w:sz w:val="18"/>
      <w:szCs w:val="18"/>
      <w:u w:val="none"/>
      <w:shd w:val="clear" w:color="auto" w:fill="FFFFFF"/>
    </w:rPr>
  </w:style>
  <w:style w:type="character" w:customStyle="1" w:styleId="285">
    <w:name w:val="正文文本缩进 3 Char2"/>
    <w:qFormat/>
    <w:uiPriority w:val="99"/>
    <w:rPr>
      <w:rFonts w:ascii="Calibri" w:hAnsi="Calibri" w:eastAsia="宋体" w:cs="Times New Roman"/>
      <w:sz w:val="16"/>
      <w:szCs w:val="16"/>
    </w:rPr>
  </w:style>
  <w:style w:type="character" w:customStyle="1" w:styleId="286">
    <w:name w:val="纯文本 Char"/>
    <w:qFormat/>
    <w:uiPriority w:val="0"/>
    <w:rPr>
      <w:rFonts w:ascii="宋体" w:hAnsi="Courier New"/>
      <w:sz w:val="28"/>
      <w:szCs w:val="28"/>
    </w:rPr>
  </w:style>
  <w:style w:type="character" w:customStyle="1" w:styleId="287">
    <w:name w:val="纯文本 Char2"/>
    <w:qFormat/>
    <w:uiPriority w:val="99"/>
    <w:rPr>
      <w:rFonts w:ascii="宋体" w:hAnsi="Courier New" w:eastAsia="宋体" w:cs="Courier New"/>
      <w:szCs w:val="21"/>
    </w:rPr>
  </w:style>
  <w:style w:type="character" w:customStyle="1" w:styleId="288">
    <w:name w:val="页眉 Char1"/>
    <w:qFormat/>
    <w:uiPriority w:val="99"/>
    <w:rPr>
      <w:kern w:val="2"/>
      <w:sz w:val="18"/>
      <w:szCs w:val="18"/>
    </w:rPr>
  </w:style>
  <w:style w:type="character" w:customStyle="1" w:styleId="289">
    <w:name w:val="Char Char14"/>
    <w:qFormat/>
    <w:uiPriority w:val="0"/>
    <w:rPr>
      <w:kern w:val="2"/>
      <w:sz w:val="18"/>
      <w:szCs w:val="18"/>
    </w:rPr>
  </w:style>
  <w:style w:type="character" w:customStyle="1" w:styleId="290">
    <w:name w:val="批注文字 字符"/>
    <w:link w:val="15"/>
    <w:qFormat/>
    <w:uiPriority w:val="99"/>
    <w:rPr>
      <w:rFonts w:eastAsia="宋体"/>
      <w:kern w:val="2"/>
      <w:sz w:val="21"/>
      <w:szCs w:val="24"/>
      <w:lang w:val="en-US" w:eastAsia="zh-CN" w:bidi="ar-SA"/>
    </w:rPr>
  </w:style>
  <w:style w:type="character" w:customStyle="1" w:styleId="291">
    <w:name w:val="批注文字 Char Char"/>
    <w:qFormat/>
    <w:uiPriority w:val="0"/>
    <w:rPr>
      <w:rFonts w:ascii="宋体" w:hAnsi="Times New Roman" w:eastAsia="宋体" w:cs="Times New Roman"/>
      <w:sz w:val="28"/>
      <w:szCs w:val="20"/>
    </w:rPr>
  </w:style>
  <w:style w:type="character" w:customStyle="1" w:styleId="292">
    <w:name w:val="标题 1 Char1"/>
    <w:qFormat/>
    <w:uiPriority w:val="0"/>
    <w:rPr>
      <w:rFonts w:ascii="Times New Roman" w:hAnsi="Times New Roman" w:eastAsia="宋体" w:cs="Times New Roman"/>
      <w:b/>
      <w:bCs/>
      <w:kern w:val="44"/>
      <w:sz w:val="44"/>
      <w:szCs w:val="44"/>
    </w:rPr>
  </w:style>
  <w:style w:type="character" w:customStyle="1" w:styleId="293">
    <w:name w:val="标题 5 字符"/>
    <w:link w:val="6"/>
    <w:qFormat/>
    <w:uiPriority w:val="0"/>
    <w:rPr>
      <w:rFonts w:ascii="宋体" w:hAnsi="宋体" w:eastAsia="宋体" w:cs="宋体"/>
      <w:b/>
      <w:bCs/>
      <w:lang w:val="en-US" w:eastAsia="zh-CN" w:bidi="ar-SA"/>
    </w:rPr>
  </w:style>
  <w:style w:type="character" w:customStyle="1" w:styleId="294">
    <w:name w:val="手改 Char Char"/>
    <w:qFormat/>
    <w:uiPriority w:val="0"/>
    <w:rPr>
      <w:kern w:val="2"/>
      <w:sz w:val="21"/>
      <w:szCs w:val="24"/>
    </w:rPr>
  </w:style>
  <w:style w:type="character" w:customStyle="1" w:styleId="295">
    <w:name w:val="标题 1 字符"/>
    <w:link w:val="2"/>
    <w:qFormat/>
    <w:uiPriority w:val="0"/>
    <w:rPr>
      <w:rFonts w:eastAsia="宋体"/>
      <w:b/>
      <w:bCs/>
      <w:kern w:val="44"/>
      <w:sz w:val="44"/>
      <w:szCs w:val="44"/>
      <w:lang w:val="en-US" w:eastAsia="zh-CN" w:bidi="ar-SA"/>
    </w:rPr>
  </w:style>
  <w:style w:type="character" w:customStyle="1" w:styleId="296">
    <w:name w:val="intel3"/>
    <w:basedOn w:val="48"/>
    <w:qFormat/>
    <w:uiPriority w:val="0"/>
  </w:style>
  <w:style w:type="character" w:customStyle="1" w:styleId="297">
    <w:name w:val="副标题 Char2"/>
    <w:qFormat/>
    <w:uiPriority w:val="11"/>
    <w:rPr>
      <w:rFonts w:ascii="Cambria" w:hAnsi="Cambria" w:eastAsia="宋体" w:cs="Times New Roman"/>
      <w:b/>
      <w:bCs/>
      <w:kern w:val="28"/>
      <w:sz w:val="32"/>
      <w:szCs w:val="32"/>
    </w:rPr>
  </w:style>
  <w:style w:type="character" w:customStyle="1" w:styleId="298">
    <w:name w:val="明显引用 Char4"/>
    <w:link w:val="119"/>
    <w:qFormat/>
    <w:uiPriority w:val="0"/>
    <w:rPr>
      <w:b/>
      <w:bCs/>
      <w:i/>
      <w:iCs/>
      <w:color w:val="4F81BD"/>
      <w:kern w:val="2"/>
      <w:sz w:val="21"/>
      <w:szCs w:val="22"/>
      <w:lang w:bidi="ar-SA"/>
    </w:rPr>
  </w:style>
  <w:style w:type="character" w:customStyle="1" w:styleId="299">
    <w:name w:val="明显引用 Char1"/>
    <w:link w:val="112"/>
    <w:qFormat/>
    <w:uiPriority w:val="30"/>
    <w:rPr>
      <w:b/>
      <w:bCs/>
      <w:i/>
      <w:iCs/>
      <w:color w:val="4F81BD"/>
      <w:kern w:val="2"/>
      <w:sz w:val="21"/>
    </w:rPr>
  </w:style>
  <w:style w:type="character" w:customStyle="1" w:styleId="300">
    <w:name w:val="HTML 预设格式 Char1"/>
    <w:qFormat/>
    <w:uiPriority w:val="0"/>
    <w:rPr>
      <w:rFonts w:ascii="宋体" w:hAnsi="宋体" w:cs="宋体"/>
      <w:color w:val="000000"/>
      <w:sz w:val="24"/>
      <w:szCs w:val="24"/>
    </w:rPr>
  </w:style>
  <w:style w:type="character" w:customStyle="1" w:styleId="301">
    <w:name w:val="引用 Char"/>
    <w:link w:val="70"/>
    <w:qFormat/>
    <w:uiPriority w:val="0"/>
    <w:rPr>
      <w:rFonts w:ascii="Times New Roman" w:hAnsi="Times New Roman" w:eastAsia="宋体" w:cs="Times New Roman"/>
      <w:i/>
      <w:iCs/>
      <w:color w:val="000000"/>
      <w:kern w:val="2"/>
      <w:sz w:val="21"/>
      <w:szCs w:val="24"/>
    </w:rPr>
  </w:style>
  <w:style w:type="character" w:customStyle="1" w:styleId="302">
    <w:name w:val="副标题 字符"/>
    <w:link w:val="33"/>
    <w:qFormat/>
    <w:uiPriority w:val="0"/>
    <w:rPr>
      <w:rFonts w:eastAsia="宋体"/>
      <w:szCs w:val="24"/>
      <w:u w:val="single"/>
      <w:lang w:val="en-US" w:eastAsia="en-US" w:bidi="ar-SA"/>
    </w:rPr>
  </w:style>
  <w:style w:type="character" w:customStyle="1" w:styleId="303">
    <w:name w:val="ITTHEADER1 Char"/>
    <w:qFormat/>
    <w:uiPriority w:val="0"/>
    <w:rPr>
      <w:rFonts w:eastAsia="黑体"/>
      <w:kern w:val="2"/>
      <w:sz w:val="44"/>
      <w:szCs w:val="44"/>
      <w:lang w:val="en-US" w:eastAsia="zh-CN" w:bidi="ar-SA"/>
    </w:rPr>
  </w:style>
  <w:style w:type="character" w:customStyle="1" w:styleId="304">
    <w:name w:val="日期 Char3"/>
    <w:qFormat/>
    <w:uiPriority w:val="99"/>
    <w:rPr>
      <w:rFonts w:ascii="Calibri" w:hAnsi="Calibri" w:eastAsia="宋体" w:cs="Times New Roman"/>
      <w:szCs w:val="24"/>
    </w:rPr>
  </w:style>
  <w:style w:type="character" w:customStyle="1" w:styleId="305">
    <w:name w:val="纯文本 字符"/>
    <w:link w:val="23"/>
    <w:qFormat/>
    <w:uiPriority w:val="0"/>
    <w:rPr>
      <w:rFonts w:ascii="宋体" w:hAnsi="Courier New" w:eastAsia="宋体" w:cs="Courier New"/>
      <w:kern w:val="2"/>
      <w:sz w:val="21"/>
      <w:szCs w:val="21"/>
      <w:lang w:val="en-US" w:eastAsia="zh-CN" w:bidi="ar-SA"/>
    </w:rPr>
  </w:style>
  <w:style w:type="character" w:customStyle="1" w:styleId="306">
    <w:name w:val="批注文字 Char"/>
    <w:qFormat/>
    <w:uiPriority w:val="0"/>
    <w:rPr>
      <w:rFonts w:ascii="Times New Roman" w:hAnsi="Times New Roman" w:eastAsia="宋体" w:cs="Times New Roman"/>
      <w:kern w:val="2"/>
      <w:sz w:val="21"/>
      <w:szCs w:val="24"/>
    </w:rPr>
  </w:style>
  <w:style w:type="character" w:customStyle="1" w:styleId="307">
    <w:name w:val="Section Char"/>
    <w:qFormat/>
    <w:uiPriority w:val="0"/>
    <w:rPr>
      <w:rFonts w:ascii="仿宋_GB2312" w:eastAsia="仿宋_GB2312" w:cs="MingLiU"/>
      <w:b/>
      <w:sz w:val="24"/>
      <w:szCs w:val="28"/>
      <w:lang w:val="en-US" w:eastAsia="zh-CN" w:bidi="ar-SA"/>
    </w:rPr>
  </w:style>
  <w:style w:type="character" w:customStyle="1" w:styleId="308">
    <w:name w:val="正文文本 3 Char2"/>
    <w:qFormat/>
    <w:uiPriority w:val="99"/>
    <w:rPr>
      <w:rFonts w:ascii="Calibri" w:hAnsi="Calibri" w:eastAsia="宋体" w:cs="Times New Roman"/>
      <w:sz w:val="16"/>
      <w:szCs w:val="16"/>
    </w:rPr>
  </w:style>
  <w:style w:type="character" w:customStyle="1" w:styleId="309">
    <w:name w:val="正文文本 3 字符"/>
    <w:link w:val="16"/>
    <w:qFormat/>
    <w:uiPriority w:val="0"/>
    <w:rPr>
      <w:rFonts w:eastAsia="宋体"/>
      <w:kern w:val="2"/>
      <w:sz w:val="16"/>
      <w:szCs w:val="16"/>
      <w:lang w:val="en-US" w:eastAsia="zh-CN" w:bidi="ar-SA"/>
    </w:rPr>
  </w:style>
  <w:style w:type="character" w:customStyle="1" w:styleId="310">
    <w:name w:val="普通文字 Char Char1"/>
    <w:qFormat/>
    <w:uiPriority w:val="0"/>
    <w:rPr>
      <w:rFonts w:ascii="宋体" w:hAnsi="Courier New"/>
      <w:kern w:val="2"/>
      <w:sz w:val="28"/>
      <w:szCs w:val="28"/>
    </w:rPr>
  </w:style>
  <w:style w:type="character" w:customStyle="1" w:styleId="311">
    <w:name w:val="正文文本缩进 Char"/>
    <w:qFormat/>
    <w:uiPriority w:val="0"/>
    <w:rPr>
      <w:rFonts w:ascii="黑体" w:hAnsi="宋体" w:eastAsia="黑体"/>
      <w:color w:val="000000"/>
      <w:sz w:val="28"/>
      <w:szCs w:val="32"/>
    </w:rPr>
  </w:style>
  <w:style w:type="character" w:customStyle="1" w:styleId="312">
    <w:name w:val="font161"/>
    <w:qFormat/>
    <w:uiPriority w:val="0"/>
    <w:rPr>
      <w:b/>
      <w:bCs/>
      <w:sz w:val="32"/>
      <w:szCs w:val="32"/>
    </w:rPr>
  </w:style>
  <w:style w:type="paragraph" w:customStyle="1" w:styleId="313">
    <w:name w:val="List Paragraph_2053445d-0ea7-4fc6-805c-24e9551bff14"/>
    <w:basedOn w:val="1"/>
    <w:qFormat/>
    <w:uiPriority w:val="99"/>
    <w:pPr>
      <w:ind w:firstLine="420" w:firstLineChars="200"/>
    </w:pPr>
    <w:rPr>
      <w:sz w:val="28"/>
      <w:szCs w:val="28"/>
    </w:rPr>
  </w:style>
  <w:style w:type="paragraph" w:customStyle="1" w:styleId="314">
    <w:name w:val="Revision_be56d849-df43-460f-89c6-231392157f72"/>
    <w:qFormat/>
    <w:uiPriority w:val="99"/>
    <w:rPr>
      <w:rFonts w:ascii="Times New Roman" w:hAnsi="Times New Roman" w:eastAsia="宋体" w:cs="Times New Roman"/>
      <w:kern w:val="2"/>
      <w:sz w:val="21"/>
      <w:szCs w:val="24"/>
      <w:lang w:val="en-US" w:eastAsia="zh-CN" w:bidi="ar-SA"/>
    </w:rPr>
  </w:style>
  <w:style w:type="table" w:customStyle="1" w:styleId="3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51</Pages>
  <Words>295</Words>
  <Characters>306</Characters>
  <Paragraphs>4432</Paragraphs>
  <TotalTime>8</TotalTime>
  <ScaleCrop>false</ScaleCrop>
  <LinksUpToDate>false</LinksUpToDate>
  <CharactersWithSpaces>346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2021-12-17T11:12:00Z</dcterms:created>
  <dc:creator>USER</dc:creator>
  <cp:lastModifiedBy> </cp:lastModifiedBy>
  <cp:lastPrinted>2023-02-19T06:02:00Z</cp:lastPrinted>
  <dcterms:modified xsi:type="dcterms:W3CDTF">2025-02-27T02:46:31Z</dcterms:modified>
  <dc:title>第一卷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8BE05A0AE1E34FA392957DFED3B2D992_13</vt:lpwstr>
  </property>
  <property fmtid="{D5CDD505-2E9C-101B-9397-08002B2CF9AE}" pid="4" name="KSOTemplateDocerSaveRecord">
    <vt:lpwstr>eyJoZGlkIjoiOWUxOGExZTU2YmJjNDk4YzM0OWNmNDE4YjNmNmJhMDIiLCJ1c2VySWQiOiIxMTMyNDk2OTU3In0=</vt:lpwstr>
  </property>
</Properties>
</file>