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C933C">
      <w:pPr>
        <w:jc w:val="center"/>
        <w:rPr>
          <w:rStyle w:val="188"/>
          <w:rFonts w:hint="eastAsia" w:asciiTheme="minorEastAsia" w:hAnsiTheme="minorEastAsia" w:eastAsiaTheme="minorEastAsia" w:cstheme="minorEastAsia"/>
          <w:color w:val="auto"/>
          <w:highlight w:val="none"/>
        </w:rPr>
      </w:pPr>
      <w:bookmarkStart w:id="0" w:name="_Toc287620665"/>
    </w:p>
    <w:p w14:paraId="74690517">
      <w:pPr>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 xml:space="preserve"> </w:t>
      </w:r>
    </w:p>
    <w:p w14:paraId="7BF52835">
      <w:pPr>
        <w:spacing w:line="360" w:lineRule="auto"/>
        <w:jc w:val="center"/>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 xml:space="preserve">重庆人工智能学院和重庆通用人工智能研究院筹备期物业服务  </w:t>
      </w:r>
    </w:p>
    <w:p w14:paraId="071465FB">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0"/>
          <w:szCs w:val="20"/>
          <w:highlight w:val="none"/>
        </w:rPr>
      </w:pPr>
    </w:p>
    <w:p w14:paraId="3498F0E0">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0"/>
          <w:szCs w:val="20"/>
          <w:highlight w:val="none"/>
        </w:rPr>
      </w:pPr>
    </w:p>
    <w:p w14:paraId="6A5D9F08">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0"/>
          <w:szCs w:val="20"/>
          <w:highlight w:val="none"/>
        </w:rPr>
      </w:pPr>
    </w:p>
    <w:p w14:paraId="24AAF80F">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72"/>
          <w:szCs w:val="72"/>
          <w:highlight w:val="none"/>
        </w:rPr>
      </w:pPr>
      <w:r>
        <w:rPr>
          <w:rFonts w:hint="eastAsia" w:asciiTheme="minorEastAsia" w:hAnsiTheme="minorEastAsia" w:eastAsiaTheme="minorEastAsia" w:cstheme="minorEastAsia"/>
          <w:color w:val="auto"/>
          <w:kern w:val="0"/>
          <w:sz w:val="72"/>
          <w:szCs w:val="72"/>
          <w:highlight w:val="none"/>
        </w:rPr>
        <w:t>竞争性比选文件</w:t>
      </w:r>
    </w:p>
    <w:p w14:paraId="4DFB1E7B">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10"/>
          <w:szCs w:val="10"/>
          <w:highlight w:val="none"/>
        </w:rPr>
      </w:pPr>
    </w:p>
    <w:p w14:paraId="35CD3604">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4"/>
          <w:highlight w:val="none"/>
        </w:rPr>
        <w:drawing>
          <wp:anchor distT="0" distB="0" distL="114300" distR="114300" simplePos="0" relativeHeight="251660288" behindDoc="1" locked="0" layoutInCell="1" allowOverlap="1">
            <wp:simplePos x="0" y="0"/>
            <wp:positionH relativeFrom="column">
              <wp:posOffset>1542415</wp:posOffset>
            </wp:positionH>
            <wp:positionV relativeFrom="paragraph">
              <wp:posOffset>65405</wp:posOffset>
            </wp:positionV>
            <wp:extent cx="2981325" cy="2571750"/>
            <wp:effectExtent l="0" t="0" r="9525" b="0"/>
            <wp:wrapNone/>
            <wp:docPr id="2" name="图片 2" descr="1688365589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88365589285"/>
                    <pic:cNvPicPr>
                      <a:picLocks noChangeAspect="1"/>
                    </pic:cNvPicPr>
                  </pic:nvPicPr>
                  <pic:blipFill>
                    <a:blip r:embed="rId14"/>
                    <a:stretch>
                      <a:fillRect/>
                    </a:stretch>
                  </pic:blipFill>
                  <pic:spPr>
                    <a:xfrm>
                      <a:off x="0" y="0"/>
                      <a:ext cx="2981325" cy="2571750"/>
                    </a:xfrm>
                    <a:prstGeom prst="rect">
                      <a:avLst/>
                    </a:prstGeom>
                  </pic:spPr>
                </pic:pic>
              </a:graphicData>
            </a:graphic>
          </wp:anchor>
        </w:drawing>
      </w:r>
    </w:p>
    <w:p w14:paraId="1C9E0F6C">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0"/>
          <w:szCs w:val="20"/>
          <w:highlight w:val="none"/>
        </w:rPr>
      </w:pPr>
    </w:p>
    <w:p w14:paraId="76C25F26">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0"/>
          <w:szCs w:val="20"/>
          <w:highlight w:val="none"/>
        </w:rPr>
      </w:pPr>
    </w:p>
    <w:p w14:paraId="19C9287F">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0"/>
          <w:szCs w:val="20"/>
          <w:highlight w:val="none"/>
        </w:rPr>
      </w:pPr>
    </w:p>
    <w:p w14:paraId="552354FF">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0"/>
          <w:szCs w:val="20"/>
          <w:highlight w:val="none"/>
        </w:rPr>
      </w:pPr>
    </w:p>
    <w:p w14:paraId="478091B4">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0"/>
          <w:szCs w:val="20"/>
          <w:highlight w:val="none"/>
        </w:rPr>
      </w:pPr>
    </w:p>
    <w:p w14:paraId="2A6282C7">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0"/>
          <w:szCs w:val="20"/>
          <w:highlight w:val="none"/>
        </w:rPr>
      </w:pPr>
    </w:p>
    <w:p w14:paraId="203FE4B6">
      <w:pPr>
        <w:autoSpaceDE w:val="0"/>
        <w:autoSpaceDN w:val="0"/>
        <w:adjustRightInd w:val="0"/>
        <w:snapToGrid w:val="0"/>
        <w:spacing w:line="360" w:lineRule="auto"/>
        <w:rPr>
          <w:rFonts w:hint="eastAsia" w:asciiTheme="minorEastAsia" w:hAnsiTheme="minorEastAsia" w:eastAsiaTheme="minorEastAsia" w:cstheme="minorEastAsia"/>
          <w:color w:val="auto"/>
          <w:kern w:val="0"/>
          <w:sz w:val="20"/>
          <w:szCs w:val="20"/>
          <w:highlight w:val="none"/>
        </w:rPr>
      </w:pPr>
    </w:p>
    <w:p w14:paraId="4E35DA7B">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0"/>
          <w:szCs w:val="20"/>
          <w:highlight w:val="none"/>
        </w:rPr>
      </w:pPr>
    </w:p>
    <w:p w14:paraId="030B7BA7">
      <w:pPr>
        <w:autoSpaceDE w:val="0"/>
        <w:autoSpaceDN w:val="0"/>
        <w:adjustRightInd w:val="0"/>
        <w:snapToGrid w:val="0"/>
        <w:spacing w:line="360" w:lineRule="auto"/>
        <w:rPr>
          <w:rFonts w:hint="eastAsia" w:asciiTheme="minorEastAsia" w:hAnsiTheme="minorEastAsia" w:eastAsiaTheme="minorEastAsia" w:cstheme="minorEastAsia"/>
          <w:color w:val="auto"/>
          <w:kern w:val="0"/>
          <w:sz w:val="20"/>
          <w:szCs w:val="20"/>
          <w:highlight w:val="none"/>
        </w:rPr>
      </w:pPr>
    </w:p>
    <w:p w14:paraId="6A935669">
      <w:pPr>
        <w:pStyle w:val="47"/>
        <w:ind w:firstLine="400"/>
        <w:rPr>
          <w:rFonts w:hint="eastAsia" w:asciiTheme="minorEastAsia" w:hAnsiTheme="minorEastAsia" w:eastAsiaTheme="minorEastAsia" w:cstheme="minorEastAsia"/>
          <w:color w:val="auto"/>
          <w:kern w:val="0"/>
          <w:sz w:val="20"/>
          <w:szCs w:val="20"/>
          <w:highlight w:val="none"/>
        </w:rPr>
      </w:pPr>
    </w:p>
    <w:p w14:paraId="3166E273">
      <w:pPr>
        <w:tabs>
          <w:tab w:val="left" w:pos="6219"/>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28"/>
          <w:szCs w:val="28"/>
          <w:highlight w:val="none"/>
        </w:rPr>
      </w:pPr>
      <w:r>
        <w:rPr>
          <w:rFonts w:hint="eastAsia" w:asciiTheme="minorEastAsia" w:hAnsiTheme="minorEastAsia" w:eastAsiaTheme="minorEastAsia" w:cstheme="minorEastAsia"/>
          <w:b/>
          <w:color w:val="auto"/>
          <w:spacing w:val="8"/>
          <w:kern w:val="0"/>
          <w:sz w:val="28"/>
          <w:szCs w:val="28"/>
          <w:highlight w:val="none"/>
        </w:rPr>
        <w:t>比选人：</w:t>
      </w:r>
      <w:r>
        <w:rPr>
          <w:rFonts w:hint="eastAsia" w:asciiTheme="minorEastAsia" w:hAnsiTheme="minorEastAsia" w:eastAsiaTheme="minorEastAsia" w:cstheme="minorEastAsia"/>
          <w:b/>
          <w:bCs/>
          <w:color w:val="auto"/>
          <w:kern w:val="0"/>
          <w:sz w:val="28"/>
          <w:szCs w:val="28"/>
          <w:highlight w:val="none"/>
        </w:rPr>
        <w:t>重庆广阳岛生态城实业有限公司</w:t>
      </w:r>
      <w:r>
        <w:rPr>
          <w:rFonts w:hint="eastAsia" w:asciiTheme="minorEastAsia" w:hAnsiTheme="minorEastAsia" w:eastAsiaTheme="minorEastAsia" w:cstheme="minorEastAsia"/>
          <w:b/>
          <w:color w:val="auto"/>
          <w:w w:val="99"/>
          <w:kern w:val="0"/>
          <w:sz w:val="28"/>
          <w:szCs w:val="28"/>
          <w:highlight w:val="none"/>
        </w:rPr>
        <w:t>（盖单位法人章）</w:t>
      </w:r>
    </w:p>
    <w:p w14:paraId="530A1A43">
      <w:pPr>
        <w:tabs>
          <w:tab w:val="left" w:pos="6252"/>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28"/>
          <w:szCs w:val="28"/>
          <w:highlight w:val="none"/>
        </w:rPr>
      </w:pPr>
      <w:r>
        <w:rPr>
          <w:rFonts w:hint="eastAsia" w:asciiTheme="minorEastAsia" w:hAnsiTheme="minorEastAsia" w:eastAsiaTheme="minorEastAsia" w:cstheme="minorEastAsia"/>
          <w:b/>
          <w:color w:val="auto"/>
          <w:spacing w:val="8"/>
          <w:kern w:val="0"/>
          <w:sz w:val="28"/>
          <w:szCs w:val="28"/>
          <w:highlight w:val="none"/>
        </w:rPr>
        <w:t>比选代理机构：</w:t>
      </w:r>
      <w:r>
        <w:rPr>
          <w:rFonts w:hint="eastAsia" w:asciiTheme="minorEastAsia" w:hAnsiTheme="minorEastAsia" w:eastAsiaTheme="minorEastAsia" w:cstheme="minorEastAsia"/>
          <w:b/>
          <w:bCs/>
          <w:color w:val="auto"/>
          <w:kern w:val="0"/>
          <w:sz w:val="28"/>
          <w:szCs w:val="28"/>
          <w:highlight w:val="none"/>
        </w:rPr>
        <w:t>重庆铂霖瀚丰工程管理咨询有限公司</w:t>
      </w:r>
      <w:r>
        <w:rPr>
          <w:rFonts w:hint="eastAsia" w:asciiTheme="minorEastAsia" w:hAnsiTheme="minorEastAsia" w:eastAsiaTheme="minorEastAsia" w:cstheme="minorEastAsia"/>
          <w:b/>
          <w:color w:val="auto"/>
          <w:w w:val="99"/>
          <w:kern w:val="0"/>
          <w:sz w:val="28"/>
          <w:szCs w:val="28"/>
          <w:highlight w:val="none"/>
        </w:rPr>
        <w:t>（盖单位法人章）</w:t>
      </w:r>
    </w:p>
    <w:p w14:paraId="459E56EE">
      <w:pPr>
        <w:autoSpaceDE w:val="0"/>
        <w:autoSpaceDN w:val="0"/>
        <w:adjustRightInd w:val="0"/>
        <w:snapToGrid w:val="0"/>
        <w:spacing w:line="360" w:lineRule="auto"/>
        <w:jc w:val="center"/>
        <w:rPr>
          <w:rFonts w:hint="eastAsia" w:asciiTheme="minorEastAsia" w:hAnsiTheme="minorEastAsia" w:eastAsiaTheme="minorEastAsia" w:cstheme="minorEastAsia"/>
          <w:b/>
          <w:color w:val="auto"/>
          <w:kern w:val="0"/>
          <w:sz w:val="20"/>
          <w:szCs w:val="20"/>
          <w:highlight w:val="none"/>
        </w:rPr>
      </w:pPr>
    </w:p>
    <w:p w14:paraId="6679B316">
      <w:pPr>
        <w:tabs>
          <w:tab w:val="left" w:pos="6252"/>
        </w:tabs>
        <w:autoSpaceDE w:val="0"/>
        <w:autoSpaceDN w:val="0"/>
        <w:adjustRightInd w:val="0"/>
        <w:snapToGrid w:val="0"/>
        <w:spacing w:line="360" w:lineRule="auto"/>
        <w:jc w:val="center"/>
        <w:rPr>
          <w:rFonts w:hint="eastAsia" w:asciiTheme="minorEastAsia" w:hAnsiTheme="minorEastAsia" w:eastAsiaTheme="minorEastAsia" w:cstheme="minorEastAsia"/>
          <w:bCs/>
          <w:color w:val="auto"/>
          <w:spacing w:val="8"/>
          <w:kern w:val="0"/>
          <w:sz w:val="28"/>
          <w:szCs w:val="28"/>
          <w:highlight w:val="none"/>
        </w:rPr>
      </w:pPr>
      <w:bookmarkStart w:id="1" w:name="_Toc536621766"/>
      <w:bookmarkStart w:id="2" w:name="_Toc536797277"/>
      <w:bookmarkStart w:id="3" w:name="_Toc13210649"/>
      <w:bookmarkStart w:id="4" w:name="_Toc536796736"/>
      <w:bookmarkStart w:id="5" w:name="_Toc509218549"/>
      <w:r>
        <w:rPr>
          <w:rFonts w:hint="eastAsia" w:asciiTheme="minorEastAsia" w:hAnsiTheme="minorEastAsia" w:eastAsiaTheme="minorEastAsia" w:cstheme="minorEastAsia"/>
          <w:b/>
          <w:color w:val="auto"/>
          <w:spacing w:val="8"/>
          <w:kern w:val="0"/>
          <w:sz w:val="28"/>
          <w:szCs w:val="28"/>
          <w:highlight w:val="none"/>
        </w:rPr>
        <w:t>2026年1月</w:t>
      </w:r>
      <w:bookmarkEnd w:id="1"/>
      <w:bookmarkEnd w:id="2"/>
      <w:bookmarkEnd w:id="3"/>
      <w:bookmarkEnd w:id="4"/>
      <w:bookmarkEnd w:id="5"/>
      <w:r>
        <w:rPr>
          <w:rFonts w:hint="eastAsia" w:asciiTheme="minorEastAsia" w:hAnsiTheme="minorEastAsia" w:eastAsiaTheme="minorEastAsia" w:cstheme="minorEastAsia"/>
          <w:b/>
          <w:color w:val="auto"/>
          <w:spacing w:val="8"/>
          <w:kern w:val="0"/>
          <w:sz w:val="28"/>
          <w:szCs w:val="28"/>
          <w:highlight w:val="none"/>
          <w:lang w:val="en-US" w:eastAsia="zh-CN"/>
        </w:rPr>
        <w:t>21</w:t>
      </w:r>
      <w:r>
        <w:rPr>
          <w:rFonts w:hint="eastAsia" w:asciiTheme="minorEastAsia" w:hAnsiTheme="minorEastAsia" w:eastAsiaTheme="minorEastAsia" w:cstheme="minorEastAsia"/>
          <w:b/>
          <w:color w:val="auto"/>
          <w:spacing w:val="8"/>
          <w:kern w:val="0"/>
          <w:sz w:val="28"/>
          <w:szCs w:val="28"/>
          <w:highlight w:val="none"/>
        </w:rPr>
        <w:t>日</w:t>
      </w:r>
    </w:p>
    <w:p w14:paraId="65D84FE5">
      <w:pPr>
        <w:pStyle w:val="3"/>
        <w:spacing w:line="360" w:lineRule="auto"/>
        <w:jc w:val="center"/>
        <w:rPr>
          <w:rFonts w:hint="eastAsia" w:asciiTheme="minorEastAsia" w:hAnsiTheme="minorEastAsia" w:eastAsiaTheme="minorEastAsia" w:cstheme="minorEastAsia"/>
          <w:color w:val="auto"/>
          <w:w w:val="99"/>
          <w:kern w:val="0"/>
          <w:sz w:val="24"/>
          <w:highlight w:val="none"/>
        </w:rPr>
        <w:sectPr>
          <w:headerReference r:id="rId5" w:type="default"/>
          <w:pgSz w:w="11907" w:h="16840"/>
          <w:pgMar w:top="1304" w:right="1134" w:bottom="1304" w:left="1304" w:header="851" w:footer="992" w:gutter="0"/>
          <w:pgNumType w:fmt="numberInDash" w:start="1"/>
          <w:cols w:space="720" w:num="1"/>
          <w:docGrid w:linePitch="312" w:charSpace="0"/>
        </w:sectPr>
      </w:pPr>
    </w:p>
    <w:p w14:paraId="367DFC87">
      <w:pPr>
        <w:pStyle w:val="122"/>
        <w:jc w:val="center"/>
        <w:rPr>
          <w:rFonts w:hint="eastAsia" w:asciiTheme="minorEastAsia" w:hAnsiTheme="minorEastAsia" w:eastAsiaTheme="minorEastAsia" w:cstheme="minorEastAsia"/>
          <w:color w:val="auto"/>
          <w:sz w:val="44"/>
          <w:szCs w:val="44"/>
          <w:highlight w:val="none"/>
        </w:rPr>
      </w:pPr>
      <w:bookmarkStart w:id="6" w:name="_Toc5767"/>
      <w:bookmarkStart w:id="7" w:name="_Toc28843"/>
      <w:r>
        <w:rPr>
          <w:rFonts w:hint="eastAsia" w:asciiTheme="minorEastAsia" w:hAnsiTheme="minorEastAsia" w:eastAsiaTheme="minorEastAsia" w:cstheme="minorEastAsia"/>
          <w:color w:val="auto"/>
          <w:sz w:val="44"/>
          <w:szCs w:val="44"/>
          <w:highlight w:val="none"/>
          <w:lang w:val="zh-CN"/>
        </w:rPr>
        <w:t>目 录</w:t>
      </w:r>
      <w:bookmarkEnd w:id="6"/>
      <w:bookmarkEnd w:id="7"/>
    </w:p>
    <w:p w14:paraId="1A4D95F2">
      <w:pPr>
        <w:pStyle w:val="32"/>
        <w:tabs>
          <w:tab w:val="right" w:leader="dot" w:pos="9469"/>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TOC \o "1-3" \h \z \u </w:instrText>
      </w:r>
      <w:r>
        <w:rPr>
          <w:rFonts w:hint="eastAsia" w:asciiTheme="minorEastAsia" w:hAnsiTheme="minorEastAsia" w:eastAsiaTheme="minorEastAsia" w:cstheme="minorEastAsia"/>
          <w:color w:val="auto"/>
          <w:sz w:val="28"/>
          <w:szCs w:val="28"/>
          <w:highlight w:val="none"/>
        </w:rPr>
        <w:fldChar w:fldCharType="separate"/>
      </w:r>
    </w:p>
    <w:p w14:paraId="2D7E22A8">
      <w:pPr>
        <w:pStyle w:val="32"/>
        <w:tabs>
          <w:tab w:val="right" w:leader="dot" w:pos="9469"/>
        </w:tabs>
        <w:spacing w:line="360" w:lineRule="auto"/>
        <w:rPr>
          <w:rFonts w:hint="eastAsia" w:asciiTheme="minorEastAsia" w:hAnsiTheme="minorEastAsia" w:eastAsiaTheme="minorEastAsia" w:cstheme="minorEastAsia"/>
          <w:color w:val="auto"/>
          <w:sz w:val="32"/>
          <w:szCs w:val="32"/>
          <w:highlight w:val="none"/>
        </w:rPr>
      </w:pPr>
      <w:r>
        <w:rPr>
          <w:color w:val="auto"/>
          <w:highlight w:val="none"/>
        </w:rPr>
        <w:fldChar w:fldCharType="begin"/>
      </w:r>
      <w:r>
        <w:rPr>
          <w:color w:val="auto"/>
          <w:highlight w:val="none"/>
        </w:rPr>
        <w:instrText xml:space="preserve"> HYPERLINK \l "_Toc28121" </w:instrText>
      </w:r>
      <w:r>
        <w:rPr>
          <w:color w:val="auto"/>
          <w:highlight w:val="none"/>
        </w:rPr>
        <w:fldChar w:fldCharType="separate"/>
      </w:r>
      <w:r>
        <w:rPr>
          <w:rFonts w:hint="eastAsia" w:asciiTheme="minorEastAsia" w:hAnsiTheme="minorEastAsia" w:eastAsiaTheme="minorEastAsia" w:cstheme="minorEastAsia"/>
          <w:snapToGrid w:val="0"/>
          <w:color w:val="auto"/>
          <w:kern w:val="0"/>
          <w:sz w:val="32"/>
          <w:szCs w:val="32"/>
          <w:highlight w:val="none"/>
        </w:rPr>
        <w:t>第一章  比选公告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_Toc28121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5B045448">
      <w:pPr>
        <w:pStyle w:val="32"/>
        <w:tabs>
          <w:tab w:val="right" w:leader="dot" w:pos="9469"/>
        </w:tabs>
        <w:spacing w:line="360" w:lineRule="auto"/>
        <w:rPr>
          <w:rFonts w:hint="eastAsia" w:asciiTheme="minorEastAsia" w:hAnsiTheme="minorEastAsia" w:eastAsiaTheme="minorEastAsia" w:cstheme="minorEastAsia"/>
          <w:color w:val="auto"/>
          <w:sz w:val="32"/>
          <w:szCs w:val="32"/>
          <w:highlight w:val="none"/>
        </w:rPr>
      </w:pPr>
      <w:r>
        <w:rPr>
          <w:color w:val="auto"/>
          <w:highlight w:val="none"/>
        </w:rPr>
        <w:fldChar w:fldCharType="begin"/>
      </w:r>
      <w:r>
        <w:rPr>
          <w:color w:val="auto"/>
          <w:highlight w:val="none"/>
        </w:rPr>
        <w:instrText xml:space="preserve"> HYPERLINK \l "_Toc28579" </w:instrText>
      </w:r>
      <w:r>
        <w:rPr>
          <w:color w:val="auto"/>
          <w:highlight w:val="none"/>
        </w:rPr>
        <w:fldChar w:fldCharType="separate"/>
      </w:r>
      <w:r>
        <w:rPr>
          <w:rFonts w:hint="eastAsia" w:asciiTheme="minorEastAsia" w:hAnsiTheme="minorEastAsia" w:eastAsiaTheme="minorEastAsia" w:cstheme="minorEastAsia"/>
          <w:snapToGrid w:val="0"/>
          <w:color w:val="auto"/>
          <w:kern w:val="0"/>
          <w:sz w:val="32"/>
          <w:szCs w:val="32"/>
          <w:highlight w:val="none"/>
        </w:rPr>
        <w:t>第二章  竞选人须知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_Toc28579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5</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50223269">
      <w:pPr>
        <w:pStyle w:val="32"/>
        <w:tabs>
          <w:tab w:val="right" w:leader="dot" w:pos="9469"/>
        </w:tabs>
        <w:spacing w:line="360" w:lineRule="auto"/>
        <w:rPr>
          <w:rFonts w:hint="eastAsia" w:asciiTheme="minorEastAsia" w:hAnsiTheme="minorEastAsia" w:eastAsiaTheme="minorEastAsia" w:cstheme="minorEastAsia"/>
          <w:color w:val="auto"/>
          <w:sz w:val="32"/>
          <w:szCs w:val="32"/>
          <w:highlight w:val="none"/>
        </w:rPr>
      </w:pPr>
      <w:r>
        <w:rPr>
          <w:color w:val="auto"/>
          <w:highlight w:val="none"/>
        </w:rPr>
        <w:fldChar w:fldCharType="begin"/>
      </w:r>
      <w:r>
        <w:rPr>
          <w:color w:val="auto"/>
          <w:highlight w:val="none"/>
        </w:rPr>
        <w:instrText xml:space="preserve"> HYPERLINK \l "_Toc22226" </w:instrText>
      </w:r>
      <w:r>
        <w:rPr>
          <w:color w:val="auto"/>
          <w:highlight w:val="none"/>
        </w:rPr>
        <w:fldChar w:fldCharType="separate"/>
      </w:r>
      <w:r>
        <w:rPr>
          <w:rFonts w:hint="eastAsia" w:asciiTheme="minorEastAsia" w:hAnsiTheme="minorEastAsia" w:eastAsiaTheme="minorEastAsia" w:cstheme="minorEastAsia"/>
          <w:color w:val="auto"/>
          <w:kern w:val="44"/>
          <w:sz w:val="32"/>
          <w:szCs w:val="72"/>
          <w:highlight w:val="none"/>
        </w:rPr>
        <w:t>第三章  评标办法（综合评估法）</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_Toc22226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21</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4AF4C155">
      <w:pPr>
        <w:pStyle w:val="32"/>
        <w:tabs>
          <w:tab w:val="right" w:leader="dot" w:pos="9469"/>
        </w:tabs>
        <w:spacing w:line="360" w:lineRule="auto"/>
        <w:rPr>
          <w:rFonts w:hint="eastAsia" w:asciiTheme="minorEastAsia" w:hAnsiTheme="minorEastAsia" w:eastAsiaTheme="minorEastAsia" w:cstheme="minorEastAsia"/>
          <w:color w:val="auto"/>
          <w:sz w:val="32"/>
          <w:szCs w:val="32"/>
          <w:highlight w:val="none"/>
        </w:rPr>
      </w:pPr>
      <w:r>
        <w:rPr>
          <w:color w:val="auto"/>
          <w:highlight w:val="none"/>
        </w:rPr>
        <w:fldChar w:fldCharType="begin"/>
      </w:r>
      <w:r>
        <w:rPr>
          <w:color w:val="auto"/>
          <w:highlight w:val="none"/>
        </w:rPr>
        <w:instrText xml:space="preserve"> HYPERLINK \l "_Toc16777" </w:instrText>
      </w:r>
      <w:r>
        <w:rPr>
          <w:color w:val="auto"/>
          <w:highlight w:val="none"/>
        </w:rPr>
        <w:fldChar w:fldCharType="separate"/>
      </w:r>
      <w:r>
        <w:rPr>
          <w:rFonts w:hint="eastAsia" w:asciiTheme="minorEastAsia" w:hAnsiTheme="minorEastAsia" w:eastAsiaTheme="minorEastAsia" w:cstheme="minorEastAsia"/>
          <w:color w:val="auto"/>
          <w:kern w:val="0"/>
          <w:sz w:val="32"/>
          <w:szCs w:val="32"/>
          <w:highlight w:val="none"/>
        </w:rPr>
        <w:t>第四章  合同条款及格式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_Toc16777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31</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2AA9B5E4">
      <w:pPr>
        <w:pStyle w:val="32"/>
        <w:tabs>
          <w:tab w:val="right" w:leader="dot" w:pos="9469"/>
        </w:tabs>
        <w:spacing w:line="360" w:lineRule="auto"/>
        <w:rPr>
          <w:rFonts w:hint="eastAsia" w:asciiTheme="minorEastAsia" w:hAnsiTheme="minorEastAsia" w:eastAsiaTheme="minorEastAsia" w:cstheme="minorEastAsia"/>
          <w:color w:val="auto"/>
          <w:sz w:val="32"/>
          <w:szCs w:val="32"/>
          <w:highlight w:val="none"/>
        </w:rPr>
      </w:pPr>
      <w:r>
        <w:rPr>
          <w:color w:val="auto"/>
          <w:highlight w:val="none"/>
        </w:rPr>
        <w:fldChar w:fldCharType="begin"/>
      </w:r>
      <w:r>
        <w:rPr>
          <w:color w:val="auto"/>
          <w:highlight w:val="none"/>
        </w:rPr>
        <w:instrText xml:space="preserve"> HYPERLINK \l "_Toc16451" </w:instrText>
      </w:r>
      <w:r>
        <w:rPr>
          <w:color w:val="auto"/>
          <w:highlight w:val="none"/>
        </w:rPr>
        <w:fldChar w:fldCharType="separate"/>
      </w:r>
      <w:r>
        <w:rPr>
          <w:rFonts w:hint="eastAsia" w:asciiTheme="minorEastAsia" w:hAnsiTheme="minorEastAsia" w:eastAsiaTheme="minorEastAsia" w:cstheme="minorEastAsia"/>
          <w:color w:val="auto"/>
          <w:sz w:val="32"/>
          <w:szCs w:val="32"/>
          <w:highlight w:val="none"/>
        </w:rPr>
        <w:t>第五章  技术标准和要求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_Toc16451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43</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4BB3C7C4">
      <w:pPr>
        <w:pStyle w:val="32"/>
        <w:tabs>
          <w:tab w:val="right" w:leader="dot" w:pos="9469"/>
        </w:tabs>
        <w:spacing w:line="360" w:lineRule="auto"/>
        <w:rPr>
          <w:rFonts w:hint="eastAsia" w:asciiTheme="minorEastAsia" w:hAnsiTheme="minorEastAsia" w:eastAsiaTheme="minorEastAsia" w:cstheme="minorEastAsia"/>
          <w:color w:val="auto"/>
          <w:sz w:val="32"/>
          <w:szCs w:val="32"/>
          <w:highlight w:val="none"/>
        </w:rPr>
      </w:pPr>
      <w:r>
        <w:rPr>
          <w:color w:val="auto"/>
          <w:highlight w:val="none"/>
        </w:rPr>
        <w:fldChar w:fldCharType="begin"/>
      </w:r>
      <w:r>
        <w:rPr>
          <w:color w:val="auto"/>
          <w:highlight w:val="none"/>
        </w:rPr>
        <w:instrText xml:space="preserve"> HYPERLINK \l "_Toc4333" </w:instrText>
      </w:r>
      <w:r>
        <w:rPr>
          <w:color w:val="auto"/>
          <w:highlight w:val="none"/>
        </w:rPr>
        <w:fldChar w:fldCharType="separate"/>
      </w:r>
      <w:r>
        <w:rPr>
          <w:rFonts w:hint="eastAsia" w:asciiTheme="minorEastAsia" w:hAnsiTheme="minorEastAsia" w:eastAsiaTheme="minorEastAsia" w:cstheme="minorEastAsia"/>
          <w:color w:val="auto"/>
          <w:sz w:val="32"/>
          <w:szCs w:val="32"/>
          <w:highlight w:val="none"/>
        </w:rPr>
        <w:t>第六章  竞选文件格式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_Toc4333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54</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4B037F2C">
      <w:pPr>
        <w:rPr>
          <w:rFonts w:hint="eastAsia" w:asciiTheme="minorEastAsia" w:hAnsiTheme="minorEastAsia" w:eastAsiaTheme="minorEastAsia" w:cstheme="minorEastAsia"/>
          <w:color w:val="auto"/>
          <w:sz w:val="32"/>
          <w:szCs w:val="40"/>
          <w:highlight w:val="none"/>
        </w:rPr>
      </w:pPr>
      <w:r>
        <w:rPr>
          <w:rFonts w:hint="eastAsia" w:asciiTheme="minorEastAsia" w:hAnsiTheme="minorEastAsia" w:eastAsiaTheme="minorEastAsia" w:cstheme="minorEastAsia"/>
          <w:bCs/>
          <w:color w:val="auto"/>
          <w:sz w:val="32"/>
          <w:szCs w:val="28"/>
          <w:highlight w:val="none"/>
          <w:lang w:val="zh-CN"/>
        </w:rPr>
        <w:fldChar w:fldCharType="end"/>
      </w:r>
    </w:p>
    <w:bookmarkEnd w:id="0"/>
    <w:p w14:paraId="60329413">
      <w:pPr>
        <w:spacing w:line="20" w:lineRule="exact"/>
        <w:rPr>
          <w:rFonts w:hint="eastAsia" w:asciiTheme="minorEastAsia" w:hAnsiTheme="minorEastAsia" w:eastAsiaTheme="minorEastAsia" w:cstheme="minorEastAsia"/>
          <w:color w:val="auto"/>
          <w:highlight w:val="none"/>
        </w:rPr>
      </w:pPr>
      <w:bookmarkStart w:id="8" w:name="_Toc430530414"/>
    </w:p>
    <w:p w14:paraId="0F67759F">
      <w:pPr>
        <w:spacing w:line="20" w:lineRule="exact"/>
        <w:jc w:val="left"/>
        <w:rPr>
          <w:rFonts w:hint="eastAsia" w:asciiTheme="minorEastAsia" w:hAnsiTheme="minorEastAsia" w:eastAsiaTheme="minorEastAsia" w:cstheme="minorEastAsia"/>
          <w:color w:val="auto"/>
          <w:highlight w:val="none"/>
        </w:rPr>
        <w:sectPr>
          <w:footerReference r:id="rId6" w:type="default"/>
          <w:pgSz w:w="11907" w:h="16840"/>
          <w:pgMar w:top="1304" w:right="1134" w:bottom="1304" w:left="1304" w:header="851" w:footer="992" w:gutter="0"/>
          <w:pgNumType w:fmt="numberInDash" w:start="1"/>
          <w:cols w:space="720" w:num="1"/>
          <w:docGrid w:linePitch="312" w:charSpace="0"/>
        </w:sectPr>
      </w:pPr>
    </w:p>
    <w:bookmarkEnd w:id="8"/>
    <w:p w14:paraId="0F180AA3">
      <w:pPr>
        <w:spacing w:line="360" w:lineRule="auto"/>
        <w:rPr>
          <w:rFonts w:hint="eastAsia" w:asciiTheme="minorEastAsia" w:hAnsiTheme="minorEastAsia" w:eastAsiaTheme="minorEastAsia" w:cstheme="minorEastAsia"/>
          <w:color w:val="auto"/>
          <w:highlight w:val="none"/>
        </w:rPr>
      </w:pPr>
    </w:p>
    <w:p w14:paraId="285CD9B2">
      <w:pPr>
        <w:pStyle w:val="3"/>
        <w:spacing w:before="0" w:after="0" w:line="480" w:lineRule="auto"/>
        <w:jc w:val="center"/>
        <w:rPr>
          <w:rFonts w:hint="eastAsia" w:asciiTheme="minorEastAsia" w:hAnsiTheme="minorEastAsia" w:eastAsiaTheme="minorEastAsia" w:cstheme="minorEastAsia"/>
          <w:color w:val="auto"/>
          <w:sz w:val="52"/>
          <w:szCs w:val="52"/>
          <w:highlight w:val="none"/>
        </w:rPr>
      </w:pPr>
      <w:bookmarkStart w:id="9" w:name="_Toc9936"/>
      <w:bookmarkStart w:id="10" w:name="_Toc22739"/>
      <w:bookmarkStart w:id="11" w:name="_Toc509218690"/>
      <w:bookmarkStart w:id="12" w:name="_Toc23956"/>
      <w:r>
        <w:rPr>
          <w:rFonts w:hint="eastAsia" w:asciiTheme="minorEastAsia" w:hAnsiTheme="minorEastAsia" w:eastAsiaTheme="minorEastAsia" w:cstheme="minorEastAsia"/>
          <w:color w:val="auto"/>
          <w:sz w:val="52"/>
          <w:szCs w:val="52"/>
          <w:highlight w:val="none"/>
        </w:rPr>
        <w:t>第 一 卷</w:t>
      </w:r>
      <w:bookmarkEnd w:id="9"/>
      <w:bookmarkEnd w:id="10"/>
      <w:bookmarkEnd w:id="11"/>
      <w:bookmarkEnd w:id="12"/>
    </w:p>
    <w:p w14:paraId="0D184A46">
      <w:pPr>
        <w:spacing w:line="2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77E61347">
      <w:pPr>
        <w:pStyle w:val="3"/>
        <w:spacing w:line="360" w:lineRule="auto"/>
        <w:jc w:val="center"/>
        <w:rPr>
          <w:rFonts w:hint="eastAsia" w:asciiTheme="minorEastAsia" w:hAnsiTheme="minorEastAsia" w:eastAsiaTheme="minorEastAsia" w:cstheme="minorEastAsia"/>
          <w:snapToGrid w:val="0"/>
          <w:color w:val="auto"/>
          <w:kern w:val="0"/>
          <w:highlight w:val="none"/>
        </w:rPr>
      </w:pPr>
      <w:bookmarkStart w:id="13" w:name="_Toc224103298"/>
      <w:bookmarkStart w:id="14" w:name="_Toc430530415"/>
      <w:bookmarkStart w:id="15" w:name="_Toc287620666"/>
      <w:bookmarkStart w:id="16" w:name="_Toc287607727"/>
      <w:bookmarkStart w:id="17" w:name="_Toc509218691"/>
      <w:bookmarkStart w:id="18" w:name="_Toc277082535"/>
      <w:bookmarkStart w:id="19" w:name="_Toc28121"/>
      <w:bookmarkStart w:id="20" w:name="_Toc12819"/>
      <w:r>
        <w:rPr>
          <w:rFonts w:hint="eastAsia" w:asciiTheme="minorEastAsia" w:hAnsiTheme="minorEastAsia" w:eastAsiaTheme="minorEastAsia" w:cstheme="minorEastAsia"/>
          <w:snapToGrid w:val="0"/>
          <w:color w:val="auto"/>
          <w:kern w:val="0"/>
          <w:highlight w:val="none"/>
        </w:rPr>
        <w:t>第一章  比选公告</w:t>
      </w:r>
      <w:bookmarkEnd w:id="13"/>
      <w:bookmarkEnd w:id="14"/>
      <w:bookmarkEnd w:id="15"/>
      <w:bookmarkEnd w:id="16"/>
      <w:bookmarkEnd w:id="17"/>
      <w:bookmarkEnd w:id="18"/>
      <w:bookmarkEnd w:id="19"/>
      <w:bookmarkEnd w:id="20"/>
    </w:p>
    <w:p w14:paraId="507E7F4E">
      <w:pPr>
        <w:autoSpaceDE w:val="0"/>
        <w:autoSpaceDN w:val="0"/>
        <w:adjustRightInd w:val="0"/>
        <w:snapToGrid w:val="0"/>
        <w:spacing w:line="360" w:lineRule="auto"/>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w w:val="99"/>
          <w:kern w:val="0"/>
          <w:sz w:val="24"/>
          <w:highlight w:val="none"/>
        </w:rPr>
        <w:t>重庆人工智能学院和重庆通用人工智能研究院筹备期物业服务 比选公告</w:t>
      </w:r>
    </w:p>
    <w:p w14:paraId="1FE6BE90">
      <w:pPr>
        <w:pStyle w:val="4"/>
        <w:spacing w:before="100" w:after="100" w:line="460" w:lineRule="exact"/>
        <w:rPr>
          <w:rFonts w:hint="eastAsia" w:asciiTheme="minorEastAsia" w:hAnsiTheme="minorEastAsia" w:eastAsiaTheme="minorEastAsia" w:cstheme="minorEastAsia"/>
          <w:snapToGrid w:val="0"/>
          <w:color w:val="auto"/>
          <w:sz w:val="28"/>
          <w:szCs w:val="28"/>
          <w:highlight w:val="none"/>
        </w:rPr>
      </w:pPr>
      <w:bookmarkStart w:id="21" w:name="_Toc21181"/>
      <w:bookmarkStart w:id="22" w:name="_Toc200359427"/>
      <w:bookmarkStart w:id="23" w:name="_Toc509218692"/>
      <w:bookmarkStart w:id="24" w:name="_Toc26523"/>
      <w:bookmarkStart w:id="25" w:name="_Toc224103299"/>
      <w:bookmarkStart w:id="26" w:name="_Toc430530416"/>
      <w:bookmarkStart w:id="27" w:name="_Toc200359238"/>
      <w:bookmarkStart w:id="28" w:name="_Toc287607728"/>
      <w:bookmarkStart w:id="29" w:name="_Toc277082536"/>
      <w:bookmarkStart w:id="30" w:name="_Toc287620667"/>
      <w:bookmarkStart w:id="31" w:name="_Toc27491"/>
      <w:r>
        <w:rPr>
          <w:rFonts w:hint="eastAsia" w:asciiTheme="minorEastAsia" w:hAnsiTheme="minorEastAsia" w:eastAsiaTheme="minorEastAsia" w:cstheme="minorEastAsia"/>
          <w:snapToGrid w:val="0"/>
          <w:color w:val="auto"/>
          <w:sz w:val="28"/>
          <w:szCs w:val="28"/>
          <w:highlight w:val="none"/>
        </w:rPr>
        <w:t>1.  招标条件</w:t>
      </w:r>
      <w:bookmarkEnd w:id="21"/>
      <w:bookmarkEnd w:id="22"/>
      <w:bookmarkEnd w:id="23"/>
      <w:bookmarkEnd w:id="24"/>
      <w:bookmarkEnd w:id="25"/>
      <w:bookmarkEnd w:id="26"/>
      <w:bookmarkEnd w:id="27"/>
      <w:bookmarkEnd w:id="28"/>
      <w:bookmarkEnd w:id="29"/>
      <w:bookmarkEnd w:id="30"/>
      <w:bookmarkEnd w:id="31"/>
    </w:p>
    <w:p w14:paraId="72294B03">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本项目 重庆人工智能学院和重庆通用人工智能研究院筹备期物业服务 已批准实施，项目业主为重庆广阳岛生态城实业有限公司，资金来自业主自筹，项目出资比例为100%，比选人</w:t>
      </w:r>
      <w:r>
        <w:rPr>
          <w:rFonts w:hint="eastAsia" w:asciiTheme="minorEastAsia" w:hAnsiTheme="minorEastAsia" w:eastAsiaTheme="minorEastAsia" w:cstheme="minorEastAsia"/>
          <w:snapToGrid w:val="0"/>
          <w:color w:val="auto"/>
          <w:kern w:val="0"/>
          <w:position w:val="-2"/>
          <w:szCs w:val="21"/>
          <w:highlight w:val="none"/>
        </w:rPr>
        <w:t>为</w:t>
      </w:r>
      <w:r>
        <w:rPr>
          <w:rFonts w:hint="eastAsia" w:asciiTheme="minorEastAsia" w:hAnsiTheme="minorEastAsia" w:eastAsiaTheme="minorEastAsia" w:cstheme="minorEastAsia"/>
          <w:snapToGrid w:val="0"/>
          <w:color w:val="auto"/>
          <w:kern w:val="0"/>
          <w:szCs w:val="21"/>
          <w:highlight w:val="none"/>
        </w:rPr>
        <w:t>重庆广阳岛生态城实业有限公司</w:t>
      </w:r>
      <w:r>
        <w:rPr>
          <w:rFonts w:hint="eastAsia" w:asciiTheme="minorEastAsia" w:hAnsiTheme="minorEastAsia" w:eastAsiaTheme="minorEastAsia" w:cstheme="minorEastAsia"/>
          <w:snapToGrid w:val="0"/>
          <w:color w:val="auto"/>
          <w:kern w:val="0"/>
          <w:position w:val="-2"/>
          <w:szCs w:val="21"/>
          <w:highlight w:val="none"/>
        </w:rPr>
        <w:t>。项目已具备招标条件，现对该项目进行公开比选。</w:t>
      </w:r>
    </w:p>
    <w:p w14:paraId="352FB4D7">
      <w:pPr>
        <w:pStyle w:val="4"/>
        <w:spacing w:before="100" w:after="100" w:line="460" w:lineRule="exact"/>
        <w:rPr>
          <w:rFonts w:hint="eastAsia" w:asciiTheme="minorEastAsia" w:hAnsiTheme="minorEastAsia" w:eastAsiaTheme="minorEastAsia" w:cstheme="minorEastAsia"/>
          <w:snapToGrid w:val="0"/>
          <w:color w:val="auto"/>
          <w:sz w:val="28"/>
          <w:szCs w:val="28"/>
          <w:highlight w:val="none"/>
        </w:rPr>
      </w:pPr>
      <w:bookmarkStart w:id="32" w:name="_Toc16344"/>
      <w:bookmarkStart w:id="33" w:name="_Toc509218693"/>
      <w:bookmarkStart w:id="34" w:name="_Toc200359239"/>
      <w:bookmarkStart w:id="35" w:name="_Toc200359428"/>
      <w:bookmarkStart w:id="36" w:name="_Toc430530417"/>
      <w:bookmarkStart w:id="37" w:name="_Toc287620668"/>
      <w:bookmarkStart w:id="38" w:name="_Toc2343"/>
      <w:bookmarkStart w:id="39" w:name="_Toc22556"/>
      <w:bookmarkStart w:id="40" w:name="_Toc277082537"/>
      <w:bookmarkStart w:id="41" w:name="_Toc287607729"/>
      <w:bookmarkStart w:id="42" w:name="_Toc224103300"/>
      <w:r>
        <w:rPr>
          <w:rFonts w:hint="eastAsia" w:asciiTheme="minorEastAsia" w:hAnsiTheme="minorEastAsia" w:eastAsiaTheme="minorEastAsia" w:cstheme="minorEastAsia"/>
          <w:snapToGrid w:val="0"/>
          <w:color w:val="auto"/>
          <w:sz w:val="28"/>
          <w:szCs w:val="28"/>
          <w:highlight w:val="none"/>
        </w:rPr>
        <w:t>2.  项目概况与招标范围</w:t>
      </w:r>
      <w:bookmarkEnd w:id="32"/>
      <w:bookmarkEnd w:id="33"/>
      <w:bookmarkEnd w:id="34"/>
      <w:bookmarkEnd w:id="35"/>
      <w:bookmarkEnd w:id="36"/>
      <w:bookmarkEnd w:id="37"/>
      <w:bookmarkEnd w:id="38"/>
      <w:bookmarkEnd w:id="39"/>
      <w:bookmarkEnd w:id="40"/>
      <w:bookmarkEnd w:id="41"/>
      <w:bookmarkEnd w:id="42"/>
    </w:p>
    <w:p w14:paraId="0239749A">
      <w:pPr>
        <w:tabs>
          <w:tab w:val="left" w:pos="3840"/>
          <w:tab w:val="left" w:pos="5300"/>
        </w:tabs>
        <w:autoSpaceDE w:val="0"/>
        <w:autoSpaceDN w:val="0"/>
        <w:adjustRightInd w:val="0"/>
        <w:snapToGrid w:val="0"/>
        <w:spacing w:line="460" w:lineRule="exact"/>
        <w:ind w:firstLine="420" w:firstLineChars="200"/>
        <w:jc w:val="left"/>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2.1 </w:t>
      </w:r>
      <w:r>
        <w:rPr>
          <w:rFonts w:hint="eastAsia" w:asciiTheme="minorEastAsia" w:hAnsiTheme="minorEastAsia" w:eastAsiaTheme="minorEastAsia" w:cstheme="minorEastAsia"/>
          <w:color w:val="auto"/>
          <w:szCs w:val="21"/>
          <w:highlight w:val="none"/>
          <w:lang w:val="zh-CN"/>
        </w:rPr>
        <w:t>服务</w:t>
      </w:r>
      <w:r>
        <w:rPr>
          <w:rFonts w:hint="eastAsia" w:asciiTheme="minorEastAsia" w:hAnsiTheme="minorEastAsia" w:eastAsiaTheme="minorEastAsia" w:cstheme="minorEastAsia"/>
          <w:snapToGrid w:val="0"/>
          <w:color w:val="auto"/>
          <w:kern w:val="0"/>
          <w:szCs w:val="21"/>
          <w:highlight w:val="none"/>
        </w:rPr>
        <w:t>地点：重庆经开区。</w:t>
      </w:r>
    </w:p>
    <w:p w14:paraId="713AD8E9">
      <w:pPr>
        <w:tabs>
          <w:tab w:val="left" w:pos="3840"/>
          <w:tab w:val="left" w:pos="5300"/>
        </w:tabs>
        <w:autoSpaceDE w:val="0"/>
        <w:autoSpaceDN w:val="0"/>
        <w:adjustRightInd w:val="0"/>
        <w:snapToGrid w:val="0"/>
        <w:spacing w:line="460" w:lineRule="exact"/>
        <w:ind w:firstLine="420" w:firstLineChars="200"/>
        <w:jc w:val="left"/>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2.2 比选范围：提供重庆人工智能学院和重庆通用人工智能研究院筹备期物业服务，具体包括保安、保洁、绿化、工程基础物业服务；学院筹备期协同服务；承接查验的协同服务；综合（会议）服务；建筑物及构筑物维修整改监督验收服务；能源保障服务；设施设备的试运行服务、开办清洁专项服务以及按照物业行业服务标准需要提供的服务内容。</w:t>
      </w:r>
    </w:p>
    <w:p w14:paraId="79A05FD9">
      <w:pPr>
        <w:tabs>
          <w:tab w:val="left" w:pos="3840"/>
          <w:tab w:val="left" w:pos="5300"/>
        </w:tabs>
        <w:autoSpaceDE w:val="0"/>
        <w:autoSpaceDN w:val="0"/>
        <w:adjustRightInd w:val="0"/>
        <w:snapToGrid w:val="0"/>
        <w:spacing w:line="460" w:lineRule="exact"/>
        <w:ind w:firstLine="420" w:firstLineChars="200"/>
        <w:jc w:val="left"/>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2.3 服务期：</w:t>
      </w:r>
      <w:r>
        <w:rPr>
          <w:rFonts w:hint="eastAsia" w:asciiTheme="minorEastAsia" w:hAnsiTheme="minorEastAsia" w:eastAsiaTheme="minorEastAsia" w:cstheme="minorEastAsia"/>
          <w:color w:val="auto"/>
          <w:kern w:val="0"/>
          <w:szCs w:val="21"/>
          <w:highlight w:val="none"/>
        </w:rPr>
        <w:t>从合同签订（实际开工之日）起至2026年3月31日止。实际开工日期以比选人通知进场为准。</w:t>
      </w:r>
    </w:p>
    <w:p w14:paraId="188A0CAF">
      <w:pPr>
        <w:pStyle w:val="4"/>
        <w:spacing w:before="100" w:after="100" w:line="460" w:lineRule="exact"/>
        <w:rPr>
          <w:rFonts w:hint="eastAsia" w:asciiTheme="minorEastAsia" w:hAnsiTheme="minorEastAsia" w:eastAsiaTheme="minorEastAsia" w:cstheme="minorEastAsia"/>
          <w:snapToGrid w:val="0"/>
          <w:color w:val="auto"/>
          <w:sz w:val="28"/>
          <w:szCs w:val="28"/>
          <w:highlight w:val="none"/>
        </w:rPr>
      </w:pPr>
      <w:bookmarkStart w:id="43" w:name="_Toc5240"/>
      <w:bookmarkStart w:id="44" w:name="_Toc430530418"/>
      <w:bookmarkStart w:id="45" w:name="_Toc277082538"/>
      <w:bookmarkStart w:id="46" w:name="_Toc224103301"/>
      <w:bookmarkStart w:id="47" w:name="_Toc287607730"/>
      <w:bookmarkStart w:id="48" w:name="_Toc200359240"/>
      <w:bookmarkStart w:id="49" w:name="_Toc509218694"/>
      <w:bookmarkStart w:id="50" w:name="_Toc19513"/>
      <w:bookmarkStart w:id="51" w:name="_Toc1052"/>
      <w:bookmarkStart w:id="52" w:name="_Toc200359429"/>
      <w:bookmarkStart w:id="53" w:name="_Toc287620669"/>
      <w:r>
        <w:rPr>
          <w:rFonts w:hint="eastAsia" w:asciiTheme="minorEastAsia" w:hAnsiTheme="minorEastAsia" w:eastAsiaTheme="minorEastAsia" w:cstheme="minorEastAsia"/>
          <w:snapToGrid w:val="0"/>
          <w:color w:val="auto"/>
          <w:sz w:val="28"/>
          <w:szCs w:val="28"/>
          <w:highlight w:val="none"/>
        </w:rPr>
        <w:t>3.  竞选人资格要求</w:t>
      </w:r>
      <w:bookmarkEnd w:id="43"/>
      <w:bookmarkEnd w:id="44"/>
      <w:bookmarkEnd w:id="45"/>
      <w:bookmarkEnd w:id="46"/>
      <w:bookmarkEnd w:id="47"/>
      <w:bookmarkEnd w:id="48"/>
      <w:bookmarkEnd w:id="49"/>
      <w:bookmarkEnd w:id="50"/>
      <w:bookmarkEnd w:id="51"/>
      <w:bookmarkEnd w:id="52"/>
      <w:bookmarkEnd w:id="53"/>
    </w:p>
    <w:p w14:paraId="03154B01">
      <w:pPr>
        <w:tabs>
          <w:tab w:val="left" w:pos="3840"/>
          <w:tab w:val="left" w:pos="5300"/>
        </w:tabs>
        <w:autoSpaceDE w:val="0"/>
        <w:autoSpaceDN w:val="0"/>
        <w:adjustRightInd w:val="0"/>
        <w:snapToGrid w:val="0"/>
        <w:spacing w:line="460" w:lineRule="exact"/>
        <w:ind w:firstLine="420" w:firstLineChars="200"/>
        <w:jc w:val="left"/>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3.1  本次招标要求竞选人须具备以下条件：</w:t>
      </w:r>
    </w:p>
    <w:p w14:paraId="62EB0608">
      <w:pPr>
        <w:tabs>
          <w:tab w:val="left" w:pos="3840"/>
          <w:tab w:val="left" w:pos="5300"/>
        </w:tabs>
        <w:autoSpaceDE w:val="0"/>
        <w:autoSpaceDN w:val="0"/>
        <w:adjustRightInd w:val="0"/>
        <w:snapToGrid w:val="0"/>
        <w:spacing w:line="460" w:lineRule="exact"/>
        <w:ind w:firstLine="420" w:firstLineChars="200"/>
        <w:jc w:val="left"/>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3.1.1 本次招标要求竞选人具备的资质条件：</w:t>
      </w:r>
      <w:bookmarkStart w:id="54" w:name="OLE_LINK2"/>
      <w:r>
        <w:rPr>
          <w:rFonts w:hint="eastAsia" w:asciiTheme="minorEastAsia" w:hAnsiTheme="minorEastAsia" w:eastAsiaTheme="minorEastAsia" w:cstheme="minorEastAsia"/>
          <w:snapToGrid w:val="0"/>
          <w:color w:val="auto"/>
          <w:kern w:val="0"/>
          <w:szCs w:val="21"/>
          <w:highlight w:val="none"/>
        </w:rPr>
        <w:t>具备工商行政部门颁发的有效的营业执照</w:t>
      </w:r>
      <w:bookmarkEnd w:id="54"/>
      <w:r>
        <w:rPr>
          <w:rFonts w:hint="eastAsia" w:asciiTheme="minorEastAsia" w:hAnsiTheme="minorEastAsia" w:eastAsiaTheme="minorEastAsia" w:cstheme="minorEastAsia"/>
          <w:snapToGrid w:val="0"/>
          <w:color w:val="auto"/>
          <w:kern w:val="0"/>
          <w:szCs w:val="21"/>
          <w:highlight w:val="none"/>
        </w:rPr>
        <w:t>；</w:t>
      </w:r>
    </w:p>
    <w:p w14:paraId="6D53423D">
      <w:pPr>
        <w:tabs>
          <w:tab w:val="left" w:pos="3840"/>
          <w:tab w:val="left" w:pos="5300"/>
        </w:tabs>
        <w:autoSpaceDE w:val="0"/>
        <w:autoSpaceDN w:val="0"/>
        <w:adjustRightInd w:val="0"/>
        <w:snapToGrid w:val="0"/>
        <w:spacing w:line="46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snapToGrid w:val="0"/>
          <w:color w:val="auto"/>
          <w:kern w:val="0"/>
          <w:szCs w:val="21"/>
          <w:highlight w:val="none"/>
        </w:rPr>
        <w:t xml:space="preserve">3.1.2 </w:t>
      </w:r>
      <w:bookmarkStart w:id="55" w:name="OLE_LINK8"/>
      <w:r>
        <w:rPr>
          <w:rFonts w:hint="eastAsia" w:asciiTheme="minorEastAsia" w:hAnsiTheme="minorEastAsia" w:eastAsiaTheme="minorEastAsia" w:cstheme="minorEastAsia"/>
          <w:snapToGrid w:val="0"/>
          <w:color w:val="auto"/>
          <w:kern w:val="0"/>
          <w:szCs w:val="21"/>
          <w:highlight w:val="none"/>
        </w:rPr>
        <w:t>竞选人还应在人员、设备、资金等方面具有相应的服务能力，详见招标文件第二章竞选人须知前附表第1.4.1项内</w:t>
      </w:r>
      <w:bookmarkEnd w:id="55"/>
      <w:r>
        <w:rPr>
          <w:rFonts w:hint="eastAsia" w:asciiTheme="minorEastAsia" w:hAnsiTheme="minorEastAsia" w:eastAsiaTheme="minorEastAsia" w:cstheme="minorEastAsia"/>
          <w:snapToGrid w:val="0"/>
          <w:color w:val="auto"/>
          <w:kern w:val="0"/>
          <w:szCs w:val="21"/>
          <w:highlight w:val="none"/>
        </w:rPr>
        <w:t>容。</w:t>
      </w:r>
    </w:p>
    <w:p w14:paraId="2E210D21">
      <w:pPr>
        <w:tabs>
          <w:tab w:val="left" w:pos="3045"/>
          <w:tab w:val="left" w:pos="8310"/>
        </w:tabs>
        <w:autoSpaceDE w:val="0"/>
        <w:autoSpaceDN w:val="0"/>
        <w:adjustRightInd w:val="0"/>
        <w:snapToGrid w:val="0"/>
        <w:spacing w:line="46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3.2  本次招标不接受联合体投标。</w:t>
      </w:r>
    </w:p>
    <w:p w14:paraId="45018547">
      <w:pPr>
        <w:pStyle w:val="4"/>
        <w:spacing w:before="100" w:after="100" w:line="460" w:lineRule="exact"/>
        <w:rPr>
          <w:rFonts w:hint="eastAsia" w:asciiTheme="minorEastAsia" w:hAnsiTheme="minorEastAsia" w:eastAsiaTheme="minorEastAsia" w:cstheme="minorEastAsia"/>
          <w:snapToGrid w:val="0"/>
          <w:color w:val="auto"/>
          <w:sz w:val="28"/>
          <w:szCs w:val="28"/>
          <w:highlight w:val="none"/>
        </w:rPr>
      </w:pPr>
      <w:bookmarkStart w:id="56" w:name="_Toc287620670"/>
      <w:bookmarkStart w:id="57" w:name="_Toc200359241"/>
      <w:bookmarkStart w:id="58" w:name="_Toc509218695"/>
      <w:bookmarkStart w:id="59" w:name="_Toc13751"/>
      <w:bookmarkStart w:id="60" w:name="_Toc277082539"/>
      <w:bookmarkStart w:id="61" w:name="_Toc4182"/>
      <w:bookmarkStart w:id="62" w:name="_Toc224103302"/>
      <w:bookmarkStart w:id="63" w:name="_Toc10508"/>
      <w:bookmarkStart w:id="64" w:name="_Toc287607731"/>
      <w:bookmarkStart w:id="65" w:name="_Toc200359430"/>
      <w:bookmarkStart w:id="66" w:name="_Toc430530419"/>
      <w:r>
        <w:rPr>
          <w:rFonts w:hint="eastAsia" w:asciiTheme="minorEastAsia" w:hAnsiTheme="minorEastAsia" w:eastAsiaTheme="minorEastAsia" w:cstheme="minorEastAsia"/>
          <w:snapToGrid w:val="0"/>
          <w:color w:val="auto"/>
          <w:sz w:val="28"/>
          <w:szCs w:val="28"/>
          <w:highlight w:val="none"/>
        </w:rPr>
        <w:t>4.  招标文件的获取</w:t>
      </w:r>
      <w:bookmarkEnd w:id="56"/>
      <w:bookmarkEnd w:id="57"/>
      <w:bookmarkEnd w:id="58"/>
      <w:bookmarkEnd w:id="59"/>
      <w:bookmarkEnd w:id="60"/>
      <w:bookmarkEnd w:id="61"/>
      <w:bookmarkEnd w:id="62"/>
      <w:bookmarkEnd w:id="63"/>
      <w:bookmarkEnd w:id="64"/>
      <w:bookmarkEnd w:id="65"/>
      <w:bookmarkEnd w:id="66"/>
    </w:p>
    <w:p w14:paraId="69ABD473">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4.1 凡有意参加投标者，请于2026 年1月</w:t>
      </w:r>
      <w:r>
        <w:rPr>
          <w:rFonts w:hint="eastAsia" w:asciiTheme="minorEastAsia" w:hAnsiTheme="minorEastAsia" w:eastAsiaTheme="minorEastAsia" w:cstheme="minorEastAsia"/>
          <w:snapToGrid w:val="0"/>
          <w:color w:val="auto"/>
          <w:kern w:val="0"/>
          <w:szCs w:val="21"/>
          <w:highlight w:val="none"/>
          <w:lang w:val="en-US" w:eastAsia="zh-CN"/>
        </w:rPr>
        <w:t>21</w:t>
      </w:r>
      <w:r>
        <w:rPr>
          <w:rFonts w:hint="eastAsia" w:asciiTheme="minorEastAsia" w:hAnsiTheme="minorEastAsia" w:eastAsiaTheme="minorEastAsia" w:cstheme="minorEastAsia"/>
          <w:snapToGrid w:val="0"/>
          <w:color w:val="auto"/>
          <w:kern w:val="0"/>
          <w:szCs w:val="21"/>
          <w:highlight w:val="none"/>
        </w:rPr>
        <w:t>日（北京时间，下同）起</w:t>
      </w:r>
      <w:r>
        <w:rPr>
          <w:rFonts w:hint="eastAsia" w:asciiTheme="minorEastAsia" w:hAnsiTheme="minorEastAsia" w:eastAsiaTheme="minorEastAsia" w:cstheme="minorEastAsia"/>
          <w:snapToGrid w:val="0"/>
          <w:color w:val="auto"/>
          <w:kern w:val="0"/>
          <w:szCs w:val="21"/>
          <w:highlight w:val="none"/>
          <w:lang w:val="en-US" w:eastAsia="zh-CN"/>
        </w:rPr>
        <w:t>至</w:t>
      </w:r>
      <w:r>
        <w:rPr>
          <w:rFonts w:hint="eastAsia" w:asciiTheme="minorEastAsia" w:hAnsiTheme="minorEastAsia" w:eastAsiaTheme="minorEastAsia" w:cstheme="minorEastAsia"/>
          <w:snapToGrid w:val="0"/>
          <w:color w:val="auto"/>
          <w:kern w:val="0"/>
          <w:szCs w:val="21"/>
          <w:highlight w:val="none"/>
        </w:rPr>
        <w:t>2026 年1月</w:t>
      </w:r>
      <w:r>
        <w:rPr>
          <w:rFonts w:hint="eastAsia" w:asciiTheme="minorEastAsia" w:hAnsiTheme="minorEastAsia" w:eastAsiaTheme="minorEastAsia" w:cstheme="minorEastAsia"/>
          <w:snapToGrid w:val="0"/>
          <w:color w:val="auto"/>
          <w:kern w:val="0"/>
          <w:szCs w:val="21"/>
          <w:highlight w:val="none"/>
          <w:lang w:val="en-US" w:eastAsia="zh-CN"/>
        </w:rPr>
        <w:t>23</w:t>
      </w:r>
      <w:r>
        <w:rPr>
          <w:rFonts w:hint="eastAsia" w:asciiTheme="minorEastAsia" w:hAnsiTheme="minorEastAsia" w:eastAsiaTheme="minorEastAsia" w:cstheme="minorEastAsia"/>
          <w:snapToGrid w:val="0"/>
          <w:color w:val="auto"/>
          <w:kern w:val="0"/>
          <w:szCs w:val="21"/>
          <w:highlight w:val="none"/>
        </w:rPr>
        <w:t>日在行采家https://www.gec123.com、</w:t>
      </w:r>
      <w:bookmarkStart w:id="67" w:name="OLE_LINK14"/>
      <w:r>
        <w:rPr>
          <w:rFonts w:hint="eastAsia" w:asciiTheme="minorEastAsia" w:hAnsiTheme="minorEastAsia" w:eastAsiaTheme="minorEastAsia" w:cstheme="minorEastAsia"/>
          <w:snapToGrid w:val="0"/>
          <w:color w:val="auto"/>
          <w:kern w:val="0"/>
          <w:szCs w:val="21"/>
          <w:highlight w:val="none"/>
        </w:rPr>
        <w:t>重庆广阳湾生态城投资发展集团有限公司官网http://cq-gyw.com</w:t>
      </w:r>
      <w:bookmarkEnd w:id="67"/>
      <w:r>
        <w:rPr>
          <w:rFonts w:hint="eastAsia" w:asciiTheme="minorEastAsia" w:hAnsiTheme="minorEastAsia" w:eastAsiaTheme="minorEastAsia" w:cstheme="minorEastAsia"/>
          <w:snapToGrid w:val="0"/>
          <w:color w:val="auto"/>
          <w:kern w:val="0"/>
          <w:szCs w:val="21"/>
          <w:highlight w:val="none"/>
        </w:rPr>
        <w:t>下载招标文件、工程量清单、图纸、澄清、修改、补充通知、最高限价通知等全部内容之后将营业执照发送到2471230833@qq.com邮箱登记。不管下载与否都视为潜在竞选人全部知晓有关招投标过程和全部内容。</w:t>
      </w:r>
    </w:p>
    <w:p w14:paraId="54A02508">
      <w:pPr>
        <w:pStyle w:val="4"/>
        <w:spacing w:before="100" w:after="100" w:line="460" w:lineRule="exact"/>
        <w:rPr>
          <w:rFonts w:hint="eastAsia" w:asciiTheme="minorEastAsia" w:hAnsiTheme="minorEastAsia" w:eastAsiaTheme="minorEastAsia" w:cstheme="minorEastAsia"/>
          <w:snapToGrid w:val="0"/>
          <w:color w:val="auto"/>
          <w:sz w:val="28"/>
          <w:szCs w:val="28"/>
          <w:highlight w:val="none"/>
        </w:rPr>
      </w:pPr>
      <w:bookmarkStart w:id="68" w:name="_Toc224103303"/>
      <w:bookmarkStart w:id="69" w:name="_Toc430530420"/>
      <w:bookmarkStart w:id="70" w:name="_Toc11595"/>
      <w:bookmarkStart w:id="71" w:name="_Toc3893"/>
      <w:bookmarkStart w:id="72" w:name="_Toc287607732"/>
      <w:bookmarkStart w:id="73" w:name="_Toc277082540"/>
      <w:bookmarkStart w:id="74" w:name="_Toc200359431"/>
      <w:bookmarkStart w:id="75" w:name="_Toc509218696"/>
      <w:bookmarkStart w:id="76" w:name="_Toc200359242"/>
      <w:bookmarkStart w:id="77" w:name="_Toc28449"/>
      <w:bookmarkStart w:id="78" w:name="_Toc287620671"/>
      <w:r>
        <w:rPr>
          <w:rFonts w:hint="eastAsia" w:asciiTheme="minorEastAsia" w:hAnsiTheme="minorEastAsia" w:eastAsiaTheme="minorEastAsia" w:cstheme="minorEastAsia"/>
          <w:snapToGrid w:val="0"/>
          <w:color w:val="auto"/>
          <w:sz w:val="28"/>
          <w:szCs w:val="28"/>
          <w:highlight w:val="none"/>
        </w:rPr>
        <w:t>5.  竞选文件的递交</w:t>
      </w:r>
      <w:bookmarkEnd w:id="68"/>
      <w:bookmarkEnd w:id="69"/>
      <w:bookmarkEnd w:id="70"/>
      <w:bookmarkEnd w:id="71"/>
      <w:bookmarkEnd w:id="72"/>
      <w:bookmarkEnd w:id="73"/>
      <w:bookmarkEnd w:id="74"/>
      <w:bookmarkEnd w:id="75"/>
      <w:bookmarkEnd w:id="76"/>
      <w:bookmarkEnd w:id="77"/>
      <w:bookmarkEnd w:id="78"/>
    </w:p>
    <w:p w14:paraId="64C764DF">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5.1  竞选文件递交的截止时间（投标截止时间，下同）为2026年1月</w:t>
      </w:r>
      <w:r>
        <w:rPr>
          <w:rFonts w:hint="eastAsia" w:asciiTheme="minorEastAsia" w:hAnsiTheme="minorEastAsia" w:eastAsiaTheme="minorEastAsia" w:cstheme="minorEastAsia"/>
          <w:snapToGrid w:val="0"/>
          <w:color w:val="auto"/>
          <w:kern w:val="0"/>
          <w:szCs w:val="21"/>
          <w:highlight w:val="none"/>
          <w:lang w:val="en-US" w:eastAsia="zh-CN"/>
        </w:rPr>
        <w:t>30</w:t>
      </w:r>
      <w:r>
        <w:rPr>
          <w:rFonts w:hint="eastAsia" w:asciiTheme="minorEastAsia" w:hAnsiTheme="minorEastAsia" w:eastAsiaTheme="minorEastAsia" w:cstheme="minorEastAsia"/>
          <w:snapToGrid w:val="0"/>
          <w:color w:val="auto"/>
          <w:kern w:val="0"/>
          <w:szCs w:val="21"/>
          <w:highlight w:val="none"/>
        </w:rPr>
        <w:t>日</w:t>
      </w:r>
      <w:r>
        <w:rPr>
          <w:rFonts w:hint="eastAsia" w:asciiTheme="minorEastAsia" w:hAnsiTheme="minorEastAsia" w:eastAsiaTheme="minorEastAsia" w:cstheme="minorEastAsia"/>
          <w:snapToGrid w:val="0"/>
          <w:color w:val="auto"/>
          <w:kern w:val="0"/>
          <w:szCs w:val="21"/>
          <w:highlight w:val="none"/>
          <w:lang w:val="en-US" w:eastAsia="zh-CN"/>
        </w:rPr>
        <w:t>14</w:t>
      </w:r>
      <w:r>
        <w:rPr>
          <w:rFonts w:hint="eastAsia" w:asciiTheme="minorEastAsia" w:hAnsiTheme="minorEastAsia" w:eastAsiaTheme="minorEastAsia" w:cstheme="minorEastAsia"/>
          <w:snapToGrid w:val="0"/>
          <w:color w:val="auto"/>
          <w:kern w:val="0"/>
          <w:szCs w:val="21"/>
          <w:highlight w:val="none"/>
        </w:rPr>
        <w:t>时</w:t>
      </w:r>
      <w:r>
        <w:rPr>
          <w:rFonts w:hint="eastAsia" w:asciiTheme="minorEastAsia" w:hAnsiTheme="minorEastAsia" w:eastAsiaTheme="minorEastAsia" w:cstheme="minorEastAsia"/>
          <w:snapToGrid w:val="0"/>
          <w:color w:val="auto"/>
          <w:kern w:val="0"/>
          <w:szCs w:val="21"/>
          <w:highlight w:val="none"/>
          <w:lang w:val="en-US" w:eastAsia="zh-CN"/>
        </w:rPr>
        <w:t>30</w:t>
      </w:r>
      <w:bookmarkStart w:id="599" w:name="_GoBack"/>
      <w:bookmarkEnd w:id="599"/>
      <w:r>
        <w:rPr>
          <w:rFonts w:hint="eastAsia" w:asciiTheme="minorEastAsia" w:hAnsiTheme="minorEastAsia" w:eastAsiaTheme="minorEastAsia" w:cstheme="minorEastAsia"/>
          <w:snapToGrid w:val="0"/>
          <w:color w:val="auto"/>
          <w:kern w:val="0"/>
          <w:szCs w:val="21"/>
          <w:highlight w:val="none"/>
        </w:rPr>
        <w:t xml:space="preserve">分，地点为 </w:t>
      </w:r>
      <w:bookmarkStart w:id="79" w:name="OLE_LINK4"/>
      <w:r>
        <w:rPr>
          <w:rFonts w:hint="eastAsia" w:asciiTheme="minorEastAsia" w:hAnsiTheme="minorEastAsia" w:eastAsiaTheme="minorEastAsia" w:cstheme="minorEastAsia"/>
          <w:snapToGrid w:val="0"/>
          <w:color w:val="auto"/>
          <w:kern w:val="0"/>
          <w:szCs w:val="21"/>
          <w:highlight w:val="none"/>
        </w:rPr>
        <w:t>重庆铂霖瀚丰工程管理咨询有限公司会议室（</w:t>
      </w:r>
      <w:bookmarkStart w:id="80" w:name="OLE_LINK13"/>
      <w:r>
        <w:rPr>
          <w:rFonts w:hint="eastAsia" w:asciiTheme="minorEastAsia" w:hAnsiTheme="minorEastAsia" w:eastAsiaTheme="minorEastAsia" w:cstheme="minorEastAsia"/>
          <w:snapToGrid w:val="0"/>
          <w:color w:val="auto"/>
          <w:kern w:val="0"/>
          <w:szCs w:val="21"/>
          <w:highlight w:val="none"/>
        </w:rPr>
        <w:t>重庆市</w:t>
      </w:r>
      <w:bookmarkEnd w:id="80"/>
      <w:r>
        <w:rPr>
          <w:rFonts w:hint="eastAsia" w:asciiTheme="minorEastAsia" w:hAnsiTheme="minorEastAsia" w:eastAsiaTheme="minorEastAsia" w:cstheme="minorEastAsia"/>
          <w:snapToGrid w:val="0"/>
          <w:color w:val="auto"/>
          <w:kern w:val="0"/>
          <w:szCs w:val="21"/>
          <w:highlight w:val="none"/>
        </w:rPr>
        <w:t>两江新区洪湖西路21号2004-2005）</w:t>
      </w:r>
      <w:bookmarkEnd w:id="79"/>
      <w:r>
        <w:rPr>
          <w:rFonts w:hint="eastAsia" w:asciiTheme="minorEastAsia" w:hAnsiTheme="minorEastAsia" w:eastAsiaTheme="minorEastAsia" w:cstheme="minorEastAsia"/>
          <w:snapToGrid w:val="0"/>
          <w:color w:val="auto"/>
          <w:kern w:val="0"/>
          <w:szCs w:val="21"/>
          <w:highlight w:val="none"/>
        </w:rPr>
        <w:t xml:space="preserve"> 。</w:t>
      </w:r>
    </w:p>
    <w:p w14:paraId="1F481824">
      <w:pPr>
        <w:autoSpaceDE w:val="0"/>
        <w:autoSpaceDN w:val="0"/>
        <w:adjustRightInd w:val="0"/>
        <w:snapToGrid w:val="0"/>
        <w:spacing w:line="45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5.2  逾期送达的或者未送达指定地点的竞选文件，比选人不予受理。 </w:t>
      </w:r>
    </w:p>
    <w:p w14:paraId="2BD2EE74">
      <w:pPr>
        <w:autoSpaceDE w:val="0"/>
        <w:autoSpaceDN w:val="0"/>
        <w:adjustRightInd w:val="0"/>
        <w:snapToGrid w:val="0"/>
        <w:spacing w:line="450" w:lineRule="exact"/>
        <w:ind w:firstLine="422" w:firstLineChars="200"/>
        <w:rPr>
          <w:rFonts w:hint="eastAsia" w:asciiTheme="minorEastAsia" w:hAnsiTheme="minorEastAsia" w:eastAsiaTheme="minorEastAsia" w:cstheme="minorEastAsia"/>
          <w:b/>
          <w:bCs/>
          <w:snapToGrid w:val="0"/>
          <w:color w:val="auto"/>
          <w:kern w:val="0"/>
          <w:szCs w:val="21"/>
          <w:highlight w:val="none"/>
        </w:rPr>
      </w:pPr>
      <w:r>
        <w:rPr>
          <w:rFonts w:hint="eastAsia" w:asciiTheme="minorEastAsia" w:hAnsiTheme="minorEastAsia" w:eastAsiaTheme="minorEastAsia" w:cstheme="minorEastAsia"/>
          <w:b/>
          <w:bCs/>
          <w:snapToGrid w:val="0"/>
          <w:color w:val="auto"/>
          <w:kern w:val="0"/>
          <w:szCs w:val="21"/>
          <w:highlight w:val="none"/>
        </w:rPr>
        <w:t>注：本项目采取线上线下相结合的方式进行竞选报价，竞选人须在报价截止时间（网上报价起止时间以行采家网页公告时间为准）前完成行采家平台网上报价及现场</w:t>
      </w:r>
      <w:bookmarkStart w:id="81" w:name="OLE_LINK12"/>
      <w:r>
        <w:rPr>
          <w:rFonts w:hint="eastAsia" w:asciiTheme="minorEastAsia" w:hAnsiTheme="minorEastAsia" w:eastAsiaTheme="minorEastAsia" w:cstheme="minorEastAsia"/>
          <w:b/>
          <w:bCs/>
          <w:snapToGrid w:val="0"/>
          <w:color w:val="auto"/>
          <w:kern w:val="0"/>
          <w:szCs w:val="21"/>
          <w:highlight w:val="none"/>
        </w:rPr>
        <w:t>竞选文件</w:t>
      </w:r>
      <w:bookmarkEnd w:id="81"/>
      <w:r>
        <w:rPr>
          <w:rFonts w:hint="eastAsia" w:asciiTheme="minorEastAsia" w:hAnsiTheme="minorEastAsia" w:eastAsiaTheme="minorEastAsia" w:cstheme="minorEastAsia"/>
          <w:b/>
          <w:bCs/>
          <w:snapToGrid w:val="0"/>
          <w:color w:val="auto"/>
          <w:kern w:val="0"/>
          <w:szCs w:val="21"/>
          <w:highlight w:val="none"/>
        </w:rPr>
        <w:t>的递交，线上线下竞选总报价须保持一致，报价截止时间止未在行采家上发起报价的，其竞选文件不予受理。</w:t>
      </w:r>
    </w:p>
    <w:p w14:paraId="561295A8">
      <w:pPr>
        <w:pStyle w:val="4"/>
        <w:spacing w:before="100" w:after="100" w:line="460" w:lineRule="exact"/>
        <w:rPr>
          <w:rFonts w:hint="eastAsia" w:asciiTheme="minorEastAsia" w:hAnsiTheme="minorEastAsia" w:eastAsiaTheme="minorEastAsia" w:cstheme="minorEastAsia"/>
          <w:snapToGrid w:val="0"/>
          <w:color w:val="auto"/>
          <w:sz w:val="28"/>
          <w:szCs w:val="28"/>
          <w:highlight w:val="none"/>
        </w:rPr>
      </w:pPr>
      <w:bookmarkStart w:id="82" w:name="_Toc277082541"/>
      <w:bookmarkStart w:id="83" w:name="_Toc430530421"/>
      <w:bookmarkStart w:id="84" w:name="_Toc287607733"/>
      <w:bookmarkStart w:id="85" w:name="_Toc509218697"/>
      <w:bookmarkStart w:id="86" w:name="_Toc287620672"/>
      <w:bookmarkStart w:id="87" w:name="_Toc200359432"/>
      <w:bookmarkStart w:id="88" w:name="_Toc19071"/>
      <w:bookmarkStart w:id="89" w:name="_Toc9905"/>
      <w:bookmarkStart w:id="90" w:name="_Toc8166"/>
      <w:bookmarkStart w:id="91" w:name="_Toc200359243"/>
      <w:bookmarkStart w:id="92" w:name="_Toc224103304"/>
      <w:r>
        <w:rPr>
          <w:rFonts w:hint="eastAsia" w:asciiTheme="minorEastAsia" w:hAnsiTheme="minorEastAsia" w:eastAsiaTheme="minorEastAsia" w:cstheme="minorEastAsia"/>
          <w:snapToGrid w:val="0"/>
          <w:color w:val="auto"/>
          <w:sz w:val="28"/>
          <w:szCs w:val="28"/>
          <w:highlight w:val="none"/>
        </w:rPr>
        <w:t>6.  发布公告的媒介</w:t>
      </w:r>
      <w:bookmarkEnd w:id="82"/>
      <w:bookmarkEnd w:id="83"/>
      <w:bookmarkEnd w:id="84"/>
      <w:bookmarkEnd w:id="85"/>
      <w:bookmarkEnd w:id="86"/>
      <w:bookmarkEnd w:id="87"/>
      <w:bookmarkEnd w:id="88"/>
      <w:bookmarkEnd w:id="89"/>
      <w:bookmarkEnd w:id="90"/>
      <w:bookmarkEnd w:id="91"/>
      <w:bookmarkEnd w:id="92"/>
    </w:p>
    <w:p w14:paraId="22042CBE">
      <w:pPr>
        <w:tabs>
          <w:tab w:val="left" w:pos="4950"/>
        </w:tabs>
        <w:autoSpaceDE w:val="0"/>
        <w:autoSpaceDN w:val="0"/>
        <w:adjustRightInd w:val="0"/>
        <w:snapToGrid w:val="0"/>
        <w:spacing w:line="45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本次比选公告同时在 行采家(https://www.gec123.com）、重庆广阳湾生态城投资发展集团有限公司官网（http://cq-gyw.com）上发布。</w:t>
      </w:r>
    </w:p>
    <w:p w14:paraId="15353F48">
      <w:pPr>
        <w:pStyle w:val="4"/>
        <w:spacing w:before="100" w:after="100" w:line="460" w:lineRule="exact"/>
        <w:rPr>
          <w:rFonts w:hint="eastAsia" w:asciiTheme="minorEastAsia" w:hAnsiTheme="minorEastAsia" w:eastAsiaTheme="minorEastAsia" w:cstheme="minorEastAsia"/>
          <w:snapToGrid w:val="0"/>
          <w:color w:val="auto"/>
          <w:sz w:val="28"/>
          <w:szCs w:val="28"/>
          <w:highlight w:val="none"/>
        </w:rPr>
      </w:pPr>
      <w:bookmarkStart w:id="93" w:name="_Toc31352"/>
      <w:bookmarkStart w:id="94" w:name="_Toc14240"/>
      <w:bookmarkStart w:id="95" w:name="_Toc287620673"/>
      <w:bookmarkStart w:id="96" w:name="_Toc277082542"/>
      <w:bookmarkStart w:id="97" w:name="_Toc224103305"/>
      <w:bookmarkStart w:id="98" w:name="_Toc509218698"/>
      <w:bookmarkStart w:id="99" w:name="_Toc430530422"/>
      <w:bookmarkStart w:id="100" w:name="_Toc769"/>
      <w:bookmarkStart w:id="101" w:name="_Toc287607734"/>
      <w:bookmarkStart w:id="102" w:name="_Toc18976"/>
      <w:r>
        <w:rPr>
          <w:rFonts w:hint="eastAsia" w:asciiTheme="minorEastAsia" w:hAnsiTheme="minorEastAsia" w:eastAsiaTheme="minorEastAsia" w:cstheme="minorEastAsia"/>
          <w:snapToGrid w:val="0"/>
          <w:color w:val="auto"/>
          <w:sz w:val="28"/>
          <w:szCs w:val="28"/>
          <w:highlight w:val="none"/>
        </w:rPr>
        <w:t xml:space="preserve">7.  </w:t>
      </w:r>
      <w:bookmarkEnd w:id="93"/>
      <w:bookmarkEnd w:id="94"/>
      <w:bookmarkStart w:id="103" w:name="_Toc589"/>
      <w:r>
        <w:rPr>
          <w:rFonts w:hint="eastAsia" w:asciiTheme="minorEastAsia" w:hAnsiTheme="minorEastAsia" w:eastAsiaTheme="minorEastAsia" w:cstheme="minorEastAsia"/>
          <w:snapToGrid w:val="0"/>
          <w:color w:val="auto"/>
          <w:sz w:val="28"/>
          <w:szCs w:val="28"/>
          <w:highlight w:val="none"/>
        </w:rPr>
        <w:t>联系方式</w:t>
      </w:r>
      <w:bookmarkEnd w:id="95"/>
      <w:bookmarkEnd w:id="96"/>
      <w:bookmarkEnd w:id="97"/>
      <w:bookmarkEnd w:id="98"/>
      <w:bookmarkEnd w:id="99"/>
      <w:bookmarkEnd w:id="100"/>
      <w:bookmarkEnd w:id="101"/>
      <w:bookmarkEnd w:id="102"/>
      <w:bookmarkEnd w:id="103"/>
    </w:p>
    <w:p w14:paraId="36C960DC">
      <w:pPr>
        <w:tabs>
          <w:tab w:val="left" w:pos="5140"/>
          <w:tab w:val="left" w:pos="8520"/>
        </w:tabs>
        <w:autoSpaceDE w:val="0"/>
        <w:autoSpaceDN w:val="0"/>
        <w:adjustRightInd w:val="0"/>
        <w:snapToGrid w:val="0"/>
        <w:spacing w:line="450" w:lineRule="exact"/>
        <w:jc w:val="left"/>
        <w:rPr>
          <w:rFonts w:hint="eastAsia" w:asciiTheme="minorEastAsia" w:hAnsiTheme="minorEastAsia" w:eastAsiaTheme="minorEastAsia" w:cstheme="minorEastAsia"/>
          <w:snapToGrid w:val="0"/>
          <w:color w:val="auto"/>
          <w:kern w:val="0"/>
          <w:szCs w:val="21"/>
          <w:highlight w:val="none"/>
        </w:rPr>
      </w:pPr>
      <w:bookmarkStart w:id="104" w:name="_Toc224103315"/>
      <w:bookmarkStart w:id="105" w:name="_Toc287620683"/>
      <w:bookmarkStart w:id="106" w:name="_Toc32148"/>
      <w:bookmarkStart w:id="107" w:name="_Toc430530432"/>
      <w:bookmarkStart w:id="108" w:name="_Toc287607744"/>
      <w:r>
        <w:rPr>
          <w:rFonts w:hint="eastAsia" w:asciiTheme="minorEastAsia" w:hAnsiTheme="minorEastAsia" w:eastAsiaTheme="minorEastAsia" w:cstheme="minorEastAsia"/>
          <w:snapToGrid w:val="0"/>
          <w:color w:val="auto"/>
          <w:kern w:val="0"/>
          <w:szCs w:val="21"/>
          <w:highlight w:val="none"/>
        </w:rPr>
        <w:t>比选人：重庆广阳岛生态城实业有限公司     比选代理机构：重庆铂霖瀚丰工程管理咨询有限公司</w:t>
      </w:r>
    </w:p>
    <w:p w14:paraId="66959822">
      <w:pPr>
        <w:tabs>
          <w:tab w:val="left" w:pos="5140"/>
          <w:tab w:val="left" w:pos="8420"/>
        </w:tabs>
        <w:autoSpaceDE w:val="0"/>
        <w:autoSpaceDN w:val="0"/>
        <w:adjustRightInd w:val="0"/>
        <w:snapToGrid w:val="0"/>
        <w:spacing w:line="450" w:lineRule="exact"/>
        <w:jc w:val="left"/>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地址： 重庆市南岸区茶园江桥路一号附1号   地址：重庆市南岸区长生桥镇通江大道93号附30号</w:t>
      </w:r>
    </w:p>
    <w:p w14:paraId="13FA43BF">
      <w:pPr>
        <w:tabs>
          <w:tab w:val="left" w:pos="5140"/>
          <w:tab w:val="left" w:pos="8420"/>
        </w:tabs>
        <w:autoSpaceDE w:val="0"/>
        <w:autoSpaceDN w:val="0"/>
        <w:adjustRightInd w:val="0"/>
        <w:snapToGrid w:val="0"/>
        <w:spacing w:line="450" w:lineRule="exact"/>
        <w:jc w:val="left"/>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联系人：唐老师、徐老师                   联系人：杨老师           </w:t>
      </w:r>
    </w:p>
    <w:p w14:paraId="03059F60">
      <w:pPr>
        <w:tabs>
          <w:tab w:val="left" w:pos="5140"/>
          <w:tab w:val="left" w:pos="8420"/>
        </w:tabs>
        <w:autoSpaceDE w:val="0"/>
        <w:autoSpaceDN w:val="0"/>
        <w:adjustRightInd w:val="0"/>
        <w:snapToGrid w:val="0"/>
        <w:spacing w:line="450" w:lineRule="exact"/>
        <w:jc w:val="left"/>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电  话：023-62823880                     电  话：15223573576                 </w:t>
      </w:r>
    </w:p>
    <w:p w14:paraId="09BFE711">
      <w:pPr>
        <w:autoSpaceDE w:val="0"/>
        <w:autoSpaceDN w:val="0"/>
        <w:adjustRightInd w:val="0"/>
        <w:snapToGrid w:val="0"/>
        <w:spacing w:line="440" w:lineRule="exact"/>
        <w:ind w:firstLine="3906" w:firstLineChars="1860"/>
        <w:jc w:val="right"/>
        <w:rPr>
          <w:rFonts w:hint="eastAsia" w:asciiTheme="minorEastAsia" w:hAnsiTheme="minorEastAsia" w:eastAsiaTheme="minorEastAsia" w:cstheme="minorEastAsia"/>
          <w:snapToGrid w:val="0"/>
          <w:color w:val="auto"/>
          <w:kern w:val="0"/>
          <w:szCs w:val="21"/>
          <w:highlight w:val="none"/>
        </w:rPr>
      </w:pPr>
    </w:p>
    <w:p w14:paraId="22102BB4">
      <w:pPr>
        <w:autoSpaceDE w:val="0"/>
        <w:autoSpaceDN w:val="0"/>
        <w:adjustRightInd w:val="0"/>
        <w:snapToGrid w:val="0"/>
        <w:spacing w:line="440" w:lineRule="exact"/>
        <w:ind w:firstLine="3906" w:firstLineChars="1860"/>
        <w:jc w:val="right"/>
        <w:rPr>
          <w:rFonts w:hint="eastAsia" w:asciiTheme="minorEastAsia" w:hAnsiTheme="minorEastAsia" w:eastAsiaTheme="minorEastAsia" w:cstheme="minorEastAsia"/>
          <w:snapToGrid w:val="0"/>
          <w:color w:val="auto"/>
          <w:kern w:val="0"/>
          <w:szCs w:val="21"/>
          <w:highlight w:val="none"/>
        </w:rPr>
      </w:pPr>
    </w:p>
    <w:p w14:paraId="61696F85">
      <w:pPr>
        <w:autoSpaceDE w:val="0"/>
        <w:autoSpaceDN w:val="0"/>
        <w:adjustRightInd w:val="0"/>
        <w:snapToGrid w:val="0"/>
        <w:spacing w:line="440" w:lineRule="exact"/>
        <w:ind w:firstLine="3906" w:firstLineChars="1860"/>
        <w:jc w:val="right"/>
        <w:rPr>
          <w:rFonts w:hint="eastAsia" w:asciiTheme="minorEastAsia" w:hAnsiTheme="minorEastAsia" w:eastAsiaTheme="minorEastAsia" w:cstheme="minorEastAsia"/>
          <w:snapToGrid w:val="0"/>
          <w:color w:val="auto"/>
          <w:kern w:val="0"/>
          <w:sz w:val="20"/>
          <w:szCs w:val="20"/>
          <w:highlight w:val="none"/>
        </w:rPr>
      </w:pPr>
      <w:r>
        <w:rPr>
          <w:rFonts w:hint="eastAsia" w:asciiTheme="minorEastAsia" w:hAnsiTheme="minorEastAsia" w:eastAsiaTheme="minorEastAsia" w:cstheme="minorEastAsia"/>
          <w:snapToGrid w:val="0"/>
          <w:color w:val="auto"/>
          <w:kern w:val="0"/>
          <w:szCs w:val="21"/>
          <w:highlight w:val="none"/>
        </w:rPr>
        <w:t xml:space="preserve">  </w:t>
      </w:r>
    </w:p>
    <w:p w14:paraId="24E83BCA">
      <w:pPr>
        <w:pStyle w:val="3"/>
        <w:spacing w:before="0" w:after="0" w:line="200" w:lineRule="exact"/>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br w:type="page"/>
      </w:r>
    </w:p>
    <w:p w14:paraId="7C4A76EA">
      <w:pPr>
        <w:pStyle w:val="3"/>
        <w:spacing w:line="360" w:lineRule="auto"/>
        <w:jc w:val="center"/>
        <w:rPr>
          <w:rFonts w:hint="eastAsia" w:asciiTheme="minorEastAsia" w:hAnsiTheme="minorEastAsia" w:eastAsiaTheme="minorEastAsia" w:cstheme="minorEastAsia"/>
          <w:bCs w:val="0"/>
          <w:snapToGrid w:val="0"/>
          <w:color w:val="auto"/>
          <w:kern w:val="0"/>
          <w:highlight w:val="none"/>
        </w:rPr>
      </w:pPr>
      <w:bookmarkStart w:id="109" w:name="_Toc28579"/>
      <w:r>
        <w:rPr>
          <w:rFonts w:hint="eastAsia" w:asciiTheme="minorEastAsia" w:hAnsiTheme="minorEastAsia" w:eastAsiaTheme="minorEastAsia" w:cstheme="minorEastAsia"/>
          <w:snapToGrid w:val="0"/>
          <w:color w:val="auto"/>
          <w:kern w:val="0"/>
          <w:highlight w:val="none"/>
        </w:rPr>
        <w:t>第二章  竞选人须知</w:t>
      </w:r>
      <w:bookmarkEnd w:id="104"/>
      <w:bookmarkEnd w:id="105"/>
      <w:bookmarkEnd w:id="106"/>
      <w:bookmarkEnd w:id="107"/>
      <w:bookmarkEnd w:id="108"/>
      <w:bookmarkEnd w:id="109"/>
      <w:bookmarkStart w:id="110" w:name="_Toc287620684"/>
      <w:bookmarkStart w:id="111" w:name="_Toc287607745"/>
      <w:bookmarkStart w:id="112" w:name="_Toc430530433"/>
      <w:bookmarkStart w:id="113" w:name="_Toc224103316"/>
      <w:bookmarkStart w:id="114" w:name="_Toc277082551"/>
    </w:p>
    <w:p w14:paraId="4FC0FA99">
      <w:pPr>
        <w:pStyle w:val="4"/>
        <w:spacing w:before="100" w:after="100" w:line="360" w:lineRule="auto"/>
        <w:rPr>
          <w:rFonts w:hint="eastAsia" w:asciiTheme="minorEastAsia" w:hAnsiTheme="minorEastAsia" w:eastAsiaTheme="minorEastAsia" w:cstheme="minorEastAsia"/>
          <w:color w:val="auto"/>
          <w:highlight w:val="none"/>
        </w:rPr>
      </w:pPr>
      <w:bookmarkStart w:id="115" w:name="_Toc509218708"/>
      <w:bookmarkStart w:id="116" w:name="_Toc31303"/>
      <w:bookmarkStart w:id="117" w:name="_Toc8005"/>
      <w:bookmarkStart w:id="118" w:name="_Toc21400"/>
      <w:r>
        <w:rPr>
          <w:rFonts w:hint="eastAsia" w:asciiTheme="minorEastAsia" w:hAnsiTheme="minorEastAsia" w:eastAsiaTheme="minorEastAsia" w:cstheme="minorEastAsia"/>
          <w:color w:val="auto"/>
          <w:highlight w:val="none"/>
        </w:rPr>
        <w:t>竞选人须知前附表</w:t>
      </w:r>
      <w:bookmarkEnd w:id="110"/>
      <w:bookmarkEnd w:id="111"/>
      <w:bookmarkEnd w:id="112"/>
      <w:bookmarkEnd w:id="113"/>
      <w:bookmarkEnd w:id="114"/>
      <w:bookmarkEnd w:id="115"/>
      <w:bookmarkEnd w:id="116"/>
      <w:bookmarkEnd w:id="117"/>
      <w:bookmarkEnd w:id="118"/>
    </w:p>
    <w:p w14:paraId="395AA8B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正文内容不允许修改。若竞选人须知前附表与正文不一致的地方，以竞选人须知前附表为准。</w:t>
      </w:r>
    </w:p>
    <w:tbl>
      <w:tblPr>
        <w:tblStyle w:val="48"/>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32B1A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6606FB86">
            <w:pPr>
              <w:snapToGrid w:val="0"/>
              <w:spacing w:line="40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条 款 号</w:t>
            </w:r>
          </w:p>
        </w:tc>
        <w:tc>
          <w:tcPr>
            <w:tcW w:w="1644" w:type="dxa"/>
            <w:vAlign w:val="center"/>
          </w:tcPr>
          <w:p w14:paraId="34EC205E">
            <w:pPr>
              <w:snapToGrid w:val="0"/>
              <w:spacing w:line="40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条款名称</w:t>
            </w:r>
          </w:p>
        </w:tc>
        <w:tc>
          <w:tcPr>
            <w:tcW w:w="6490" w:type="dxa"/>
            <w:vAlign w:val="center"/>
          </w:tcPr>
          <w:p w14:paraId="61A28412">
            <w:pPr>
              <w:snapToGrid w:val="0"/>
              <w:spacing w:line="40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编  列  内  容</w:t>
            </w:r>
          </w:p>
        </w:tc>
      </w:tr>
      <w:tr w14:paraId="0F0710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CC9EE7">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1.1.2</w:t>
            </w:r>
          </w:p>
        </w:tc>
        <w:tc>
          <w:tcPr>
            <w:tcW w:w="1644" w:type="dxa"/>
            <w:vAlign w:val="center"/>
          </w:tcPr>
          <w:p w14:paraId="3BF8E34D">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比选人</w:t>
            </w:r>
          </w:p>
        </w:tc>
        <w:tc>
          <w:tcPr>
            <w:tcW w:w="6490" w:type="dxa"/>
            <w:vAlign w:val="center"/>
          </w:tcPr>
          <w:p w14:paraId="5634E394">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名称：重庆广阳岛生态城实业有限公司</w:t>
            </w:r>
          </w:p>
          <w:p w14:paraId="460B801A">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地址：重庆市南岸区江桥路一号附1号</w:t>
            </w:r>
          </w:p>
          <w:p w14:paraId="423E4F65">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r>
              <w:rPr>
                <w:rFonts w:hint="eastAsia" w:asciiTheme="minorEastAsia" w:hAnsiTheme="minorEastAsia" w:eastAsiaTheme="minorEastAsia" w:cstheme="minorEastAsia"/>
                <w:snapToGrid w:val="0"/>
                <w:color w:val="auto"/>
                <w:kern w:val="0"/>
                <w:szCs w:val="21"/>
                <w:highlight w:val="none"/>
              </w:rPr>
              <w:t>唐老师、徐老师</w:t>
            </w:r>
          </w:p>
          <w:p w14:paraId="6B78A962">
            <w:pPr>
              <w:spacing w:line="40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 xml:space="preserve">电话 ：023-62823880  </w:t>
            </w:r>
          </w:p>
        </w:tc>
      </w:tr>
      <w:tr w14:paraId="09924D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17DBA0">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1.1.3</w:t>
            </w:r>
          </w:p>
        </w:tc>
        <w:tc>
          <w:tcPr>
            <w:tcW w:w="1644" w:type="dxa"/>
            <w:vAlign w:val="center"/>
          </w:tcPr>
          <w:p w14:paraId="375138A1">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比选代理机构</w:t>
            </w:r>
          </w:p>
        </w:tc>
        <w:tc>
          <w:tcPr>
            <w:tcW w:w="6490" w:type="dxa"/>
            <w:vAlign w:val="center"/>
          </w:tcPr>
          <w:p w14:paraId="41F65879">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名称：重庆铂霖瀚丰工程管理咨询有限公司 </w:t>
            </w:r>
          </w:p>
          <w:p w14:paraId="22ACE796">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地址：重庆市南岸区长生桥镇通江大道93号附30号</w:t>
            </w:r>
          </w:p>
          <w:p w14:paraId="5E3D1FDC">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联系人：杨</w:t>
            </w:r>
            <w:r>
              <w:rPr>
                <w:rFonts w:hint="eastAsia" w:asciiTheme="minorEastAsia" w:hAnsiTheme="minorEastAsia" w:eastAsiaTheme="minorEastAsia" w:cstheme="minorEastAsia"/>
                <w:snapToGrid w:val="0"/>
                <w:color w:val="auto"/>
                <w:kern w:val="0"/>
                <w:szCs w:val="21"/>
                <w:highlight w:val="none"/>
              </w:rPr>
              <w:t xml:space="preserve">老师  </w:t>
            </w:r>
          </w:p>
          <w:p w14:paraId="69FC27DE">
            <w:pPr>
              <w:spacing w:line="40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电话：</w:t>
            </w:r>
            <w:r>
              <w:rPr>
                <w:rFonts w:hint="eastAsia" w:asciiTheme="minorEastAsia" w:hAnsiTheme="minorEastAsia" w:eastAsiaTheme="minorEastAsia" w:cstheme="minorEastAsia"/>
                <w:snapToGrid w:val="0"/>
                <w:color w:val="auto"/>
                <w:kern w:val="0"/>
                <w:szCs w:val="21"/>
                <w:highlight w:val="none"/>
              </w:rPr>
              <w:t>15223573576</w:t>
            </w:r>
            <w:r>
              <w:rPr>
                <w:rFonts w:hint="eastAsia" w:asciiTheme="minorEastAsia" w:hAnsiTheme="minorEastAsia" w:eastAsiaTheme="minorEastAsia" w:cstheme="minorEastAsia"/>
                <w:color w:val="auto"/>
                <w:szCs w:val="21"/>
                <w:highlight w:val="none"/>
              </w:rPr>
              <w:t xml:space="preserve">    </w:t>
            </w:r>
          </w:p>
        </w:tc>
      </w:tr>
      <w:tr w14:paraId="586106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CB54B19">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1.1.4</w:t>
            </w:r>
          </w:p>
        </w:tc>
        <w:tc>
          <w:tcPr>
            <w:tcW w:w="1644" w:type="dxa"/>
            <w:vAlign w:val="center"/>
          </w:tcPr>
          <w:p w14:paraId="620EDF1D">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项目名称</w:t>
            </w:r>
          </w:p>
        </w:tc>
        <w:tc>
          <w:tcPr>
            <w:tcW w:w="6490" w:type="dxa"/>
            <w:vAlign w:val="center"/>
          </w:tcPr>
          <w:p w14:paraId="6F923DFD">
            <w:pPr>
              <w:snapToGrid w:val="0"/>
              <w:spacing w:line="400" w:lineRule="exact"/>
              <w:jc w:val="left"/>
              <w:rPr>
                <w:rFonts w:hint="eastAsia" w:asciiTheme="minorEastAsia" w:hAnsiTheme="minorEastAsia" w:eastAsiaTheme="minorEastAsia" w:cstheme="minorEastAsia"/>
                <w:color w:val="auto"/>
                <w:szCs w:val="21"/>
                <w:highlight w:val="none"/>
              </w:rPr>
            </w:pPr>
            <w:bookmarkStart w:id="119" w:name="OLE_LINK9"/>
            <w:r>
              <w:rPr>
                <w:rFonts w:hint="eastAsia" w:asciiTheme="minorEastAsia" w:hAnsiTheme="minorEastAsia" w:eastAsiaTheme="minorEastAsia" w:cstheme="minorEastAsia"/>
                <w:color w:val="auto"/>
                <w:szCs w:val="21"/>
                <w:highlight w:val="none"/>
              </w:rPr>
              <w:t xml:space="preserve">重庆人工智能学院和重庆通用人工智能研究院筹备期物业服务   </w:t>
            </w:r>
            <w:bookmarkEnd w:id="119"/>
          </w:p>
        </w:tc>
      </w:tr>
      <w:tr w14:paraId="37663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49E6C1">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1.1.5</w:t>
            </w:r>
          </w:p>
        </w:tc>
        <w:tc>
          <w:tcPr>
            <w:tcW w:w="1644" w:type="dxa"/>
            <w:vAlign w:val="center"/>
          </w:tcPr>
          <w:p w14:paraId="37262DAA">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服务地点</w:t>
            </w:r>
          </w:p>
        </w:tc>
        <w:tc>
          <w:tcPr>
            <w:tcW w:w="6490" w:type="dxa"/>
            <w:vAlign w:val="center"/>
          </w:tcPr>
          <w:p w14:paraId="4EB2AB66">
            <w:pPr>
              <w:snapToGrid w:val="0"/>
              <w:spacing w:line="4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snapToGrid w:val="0"/>
                <w:color w:val="auto"/>
                <w:kern w:val="0"/>
                <w:szCs w:val="21"/>
                <w:highlight w:val="none"/>
              </w:rPr>
              <w:t>重庆经开区。</w:t>
            </w:r>
          </w:p>
        </w:tc>
      </w:tr>
      <w:tr w14:paraId="121FE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4B67C0">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1.2.1</w:t>
            </w:r>
          </w:p>
        </w:tc>
        <w:tc>
          <w:tcPr>
            <w:tcW w:w="1644" w:type="dxa"/>
            <w:vAlign w:val="center"/>
          </w:tcPr>
          <w:p w14:paraId="2FD81F58">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资金来源</w:t>
            </w:r>
          </w:p>
        </w:tc>
        <w:tc>
          <w:tcPr>
            <w:tcW w:w="6490" w:type="dxa"/>
            <w:vAlign w:val="center"/>
          </w:tcPr>
          <w:p w14:paraId="113750B5">
            <w:pPr>
              <w:snapToGrid w:val="0"/>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snapToGrid w:val="0"/>
                <w:color w:val="auto"/>
                <w:kern w:val="0"/>
                <w:szCs w:val="21"/>
                <w:highlight w:val="none"/>
              </w:rPr>
              <w:t>业主自筹</w:t>
            </w:r>
          </w:p>
        </w:tc>
      </w:tr>
      <w:tr w14:paraId="626DA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B330B7">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1.2.2</w:t>
            </w:r>
          </w:p>
        </w:tc>
        <w:tc>
          <w:tcPr>
            <w:tcW w:w="1644" w:type="dxa"/>
            <w:vAlign w:val="center"/>
          </w:tcPr>
          <w:p w14:paraId="0E60BE31">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出资比例</w:t>
            </w:r>
          </w:p>
        </w:tc>
        <w:tc>
          <w:tcPr>
            <w:tcW w:w="6490" w:type="dxa"/>
            <w:vAlign w:val="center"/>
          </w:tcPr>
          <w:p w14:paraId="306D0BE2">
            <w:pPr>
              <w:snapToGrid w:val="0"/>
              <w:spacing w:line="4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w:t>
            </w:r>
          </w:p>
        </w:tc>
      </w:tr>
      <w:tr w14:paraId="338446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63C07F">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1.2.3</w:t>
            </w:r>
          </w:p>
        </w:tc>
        <w:tc>
          <w:tcPr>
            <w:tcW w:w="1644" w:type="dxa"/>
            <w:vAlign w:val="center"/>
          </w:tcPr>
          <w:p w14:paraId="21DC7B64">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资金落实情况</w:t>
            </w:r>
          </w:p>
        </w:tc>
        <w:tc>
          <w:tcPr>
            <w:tcW w:w="6490" w:type="dxa"/>
            <w:vAlign w:val="center"/>
          </w:tcPr>
          <w:p w14:paraId="22766819">
            <w:pPr>
              <w:snapToGrid w:val="0"/>
              <w:spacing w:line="4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已落实</w:t>
            </w:r>
          </w:p>
        </w:tc>
      </w:tr>
      <w:tr w14:paraId="021D6A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4905D0E">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1.3.1</w:t>
            </w:r>
          </w:p>
        </w:tc>
        <w:tc>
          <w:tcPr>
            <w:tcW w:w="1644" w:type="dxa"/>
            <w:vAlign w:val="center"/>
          </w:tcPr>
          <w:p w14:paraId="614EDEC4">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比选范围</w:t>
            </w:r>
          </w:p>
        </w:tc>
        <w:tc>
          <w:tcPr>
            <w:tcW w:w="6490" w:type="dxa"/>
            <w:vAlign w:val="center"/>
          </w:tcPr>
          <w:p w14:paraId="29C4E8A2">
            <w:pPr>
              <w:snapToGrid w:val="0"/>
              <w:spacing w:line="400" w:lineRule="exact"/>
              <w:ind w:firstLine="420" w:firstLineChars="200"/>
              <w:rPr>
                <w:rFonts w:hint="eastAsia" w:asciiTheme="minorEastAsia" w:hAnsiTheme="minorEastAsia" w:eastAsiaTheme="minorEastAsia" w:cstheme="minorEastAsia"/>
                <w:i/>
                <w:color w:val="auto"/>
                <w:szCs w:val="21"/>
                <w:highlight w:val="none"/>
              </w:rPr>
            </w:pPr>
            <w:r>
              <w:rPr>
                <w:rFonts w:hint="eastAsia" w:asciiTheme="minorEastAsia" w:hAnsiTheme="minorEastAsia" w:eastAsiaTheme="minorEastAsia" w:cstheme="minorEastAsia"/>
                <w:snapToGrid w:val="0"/>
                <w:color w:val="auto"/>
                <w:kern w:val="0"/>
                <w:szCs w:val="21"/>
                <w:highlight w:val="none"/>
              </w:rPr>
              <w:t>提供重庆人工智能学院和重庆通用人工智能研究院筹备期物业服务，具体包括提供保安、保洁、绿化、工程基础物业服务；学院筹备期协同服务；承接查验的协同服务；综合（会议）服务；建筑物及构筑物维修整改监督验收服务；能源保障服务；设施设备的试运行服务、开办清洁专项服务以及按照物业行业服务标准需要提供的服务内容。</w:t>
            </w:r>
          </w:p>
        </w:tc>
      </w:tr>
      <w:tr w14:paraId="377872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7CBD84">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1.3.2</w:t>
            </w:r>
          </w:p>
        </w:tc>
        <w:tc>
          <w:tcPr>
            <w:tcW w:w="1644" w:type="dxa"/>
            <w:vAlign w:val="center"/>
          </w:tcPr>
          <w:p w14:paraId="757F48C5">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服务期</w:t>
            </w:r>
          </w:p>
        </w:tc>
        <w:tc>
          <w:tcPr>
            <w:tcW w:w="6490" w:type="dxa"/>
            <w:vAlign w:val="center"/>
          </w:tcPr>
          <w:p w14:paraId="2F1799EA">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从合同签订（实际开工之日）起至2026年3月31日止。实际开工日期以比选人通知进场为准。</w:t>
            </w:r>
          </w:p>
        </w:tc>
      </w:tr>
      <w:tr w14:paraId="1630EC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D39044">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1.3.3</w:t>
            </w:r>
          </w:p>
        </w:tc>
        <w:tc>
          <w:tcPr>
            <w:tcW w:w="1644" w:type="dxa"/>
            <w:vAlign w:val="center"/>
          </w:tcPr>
          <w:p w14:paraId="2952567F">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质量要求</w:t>
            </w:r>
          </w:p>
        </w:tc>
        <w:tc>
          <w:tcPr>
            <w:tcW w:w="6490" w:type="dxa"/>
            <w:vAlign w:val="center"/>
          </w:tcPr>
          <w:p w14:paraId="56CD1F27">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满足国家、重庆市相关法规、行业规范的要求。</w:t>
            </w:r>
          </w:p>
        </w:tc>
      </w:tr>
      <w:tr w14:paraId="72378F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6DFDAD5D">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37F0B941">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28FFBED1">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76482759">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491A6FDA">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1641D50A">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7696A81D">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0CBC4551">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2DBBF3BE">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1E828629">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106186F9">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0883BB27">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40AF7F97">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27BE9514">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5569F635">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5D173634">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5E8758C2">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0964EB96">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1.4.1</w:t>
            </w:r>
          </w:p>
          <w:p w14:paraId="7FAE9C8D">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68B8BCDD">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12325D01">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3126A65D">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32C8FDB3">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63B9938B">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615E1B54">
            <w:pPr>
              <w:snapToGrid w:val="0"/>
              <w:spacing w:line="400" w:lineRule="exact"/>
              <w:rPr>
                <w:rFonts w:hint="eastAsia" w:asciiTheme="minorEastAsia" w:hAnsiTheme="minorEastAsia" w:eastAsiaTheme="minorEastAsia" w:cstheme="minorEastAsia"/>
                <w:color w:val="auto"/>
                <w:kern w:val="0"/>
                <w:szCs w:val="21"/>
                <w:highlight w:val="none"/>
              </w:rPr>
            </w:pPr>
          </w:p>
        </w:tc>
        <w:tc>
          <w:tcPr>
            <w:tcW w:w="1644" w:type="dxa"/>
            <w:vAlign w:val="center"/>
          </w:tcPr>
          <w:p w14:paraId="724B4B91">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4D9EE2A6">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6369E693">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70BF814C">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7DD03006">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36CF5A47">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4BC7389F">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34D41C01">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48432FF3">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54935218">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32C1543C">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3DC962C1">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71DE6199">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7B532277">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3F5E210C">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19269FE7">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79D132E3">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699A23BA">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竞选人资质条件、能力和信誉</w:t>
            </w:r>
          </w:p>
          <w:p w14:paraId="59597AC0">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58C6EBF8">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6257693A">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4E6CB1A2">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3AE76C58">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5B34334D">
            <w:pPr>
              <w:snapToGrid w:val="0"/>
              <w:spacing w:line="400" w:lineRule="exact"/>
              <w:jc w:val="center"/>
              <w:rPr>
                <w:rFonts w:hint="eastAsia" w:asciiTheme="minorEastAsia" w:hAnsiTheme="minorEastAsia" w:eastAsiaTheme="minorEastAsia" w:cstheme="minorEastAsia"/>
                <w:color w:val="auto"/>
                <w:kern w:val="0"/>
                <w:szCs w:val="21"/>
                <w:highlight w:val="none"/>
              </w:rPr>
            </w:pPr>
          </w:p>
        </w:tc>
        <w:tc>
          <w:tcPr>
            <w:tcW w:w="6490" w:type="dxa"/>
            <w:vAlign w:val="center"/>
          </w:tcPr>
          <w:p w14:paraId="7CA0E7D0">
            <w:pPr>
              <w:autoSpaceDE w:val="0"/>
              <w:autoSpaceDN w:val="0"/>
              <w:adjustRightInd w:val="0"/>
              <w:snapToGrid w:val="0"/>
              <w:spacing w:line="400" w:lineRule="exact"/>
              <w:rPr>
                <w:rFonts w:hint="eastAsia" w:asciiTheme="minorEastAsia" w:hAnsiTheme="minorEastAsia" w:eastAsiaTheme="minorEastAsia" w:cstheme="minorEastAsia"/>
                <w:color w:val="auto"/>
                <w:szCs w:val="21"/>
                <w:highlight w:val="none"/>
              </w:rPr>
            </w:pPr>
            <w:bookmarkStart w:id="120" w:name="OLE_LINK1"/>
            <w:r>
              <w:rPr>
                <w:rFonts w:hint="eastAsia" w:asciiTheme="minorEastAsia" w:hAnsiTheme="minorEastAsia" w:eastAsiaTheme="minorEastAsia" w:cstheme="minorEastAsia"/>
                <w:color w:val="auto"/>
                <w:szCs w:val="21"/>
                <w:highlight w:val="none"/>
              </w:rPr>
              <w:t>本项目招标实行资格后审，竞选人应</w:t>
            </w:r>
            <w:bookmarkStart w:id="121" w:name="一是"/>
            <w:bookmarkEnd w:id="121"/>
            <w:r>
              <w:rPr>
                <w:rFonts w:hint="eastAsia" w:asciiTheme="minorEastAsia" w:hAnsiTheme="minorEastAsia" w:eastAsiaTheme="minorEastAsia" w:cstheme="minorEastAsia"/>
                <w:color w:val="auto"/>
                <w:szCs w:val="21"/>
                <w:highlight w:val="none"/>
              </w:rPr>
              <w:t>具备以下资格条件：</w:t>
            </w:r>
          </w:p>
          <w:bookmarkEnd w:id="120"/>
          <w:p w14:paraId="43EA0468">
            <w:pPr>
              <w:autoSpaceDE w:val="0"/>
              <w:autoSpaceDN w:val="0"/>
              <w:adjustRightInd w:val="0"/>
              <w:snapToGrid w:val="0"/>
              <w:spacing w:line="400" w:lineRule="exact"/>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1.资质条件、营业执照及安全生产条件</w:t>
            </w:r>
          </w:p>
          <w:p w14:paraId="03B7EEB7">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（1）具备有效的营业执照。</w:t>
            </w:r>
          </w:p>
          <w:p w14:paraId="424D894B">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竞选人须在竞选文件资格审查部分提供有效的营业执照复印件。注：不得将竞选人营业执照记载的经营范围作为评审因素。</w:t>
            </w:r>
          </w:p>
          <w:p w14:paraId="3398DF88">
            <w:pPr>
              <w:adjustRightInd w:val="0"/>
              <w:snapToGrid w:val="0"/>
              <w:spacing w:line="400" w:lineRule="exact"/>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2.投标截止日投标资格情况</w:t>
            </w:r>
          </w:p>
          <w:p w14:paraId="0AC443B8">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竞选人自行承诺（格式自拟）不得存在下列情形之一：</w:t>
            </w:r>
          </w:p>
          <w:p w14:paraId="26669F1F">
            <w:pPr>
              <w:snapToGrid w:val="0"/>
              <w:spacing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（1）被人民法院列入失信被执行人名单且在被执行期内；</w:t>
            </w:r>
          </w:p>
          <w:p w14:paraId="49F3215B">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（2）被“信用中国”网站(www.creditchina.gov.cn) 列为失信被 执行人；</w:t>
            </w:r>
          </w:p>
          <w:p w14:paraId="0F5389A3">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（3）被国家、重庆市（含市或任意区县）有关行政部门处以暂停投标资格行政处罚，且在处罚期限内；</w:t>
            </w:r>
          </w:p>
          <w:p w14:paraId="12D3E312">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（4）被重庆市市级有关行业主管部门暂停在渝承揽新业务且在暂停期内。</w:t>
            </w:r>
          </w:p>
          <w:p w14:paraId="65BAED7F">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竞选人须在竞选文件资格审查部分提供承诺。</w:t>
            </w:r>
          </w:p>
          <w:p w14:paraId="4F3617AC">
            <w:pPr>
              <w:autoSpaceDE w:val="0"/>
              <w:autoSpaceDN w:val="0"/>
              <w:adjustRightInd w:val="0"/>
              <w:snapToGrid w:val="0"/>
              <w:spacing w:line="400" w:lineRule="exact"/>
              <w:ind w:firstLine="422" w:firstLineChars="200"/>
              <w:rPr>
                <w:rFonts w:hint="eastAsia" w:asciiTheme="minorEastAsia" w:hAnsiTheme="minorEastAsia" w:eastAsiaTheme="minorEastAsia" w:cstheme="minorEastAsia"/>
                <w:color w:val="auto"/>
                <w:spacing w:val="-24"/>
                <w:kern w:val="0"/>
                <w:szCs w:val="21"/>
                <w:highlight w:val="none"/>
              </w:rPr>
            </w:pPr>
            <w:r>
              <w:rPr>
                <w:rFonts w:hint="eastAsia" w:asciiTheme="minorEastAsia" w:hAnsiTheme="minorEastAsia" w:eastAsiaTheme="minorEastAsia" w:cstheme="minorEastAsia"/>
                <w:b/>
                <w:color w:val="auto"/>
                <w:szCs w:val="21"/>
                <w:highlight w:val="none"/>
              </w:rPr>
              <w:t>3.其他要求</w:t>
            </w:r>
          </w:p>
          <w:p w14:paraId="693708F5">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委托代理人：</w:t>
            </w:r>
          </w:p>
          <w:p w14:paraId="7F5F9949">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委托代理人必须为竞选人本单位人员并提供社保证明资料。</w:t>
            </w:r>
          </w:p>
          <w:p w14:paraId="11887025">
            <w:pPr>
              <w:autoSpaceDE w:val="0"/>
              <w:autoSpaceDN w:val="0"/>
              <w:adjustRightInd w:val="0"/>
              <w:snapToGrid w:val="0"/>
              <w:spacing w:line="400" w:lineRule="exact"/>
              <w:ind w:firstLine="417" w:firstLineChars="198"/>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特别说明：</w:t>
            </w:r>
          </w:p>
          <w:p w14:paraId="3A430133">
            <w:pPr>
              <w:numPr>
                <w:ilvl w:val="0"/>
                <w:numId w:val="1"/>
              </w:numPr>
              <w:autoSpaceDE w:val="0"/>
              <w:autoSpaceDN w:val="0"/>
              <w:adjustRightInd w:val="0"/>
              <w:snapToGrid w:val="0"/>
              <w:spacing w:line="400" w:lineRule="exact"/>
              <w:ind w:firstLine="415" w:firstLineChars="198"/>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上述要求须提交的相关证明材料复印件均应加盖竞选单位法人章并装入竞选文件资格审查部分中</w:t>
            </w:r>
            <w:r>
              <w:rPr>
                <w:rFonts w:hint="eastAsia" w:asciiTheme="minorEastAsia" w:hAnsiTheme="minorEastAsia" w:eastAsiaTheme="minorEastAsia" w:cstheme="minorEastAsia"/>
                <w:color w:val="auto"/>
                <w:kern w:val="0"/>
                <w:szCs w:val="21"/>
                <w:highlight w:val="none"/>
              </w:rPr>
              <w:t>。</w:t>
            </w:r>
          </w:p>
          <w:p w14:paraId="3791DF7D">
            <w:pPr>
              <w:numPr>
                <w:ilvl w:val="0"/>
                <w:numId w:val="1"/>
              </w:numPr>
              <w:autoSpaceDE w:val="0"/>
              <w:autoSpaceDN w:val="0"/>
              <w:adjustRightInd w:val="0"/>
              <w:snapToGrid w:val="0"/>
              <w:spacing w:line="400" w:lineRule="exact"/>
              <w:ind w:firstLine="415" w:firstLineChars="198"/>
              <w:rPr>
                <w:rFonts w:hint="eastAsia" w:asciiTheme="minorEastAsia" w:hAnsiTheme="minorEastAsia" w:eastAsiaTheme="minorEastAsia" w:cstheme="minorEastAsia"/>
                <w:bCs/>
                <w:snapToGrid w:val="0"/>
                <w:color w:val="auto"/>
                <w:kern w:val="0"/>
                <w:szCs w:val="21"/>
                <w:highlight w:val="none"/>
              </w:rPr>
            </w:pPr>
            <w:r>
              <w:rPr>
                <w:rFonts w:hint="eastAsia" w:asciiTheme="minorEastAsia" w:hAnsiTheme="minorEastAsia" w:eastAsiaTheme="minorEastAsia" w:cstheme="minorEastAsia"/>
                <w:color w:val="auto"/>
                <w:szCs w:val="21"/>
                <w:highlight w:val="none"/>
              </w:rPr>
              <w:t>竞选人须自行承诺其提供的上述相关证明材料真实有效，不存在弄虚作假情形（格式见第六章竞选文件格式）。比选人在合同签订前均有权对竞选人提供的资料进行核实，若发现弄虚作假，按相关规定取消其中标资格，并按相关法律法规报招标投标监督部门，其投标保证金不予退还，竞选人承担因此造成的相关责任并赔偿相应损失。</w:t>
            </w:r>
          </w:p>
        </w:tc>
      </w:tr>
      <w:tr w14:paraId="6C991C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90EFAA">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1.4.2</w:t>
            </w:r>
          </w:p>
        </w:tc>
        <w:tc>
          <w:tcPr>
            <w:tcW w:w="1644" w:type="dxa"/>
            <w:vAlign w:val="center"/>
          </w:tcPr>
          <w:p w14:paraId="4B472F96">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是否接受联合体投标</w:t>
            </w:r>
          </w:p>
        </w:tc>
        <w:tc>
          <w:tcPr>
            <w:tcW w:w="6490" w:type="dxa"/>
            <w:vAlign w:val="center"/>
          </w:tcPr>
          <w:p w14:paraId="04F97DBD">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☑不接受</w:t>
            </w:r>
          </w:p>
          <w:p w14:paraId="725972E1">
            <w:pPr>
              <w:snapToGrid w:val="0"/>
              <w:spacing w:after="15" w:afterLines="5"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□接受，应满足下列要求：</w:t>
            </w:r>
          </w:p>
        </w:tc>
      </w:tr>
      <w:tr w14:paraId="30C2C4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F754E3">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1.9.1</w:t>
            </w:r>
          </w:p>
        </w:tc>
        <w:tc>
          <w:tcPr>
            <w:tcW w:w="1644" w:type="dxa"/>
            <w:vAlign w:val="center"/>
          </w:tcPr>
          <w:p w14:paraId="5380697F">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踏勘现场</w:t>
            </w:r>
          </w:p>
        </w:tc>
        <w:tc>
          <w:tcPr>
            <w:tcW w:w="6490" w:type="dxa"/>
            <w:vAlign w:val="center"/>
          </w:tcPr>
          <w:p w14:paraId="005C0F99">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☑不组织</w:t>
            </w:r>
          </w:p>
          <w:p w14:paraId="66CF079E">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□组织，集中踏勘时间：</w:t>
            </w:r>
          </w:p>
          <w:p w14:paraId="2F642A98">
            <w:pPr>
              <w:snapToGrid w:val="0"/>
              <w:spacing w:line="400" w:lineRule="exact"/>
              <w:ind w:firstLine="1260" w:firstLineChars="6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集中踏勘地点：</w:t>
            </w:r>
          </w:p>
        </w:tc>
      </w:tr>
      <w:tr w14:paraId="1CBD2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ED3D67">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1.10.1</w:t>
            </w:r>
          </w:p>
        </w:tc>
        <w:tc>
          <w:tcPr>
            <w:tcW w:w="1644" w:type="dxa"/>
            <w:vAlign w:val="center"/>
          </w:tcPr>
          <w:p w14:paraId="3A597BB3">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投标预备会</w:t>
            </w:r>
          </w:p>
        </w:tc>
        <w:tc>
          <w:tcPr>
            <w:tcW w:w="6490" w:type="dxa"/>
            <w:vAlign w:val="center"/>
          </w:tcPr>
          <w:p w14:paraId="15EB4F5B">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☑不召开</w:t>
            </w:r>
          </w:p>
          <w:p w14:paraId="7F501AEA">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□召开，召开时间：</w:t>
            </w:r>
          </w:p>
          <w:p w14:paraId="3F258070">
            <w:pPr>
              <w:snapToGrid w:val="0"/>
              <w:spacing w:after="15" w:afterLines="5" w:line="400" w:lineRule="exact"/>
              <w:ind w:firstLine="1260" w:firstLineChars="6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召开地点：</w:t>
            </w:r>
          </w:p>
        </w:tc>
      </w:tr>
      <w:tr w14:paraId="5D1EB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49E210">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1.11</w:t>
            </w:r>
          </w:p>
        </w:tc>
        <w:tc>
          <w:tcPr>
            <w:tcW w:w="1644" w:type="dxa"/>
            <w:vAlign w:val="center"/>
          </w:tcPr>
          <w:p w14:paraId="707237EE">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分包</w:t>
            </w:r>
          </w:p>
        </w:tc>
        <w:tc>
          <w:tcPr>
            <w:tcW w:w="6490" w:type="dxa"/>
            <w:vAlign w:val="center"/>
          </w:tcPr>
          <w:p w14:paraId="68D8A789">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☑不允许</w:t>
            </w:r>
          </w:p>
          <w:p w14:paraId="5AA01932">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□允许，分包内容要求：/</w:t>
            </w:r>
          </w:p>
          <w:p w14:paraId="4AF3789E">
            <w:pPr>
              <w:snapToGrid w:val="0"/>
              <w:spacing w:line="400" w:lineRule="exact"/>
              <w:ind w:firstLine="1260" w:firstLineChars="6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分包金额要求：/</w:t>
            </w:r>
          </w:p>
          <w:p w14:paraId="79671CFD">
            <w:pPr>
              <w:snapToGrid w:val="0"/>
              <w:spacing w:after="15" w:afterLines="5" w:line="40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接受分包的第三人资质要求：/</w:t>
            </w:r>
          </w:p>
          <w:p w14:paraId="03CFFCB7">
            <w:pPr>
              <w:snapToGrid w:val="0"/>
              <w:spacing w:after="15" w:afterLines="5" w:line="40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注：分包应按照相关法律法规及规范性文件执行，不得违法分包。</w:t>
            </w:r>
          </w:p>
        </w:tc>
      </w:tr>
      <w:tr w14:paraId="3A8C0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EE19B5">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w:t>
            </w:r>
          </w:p>
        </w:tc>
        <w:tc>
          <w:tcPr>
            <w:tcW w:w="1644" w:type="dxa"/>
            <w:vAlign w:val="center"/>
          </w:tcPr>
          <w:p w14:paraId="325D1D6E">
            <w:pPr>
              <w:snapToGrid w:val="0"/>
              <w:spacing w:after="15" w:afterLines="5"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构成招标文件的其他材料</w:t>
            </w:r>
          </w:p>
        </w:tc>
        <w:tc>
          <w:tcPr>
            <w:tcW w:w="6490" w:type="dxa"/>
            <w:vAlign w:val="center"/>
          </w:tcPr>
          <w:p w14:paraId="393ED55C">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比选人发出的澄清及修改</w:t>
            </w:r>
          </w:p>
        </w:tc>
      </w:tr>
      <w:tr w14:paraId="622FD6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7F9B69C">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2.2.1</w:t>
            </w:r>
          </w:p>
        </w:tc>
        <w:tc>
          <w:tcPr>
            <w:tcW w:w="1644" w:type="dxa"/>
            <w:tcBorders>
              <w:bottom w:val="single" w:color="auto" w:sz="4" w:space="0"/>
            </w:tcBorders>
            <w:vAlign w:val="center"/>
          </w:tcPr>
          <w:p w14:paraId="31DF440F">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竞选人对招标文件提出疑问的截止时间</w:t>
            </w:r>
          </w:p>
        </w:tc>
        <w:tc>
          <w:tcPr>
            <w:tcW w:w="6490" w:type="dxa"/>
            <w:vAlign w:val="center"/>
          </w:tcPr>
          <w:p w14:paraId="5D42AE91">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竞选人应仔细阅读招标文件及附件的所有内容，如有文字表述不清，图纸尺寸标注不明以及存在错、漏、缺、概念模糊和有可能出现歧义或理解上的偏差的内容等应在比选公告规定的时间前</w:t>
            </w:r>
            <w:r>
              <w:rPr>
                <w:rFonts w:hint="eastAsia" w:asciiTheme="minorEastAsia" w:hAnsiTheme="minorEastAsia" w:eastAsiaTheme="minorEastAsia" w:cstheme="minorEastAsia"/>
                <w:snapToGrid w:val="0"/>
                <w:color w:val="auto"/>
                <w:kern w:val="0"/>
                <w:szCs w:val="21"/>
                <w:highlight w:val="none"/>
              </w:rPr>
              <w:t>向代理机构或比选人提出疑问（纸质形式）</w:t>
            </w:r>
            <w:r>
              <w:rPr>
                <w:rFonts w:hint="eastAsia" w:asciiTheme="minorEastAsia" w:hAnsiTheme="minorEastAsia" w:eastAsiaTheme="minorEastAsia" w:cstheme="minorEastAsia"/>
                <w:color w:val="auto"/>
                <w:kern w:val="0"/>
                <w:szCs w:val="21"/>
                <w:highlight w:val="none"/>
              </w:rPr>
              <w:t>。</w:t>
            </w:r>
          </w:p>
        </w:tc>
      </w:tr>
      <w:tr w14:paraId="217B3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6047C6CD">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2.2.2</w:t>
            </w:r>
          </w:p>
        </w:tc>
        <w:tc>
          <w:tcPr>
            <w:tcW w:w="1644" w:type="dxa"/>
            <w:tcBorders>
              <w:top w:val="single" w:color="auto" w:sz="4" w:space="0"/>
            </w:tcBorders>
            <w:vAlign w:val="center"/>
          </w:tcPr>
          <w:p w14:paraId="3CA29AE9">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比选人对招标文件澄清的截止时间</w:t>
            </w:r>
          </w:p>
        </w:tc>
        <w:tc>
          <w:tcPr>
            <w:tcW w:w="6490" w:type="dxa"/>
            <w:vAlign w:val="center"/>
          </w:tcPr>
          <w:p w14:paraId="451DC0D3">
            <w:pPr>
              <w:snapToGri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color w:val="auto"/>
                <w:szCs w:val="21"/>
                <w:highlight w:val="none"/>
              </w:rPr>
              <w:t>比选人应在比选公告规定的时间前，</w:t>
            </w:r>
            <w:r>
              <w:rPr>
                <w:rFonts w:hint="eastAsia" w:asciiTheme="minorEastAsia" w:hAnsiTheme="minorEastAsia" w:eastAsiaTheme="minorEastAsia" w:cstheme="minorEastAsia"/>
                <w:color w:val="auto"/>
                <w:kern w:val="0"/>
                <w:szCs w:val="21"/>
                <w:highlight w:val="none"/>
              </w:rPr>
              <w:t>在</w:t>
            </w:r>
            <w:r>
              <w:rPr>
                <w:rFonts w:hint="eastAsia" w:asciiTheme="minorEastAsia" w:hAnsiTheme="minorEastAsia" w:eastAsiaTheme="minorEastAsia" w:cstheme="minorEastAsia"/>
                <w:snapToGrid w:val="0"/>
                <w:color w:val="auto"/>
                <w:kern w:val="0"/>
                <w:szCs w:val="21"/>
                <w:highlight w:val="none"/>
              </w:rPr>
              <w:t>行采家(https://www.gec123.com/）、重庆广阳湾生态城投资发展集团有限公司官网（http://cq-gyw.com/）</w:t>
            </w:r>
            <w:r>
              <w:rPr>
                <w:rFonts w:hint="eastAsia" w:asciiTheme="minorEastAsia" w:hAnsiTheme="minorEastAsia" w:eastAsiaTheme="minorEastAsia" w:cstheme="minorEastAsia"/>
                <w:color w:val="auto"/>
                <w:kern w:val="0"/>
                <w:szCs w:val="21"/>
                <w:highlight w:val="none"/>
              </w:rPr>
              <w:t>发布澄清。</w:t>
            </w:r>
          </w:p>
        </w:tc>
      </w:tr>
      <w:tr w14:paraId="374906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0E5B7526">
            <w:pPr>
              <w:snapToGrid w:val="0"/>
              <w:spacing w:line="400" w:lineRule="exact"/>
              <w:jc w:val="center"/>
              <w:rPr>
                <w:rFonts w:hint="eastAsia" w:asciiTheme="minorEastAsia" w:hAnsiTheme="minorEastAsia" w:eastAsiaTheme="minorEastAsia" w:cstheme="minorEastAsia"/>
                <w:color w:val="auto"/>
                <w:kern w:val="0"/>
                <w:szCs w:val="21"/>
                <w:highlight w:val="none"/>
              </w:rPr>
            </w:pPr>
          </w:p>
        </w:tc>
        <w:tc>
          <w:tcPr>
            <w:tcW w:w="1644" w:type="dxa"/>
            <w:vAlign w:val="center"/>
          </w:tcPr>
          <w:p w14:paraId="65A9E800">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投标截止时间</w:t>
            </w:r>
          </w:p>
        </w:tc>
        <w:tc>
          <w:tcPr>
            <w:tcW w:w="6490" w:type="dxa"/>
            <w:vAlign w:val="center"/>
          </w:tcPr>
          <w:p w14:paraId="423646DB">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详见比选公告规定的投标截止时间。</w:t>
            </w:r>
          </w:p>
        </w:tc>
      </w:tr>
      <w:tr w14:paraId="36CA48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79A2FAC">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2.2.3</w:t>
            </w:r>
          </w:p>
        </w:tc>
        <w:tc>
          <w:tcPr>
            <w:tcW w:w="1644" w:type="dxa"/>
            <w:vAlign w:val="center"/>
          </w:tcPr>
          <w:p w14:paraId="4123A0F7">
            <w:pPr>
              <w:snapToGrid w:val="0"/>
              <w:spacing w:after="15" w:afterLines="5"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比选人对招标文件进行修改的时间</w:t>
            </w:r>
          </w:p>
        </w:tc>
        <w:tc>
          <w:tcPr>
            <w:tcW w:w="6490" w:type="dxa"/>
            <w:vAlign w:val="center"/>
          </w:tcPr>
          <w:p w14:paraId="0EE30883">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snapToGrid w:val="0"/>
                <w:color w:val="auto"/>
                <w:kern w:val="0"/>
                <w:szCs w:val="21"/>
                <w:highlight w:val="none"/>
              </w:rPr>
              <w:t>修改内容可能影响竞选文件编制的，须在投标截止时间2日前发布，发布时间至投标截止时间不足2日的，须相应延后投标截止时间。</w:t>
            </w:r>
          </w:p>
        </w:tc>
      </w:tr>
      <w:tr w14:paraId="0D461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58D28C">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3.1.1</w:t>
            </w:r>
          </w:p>
        </w:tc>
        <w:tc>
          <w:tcPr>
            <w:tcW w:w="1644" w:type="dxa"/>
            <w:vAlign w:val="center"/>
          </w:tcPr>
          <w:p w14:paraId="2F91FD0F">
            <w:pPr>
              <w:snapToGrid w:val="0"/>
              <w:spacing w:after="31" w:afterLines="10"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构成竞选文件的其他材料</w:t>
            </w:r>
          </w:p>
        </w:tc>
        <w:tc>
          <w:tcPr>
            <w:tcW w:w="6490" w:type="dxa"/>
            <w:vAlign w:val="center"/>
          </w:tcPr>
          <w:p w14:paraId="0EA5E4C5">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竞选人的书面澄清、说明和补正（但不得改变竞选文件的实质性内容）</w:t>
            </w:r>
          </w:p>
        </w:tc>
      </w:tr>
      <w:tr w14:paraId="3CD0B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75" w:hRule="atLeast"/>
          <w:jc w:val="center"/>
        </w:trPr>
        <w:tc>
          <w:tcPr>
            <w:tcW w:w="1335" w:type="dxa"/>
            <w:vAlign w:val="center"/>
          </w:tcPr>
          <w:p w14:paraId="54B4020E">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w:t>
            </w:r>
          </w:p>
        </w:tc>
        <w:tc>
          <w:tcPr>
            <w:tcW w:w="1644" w:type="dxa"/>
            <w:vAlign w:val="center"/>
          </w:tcPr>
          <w:p w14:paraId="18BFA729">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投标报价</w:t>
            </w:r>
          </w:p>
        </w:tc>
        <w:tc>
          <w:tcPr>
            <w:tcW w:w="6490" w:type="dxa"/>
            <w:vAlign w:val="center"/>
          </w:tcPr>
          <w:p w14:paraId="0B7C7BBB">
            <w:pPr>
              <w:pStyle w:val="47"/>
              <w:numPr>
                <w:ilvl w:val="255"/>
                <w:numId w:val="0"/>
              </w:numPr>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次报价须为人民币报价，报价金额为三个月服务期总金额，报价包括但不限于：工资、社会保险费、福利及加班费、服装费、管理费、利润、税费等所有费用。竞选人在报价时充分考虑自身风险，严格按照国家规定为其所有员工缴纳各种社会保险（包括养老、医疗、工伤、生育险、失业保险等）；严格执行《劳动法》相关规定，竞选人应与其员工建立合法有效的劳动关系，员工与竞选人基于劳动关系产生</w:t>
            </w:r>
          </w:p>
          <w:p w14:paraId="41230FC6">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2.竞选人须严格按照国家和我市相关规定足额为本项目全体员工缴纳各种社会保险（包括养老、医疗、工伤、生育险、失业保险等），保险费用均包含在比选申请报价内。 </w:t>
            </w:r>
          </w:p>
          <w:p w14:paraId="7920F89E">
            <w:pPr>
              <w:pStyle w:val="47"/>
              <w:ind w:left="0"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3..竞选人应按照项目内容、标准和要求，结合重庆市相关收费标准和市场价格水平，科学合理地制定比选申请报价，不得以恶意低价竞争。</w:t>
            </w:r>
          </w:p>
          <w:p w14:paraId="5FCF7CC4">
            <w:pPr>
              <w:pStyle w:val="47"/>
              <w:ind w:left="0"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4.本项目的招标限价将分为两部分，分别为物业管理服务费和开办清洁专项服务费，由投标人自主报价但均不得超过限价，具体限价如下：</w:t>
            </w:r>
          </w:p>
          <w:tbl>
            <w:tblPr>
              <w:tblStyle w:val="49"/>
              <w:tblW w:w="6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1578"/>
              <w:gridCol w:w="2605"/>
            </w:tblGrid>
            <w:tr w14:paraId="4364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1" w:type="dxa"/>
                  <w:vAlign w:val="center"/>
                </w:tcPr>
                <w:p w14:paraId="35F25F0B">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比选项目名称</w:t>
                  </w:r>
                </w:p>
              </w:tc>
              <w:tc>
                <w:tcPr>
                  <w:tcW w:w="4183" w:type="dxa"/>
                  <w:gridSpan w:val="2"/>
                  <w:vAlign w:val="center"/>
                </w:tcPr>
                <w:p w14:paraId="2E350742">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比选限价（元）</w:t>
                  </w:r>
                </w:p>
              </w:tc>
            </w:tr>
            <w:tr w14:paraId="058D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vMerge w:val="restart"/>
                  <w:vAlign w:val="center"/>
                </w:tcPr>
                <w:p w14:paraId="76702C72">
                  <w:pPr>
                    <w:jc w:val="center"/>
                    <w:rPr>
                      <w:rFonts w:hint="eastAsia" w:ascii="Calibri" w:hAnsi="Calibri"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重庆人工智能学院和重庆通用人工智能研究院筹备期物业服务 </w:t>
                  </w:r>
                </w:p>
              </w:tc>
              <w:tc>
                <w:tcPr>
                  <w:tcW w:w="1578" w:type="dxa"/>
                  <w:vAlign w:val="center"/>
                </w:tcPr>
                <w:p w14:paraId="4865F5BE">
                  <w:pPr>
                    <w:jc w:val="center"/>
                    <w:rPr>
                      <w:rFonts w:hint="eastAsia" w:ascii="Calibri" w:hAnsi="Calibri" w:eastAsiaTheme="minorEastAsia" w:cstheme="minorEastAsia"/>
                      <w:color w:val="auto"/>
                      <w:highlight w:val="none"/>
                    </w:rPr>
                  </w:pPr>
                  <w:r>
                    <w:rPr>
                      <w:rFonts w:hint="eastAsia" w:asciiTheme="minorEastAsia" w:hAnsiTheme="minorEastAsia" w:eastAsiaTheme="minorEastAsia" w:cstheme="minorEastAsia"/>
                      <w:color w:val="auto"/>
                      <w:highlight w:val="none"/>
                    </w:rPr>
                    <w:t>物业管理服务费</w:t>
                  </w:r>
                </w:p>
              </w:tc>
              <w:tc>
                <w:tcPr>
                  <w:tcW w:w="2605" w:type="dxa"/>
                  <w:vAlign w:val="center"/>
                </w:tcPr>
                <w:p w14:paraId="0A915C42">
                  <w:pPr>
                    <w:jc w:val="center"/>
                    <w:rPr>
                      <w:rFonts w:hint="eastAsia" w:ascii="Calibri" w:hAnsi="Calibri" w:eastAsiaTheme="minorEastAsia" w:cstheme="minorEastAsia"/>
                      <w:color w:val="auto"/>
                      <w:highlight w:val="none"/>
                    </w:rPr>
                  </w:pPr>
                  <w:r>
                    <w:rPr>
                      <w:rFonts w:hint="eastAsia" w:asciiTheme="minorEastAsia" w:hAnsiTheme="minorEastAsia" w:eastAsiaTheme="minorEastAsia" w:cstheme="minorEastAsia"/>
                      <w:color w:val="auto"/>
                      <w:highlight w:val="none"/>
                    </w:rPr>
                    <w:t>开办清洁专项服务费</w:t>
                  </w:r>
                </w:p>
              </w:tc>
            </w:tr>
            <w:tr w14:paraId="2970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vMerge w:val="continue"/>
                  <w:vAlign w:val="center"/>
                </w:tcPr>
                <w:p w14:paraId="0E8AE227">
                  <w:pPr>
                    <w:jc w:val="center"/>
                    <w:rPr>
                      <w:rFonts w:hint="eastAsia" w:ascii="Calibri" w:hAnsi="Calibri" w:eastAsiaTheme="minorEastAsia" w:cstheme="minorEastAsia"/>
                      <w:color w:val="auto"/>
                      <w:highlight w:val="none"/>
                    </w:rPr>
                  </w:pPr>
                </w:p>
              </w:tc>
              <w:tc>
                <w:tcPr>
                  <w:tcW w:w="1578" w:type="dxa"/>
                  <w:vAlign w:val="center"/>
                </w:tcPr>
                <w:p w14:paraId="01129DA1">
                  <w:pPr>
                    <w:jc w:val="center"/>
                    <w:rPr>
                      <w:rFonts w:hint="eastAsia" w:ascii="Calibri" w:hAnsi="Calibri" w:eastAsiaTheme="minorEastAsia" w:cstheme="minorEastAsia"/>
                      <w:color w:val="auto"/>
                      <w:highlight w:val="none"/>
                    </w:rPr>
                  </w:pPr>
                  <w:r>
                    <w:rPr>
                      <w:rFonts w:hint="eastAsia" w:asciiTheme="minorEastAsia" w:hAnsiTheme="minorEastAsia" w:eastAsiaTheme="minorEastAsia" w:cstheme="minorEastAsia"/>
                      <w:color w:val="auto"/>
                      <w:highlight w:val="none"/>
                    </w:rPr>
                    <w:t>880000.00</w:t>
                  </w:r>
                </w:p>
              </w:tc>
              <w:tc>
                <w:tcPr>
                  <w:tcW w:w="2605" w:type="dxa"/>
                  <w:vAlign w:val="center"/>
                </w:tcPr>
                <w:p w14:paraId="4235EA74">
                  <w:pPr>
                    <w:jc w:val="center"/>
                    <w:rPr>
                      <w:rFonts w:hint="eastAsia" w:ascii="Calibri" w:hAnsi="Calibri" w:eastAsiaTheme="minorEastAsia" w:cstheme="minorEastAsia"/>
                      <w:color w:val="auto"/>
                      <w:highlight w:val="none"/>
                    </w:rPr>
                  </w:pPr>
                  <w:r>
                    <w:rPr>
                      <w:rFonts w:hint="eastAsia" w:asciiTheme="minorEastAsia" w:hAnsiTheme="minorEastAsia" w:eastAsiaTheme="minorEastAsia" w:cstheme="minorEastAsia"/>
                      <w:color w:val="auto"/>
                      <w:highlight w:val="none"/>
                    </w:rPr>
                    <w:t>450000.00</w:t>
                  </w:r>
                </w:p>
              </w:tc>
            </w:tr>
          </w:tbl>
          <w:p w14:paraId="4F0CE597">
            <w:pPr>
              <w:rPr>
                <w:rFonts w:hint="eastAsia" w:asciiTheme="minorEastAsia" w:hAnsiTheme="minorEastAsia" w:eastAsiaTheme="minorEastAsia" w:cstheme="minorEastAsia"/>
                <w:color w:val="auto"/>
                <w:highlight w:val="none"/>
              </w:rPr>
            </w:pPr>
          </w:p>
        </w:tc>
      </w:tr>
      <w:tr w14:paraId="64916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7" w:hRule="atLeast"/>
          <w:jc w:val="center"/>
        </w:trPr>
        <w:tc>
          <w:tcPr>
            <w:tcW w:w="1335" w:type="dxa"/>
            <w:vAlign w:val="center"/>
          </w:tcPr>
          <w:p w14:paraId="2DC1CD0B">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3.3.1</w:t>
            </w:r>
          </w:p>
        </w:tc>
        <w:tc>
          <w:tcPr>
            <w:tcW w:w="1644" w:type="dxa"/>
            <w:vAlign w:val="center"/>
          </w:tcPr>
          <w:p w14:paraId="7EE3E3DA">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付款方式</w:t>
            </w:r>
          </w:p>
        </w:tc>
        <w:tc>
          <w:tcPr>
            <w:tcW w:w="6490" w:type="dxa"/>
            <w:vAlign w:val="center"/>
          </w:tcPr>
          <w:p w14:paraId="07A91FA1">
            <w:pPr>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（一）费用分为两部分：第一部分为物业服务费；第二部分为开办清洁专项服务费；</w:t>
            </w:r>
          </w:p>
          <w:p w14:paraId="7E2F19A8">
            <w:pPr>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第一部分物业服务费按每日单价×实际进场天数确定，并按照考核结果进行修正后得出每月实际应支付服务费。物业服务费采用月度支付方式，并于次月支付上月费用（遇节假日及比选人委托管理的院区放假，支付时间顺延）。比选人按照考核结果计算每月实际应支付物业服务费，中选人应按考核结果确定的服务费金额出具有效发票，比选人据此支付该月物业服务费用。</w:t>
            </w:r>
          </w:p>
          <w:p w14:paraId="6FF84EBE">
            <w:pPr>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（三）第二部分开办清洁服务费，经比选人验收合格后，由中选人按验收结果确定的服务费金额向比选人出具合法有效发票。该笔款项将与最后一个月物业服务费一同支付。</w:t>
            </w:r>
          </w:p>
          <w:p w14:paraId="0F5FAD8B">
            <w:pPr>
              <w:ind w:firstLine="420" w:firstLineChars="200"/>
              <w:rPr>
                <w:rFonts w:hint="eastAsia" w:ascii="宋体" w:hAnsi="宋体" w:cs="宋体" w:eastAsiaTheme="minorEastAsia"/>
                <w:color w:val="auto"/>
                <w:sz w:val="24"/>
                <w:highlight w:val="none"/>
              </w:rPr>
            </w:pPr>
            <w:r>
              <w:rPr>
                <w:rFonts w:hint="eastAsia" w:asciiTheme="minorEastAsia" w:hAnsiTheme="minorEastAsia" w:eastAsiaTheme="minorEastAsia" w:cstheme="minorEastAsia"/>
                <w:color w:val="auto"/>
                <w:highlight w:val="none"/>
              </w:rPr>
              <w:t>（四）合同签订总金额为物业服务费和开办清洁费之和，其中物业服务费根据中选人提供的每日单价×实际进场天数确定。</w:t>
            </w:r>
          </w:p>
        </w:tc>
      </w:tr>
      <w:tr w14:paraId="1587B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F40E9A">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3.3.2</w:t>
            </w:r>
          </w:p>
        </w:tc>
        <w:tc>
          <w:tcPr>
            <w:tcW w:w="1644" w:type="dxa"/>
            <w:vAlign w:val="center"/>
          </w:tcPr>
          <w:p w14:paraId="62E0FADE">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投标有效期</w:t>
            </w:r>
          </w:p>
        </w:tc>
        <w:tc>
          <w:tcPr>
            <w:tcW w:w="6490" w:type="dxa"/>
            <w:vAlign w:val="center"/>
          </w:tcPr>
          <w:p w14:paraId="6C04F714">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90 日历天（从提交竞选文件截止日起计算）</w:t>
            </w:r>
          </w:p>
        </w:tc>
      </w:tr>
      <w:tr w14:paraId="70339B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B90E8D">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3.4</w:t>
            </w:r>
          </w:p>
        </w:tc>
        <w:tc>
          <w:tcPr>
            <w:tcW w:w="1644" w:type="dxa"/>
            <w:vAlign w:val="center"/>
          </w:tcPr>
          <w:p w14:paraId="036FE7A1">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投标保证金</w:t>
            </w:r>
          </w:p>
        </w:tc>
        <w:tc>
          <w:tcPr>
            <w:tcW w:w="6490" w:type="dxa"/>
            <w:vAlign w:val="center"/>
          </w:tcPr>
          <w:p w14:paraId="7715CC00">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方式一：以转账形式交纳投标保证金</w:t>
            </w:r>
          </w:p>
          <w:p w14:paraId="1A4004E7">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1、投标保证金交款形式及要求：投标人从企业的基本账户（开户行）在投标截止时间前通过转账方式直接划付至下面指定的投标保证金账户。不满足上述要求的投标保证金无效。</w:t>
            </w:r>
          </w:p>
          <w:p w14:paraId="2508D0C9">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实际到账时间：以投标保证金账户显示的到账时间为准；投标人自行考虑汇入时间风险，如同城汇入、异地汇入、跨行汇入的时间要求。</w:t>
            </w:r>
          </w:p>
          <w:p w14:paraId="5E3E71B4">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2、以转账形式提交投标保证金的金额：1万元整（人民币）。</w:t>
            </w:r>
          </w:p>
          <w:p w14:paraId="1C9CF98F">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3、投标保证金账户及账号（任选其一）：</w:t>
            </w:r>
          </w:p>
          <w:p w14:paraId="4D1E9D65">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户  名：重庆铂霖瀚丰工程管理咨询有限公司</w:t>
            </w:r>
          </w:p>
          <w:p w14:paraId="2A88F93E">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开户行： 中信银行股份有限公司重庆星光支行</w:t>
            </w:r>
          </w:p>
          <w:p w14:paraId="63CE9949">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  号： 8111201012700600643</w:t>
            </w:r>
          </w:p>
          <w:p w14:paraId="07DB7697">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投标人须在投标文件资格审查部分“其他资料”中提供企业基本账户开户证明文件和保证金递交凭证复印件。</w:t>
            </w:r>
          </w:p>
          <w:p w14:paraId="09613602">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4、投标人必须在付款凭证备注栏中注明是“</w:t>
            </w:r>
            <w:bookmarkStart w:id="122" w:name="OLE_LINK17"/>
            <w:r>
              <w:rPr>
                <w:rFonts w:hint="eastAsia" w:asciiTheme="minorEastAsia" w:hAnsiTheme="minorEastAsia" w:eastAsiaTheme="minorEastAsia" w:cstheme="minorEastAsia"/>
                <w:color w:val="auto"/>
                <w:highlight w:val="none"/>
              </w:rPr>
              <w:t>项目名称+投标保证金</w:t>
            </w:r>
            <w:bookmarkEnd w:id="122"/>
            <w:r>
              <w:rPr>
                <w:rFonts w:hint="eastAsia" w:asciiTheme="minorEastAsia" w:hAnsiTheme="minorEastAsia" w:eastAsiaTheme="minorEastAsia" w:cstheme="minorEastAsia"/>
                <w:color w:val="auto"/>
                <w:highlight w:val="none"/>
              </w:rPr>
              <w:t>”。项目名称可简写。</w:t>
            </w:r>
          </w:p>
          <w:p w14:paraId="71619236">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5、投标保证金有效期与投标有效期一致。</w:t>
            </w:r>
          </w:p>
          <w:p w14:paraId="47331741">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6、评标过程中由评标委员会根据投标人在投标文件中提供的企业基本账户开户证明文件核实其投标保证金是否由基本账户转入，未从基本账户转入的，由评标委员会作否决投标处理。</w:t>
            </w:r>
          </w:p>
          <w:p w14:paraId="0E0FF959">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二、投标保证金的退还</w:t>
            </w:r>
          </w:p>
          <w:p w14:paraId="15DD91EB">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highlight w:val="none"/>
              </w:rPr>
              <w:t>按照招投标法律法规依法退还。</w:t>
            </w:r>
          </w:p>
        </w:tc>
      </w:tr>
      <w:tr w14:paraId="34B30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F06A86">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3.6</w:t>
            </w:r>
          </w:p>
        </w:tc>
        <w:tc>
          <w:tcPr>
            <w:tcW w:w="1644" w:type="dxa"/>
            <w:vAlign w:val="center"/>
          </w:tcPr>
          <w:p w14:paraId="50335159">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是否允许递交</w:t>
            </w:r>
          </w:p>
          <w:p w14:paraId="5BC4A5C9">
            <w:pPr>
              <w:snapToGrid w:val="0"/>
              <w:spacing w:after="93" w:afterLines="30"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备选投标方案</w:t>
            </w:r>
          </w:p>
        </w:tc>
        <w:tc>
          <w:tcPr>
            <w:tcW w:w="6490" w:type="dxa"/>
            <w:vAlign w:val="center"/>
          </w:tcPr>
          <w:p w14:paraId="221903C9">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不允许</w:t>
            </w:r>
          </w:p>
        </w:tc>
      </w:tr>
      <w:tr w14:paraId="63E873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5AB4C7">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3.7.1</w:t>
            </w:r>
          </w:p>
        </w:tc>
        <w:tc>
          <w:tcPr>
            <w:tcW w:w="1644" w:type="dxa"/>
            <w:vAlign w:val="center"/>
          </w:tcPr>
          <w:p w14:paraId="7CD6130D">
            <w:pPr>
              <w:snapToGrid w:val="0"/>
              <w:spacing w:after="93" w:afterLines="30"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竞选文件格式要求</w:t>
            </w:r>
          </w:p>
        </w:tc>
        <w:tc>
          <w:tcPr>
            <w:tcW w:w="6490" w:type="dxa"/>
            <w:vAlign w:val="center"/>
          </w:tcPr>
          <w:p w14:paraId="3BA5D4FB">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编制竞选文件时不得对第六章“竞选文件格式”的相应要素作实质性修改，否则由评标委员会作否决投标处理。</w:t>
            </w:r>
          </w:p>
        </w:tc>
      </w:tr>
      <w:tr w14:paraId="61439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9F340A">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3.7.3</w:t>
            </w:r>
          </w:p>
        </w:tc>
        <w:tc>
          <w:tcPr>
            <w:tcW w:w="1644" w:type="dxa"/>
            <w:vAlign w:val="center"/>
          </w:tcPr>
          <w:p w14:paraId="619C61BC">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签名盖章要求</w:t>
            </w:r>
          </w:p>
        </w:tc>
        <w:tc>
          <w:tcPr>
            <w:tcW w:w="6490" w:type="dxa"/>
            <w:vAlign w:val="center"/>
          </w:tcPr>
          <w:p w14:paraId="475E5E09">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选文件应用不褪色的材料书写或打印，并由竞选人的法定代表人或其委托代理人在招标文件规定的位置按招标文件要求签名或盖章、盖单位法人章。委托代理人签名的，竞选文件应附法定代表人签署的授权委托书。竞选文件应尽量避免涂改、行间插字或删除。如果出现上述情况，改动之处应加盖单位法人章或由竞选人的法定代表人或其授权的代理人签名确认。</w:t>
            </w:r>
          </w:p>
          <w:p w14:paraId="0A4A58F6">
            <w:pPr>
              <w:snapToGrid w:val="0"/>
              <w:spacing w:line="400" w:lineRule="exact"/>
              <w:ind w:firstLine="420" w:firstLineChars="200"/>
              <w:rPr>
                <w:rFonts w:hint="eastAsia" w:asciiTheme="minorEastAsia" w:hAnsiTheme="minorEastAsia" w:eastAsiaTheme="minorEastAsia" w:cstheme="minorEastAsia"/>
                <w:i/>
                <w:color w:val="auto"/>
                <w:szCs w:val="21"/>
                <w:highlight w:val="none"/>
              </w:rPr>
            </w:pPr>
            <w:r>
              <w:rPr>
                <w:rFonts w:hint="eastAsia" w:asciiTheme="minorEastAsia" w:hAnsiTheme="minorEastAsia" w:eastAsiaTheme="minorEastAsia" w:cstheme="minorEastAsia"/>
                <w:color w:val="auto"/>
                <w:szCs w:val="21"/>
                <w:highlight w:val="none"/>
              </w:rPr>
              <w:t>未按上述规定执行的，交由评标委员会作否决投标处理。</w:t>
            </w:r>
          </w:p>
        </w:tc>
      </w:tr>
      <w:tr w14:paraId="19E23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555C13">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3.7.4</w:t>
            </w:r>
          </w:p>
        </w:tc>
        <w:tc>
          <w:tcPr>
            <w:tcW w:w="1644" w:type="dxa"/>
            <w:vAlign w:val="center"/>
          </w:tcPr>
          <w:p w14:paraId="5ABA38BD">
            <w:pPr>
              <w:snapToGrid w:val="0"/>
              <w:spacing w:line="400" w:lineRule="exact"/>
              <w:rPr>
                <w:rFonts w:hint="eastAsia" w:asciiTheme="minorEastAsia" w:hAnsiTheme="minorEastAsia" w:eastAsiaTheme="minorEastAsia" w:cstheme="minorEastAsia"/>
                <w:color w:val="auto"/>
                <w:spacing w:val="-6"/>
                <w:kern w:val="0"/>
                <w:szCs w:val="21"/>
                <w:highlight w:val="none"/>
              </w:rPr>
            </w:pPr>
            <w:r>
              <w:rPr>
                <w:rFonts w:hint="eastAsia" w:asciiTheme="minorEastAsia" w:hAnsiTheme="minorEastAsia" w:eastAsiaTheme="minorEastAsia" w:cstheme="minorEastAsia"/>
                <w:color w:val="auto"/>
                <w:spacing w:val="-6"/>
                <w:kern w:val="0"/>
                <w:szCs w:val="21"/>
                <w:highlight w:val="none"/>
              </w:rPr>
              <w:t>竞选文件的份数</w:t>
            </w:r>
          </w:p>
        </w:tc>
        <w:tc>
          <w:tcPr>
            <w:tcW w:w="6490" w:type="dxa"/>
            <w:vAlign w:val="center"/>
          </w:tcPr>
          <w:p w14:paraId="351FA3F8">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竞选文件一式二份(其中：正本一份，副本一份、电子档一份 </w:t>
            </w:r>
            <w:r>
              <w:rPr>
                <w:rFonts w:hint="eastAsia" w:asciiTheme="minorEastAsia" w:hAnsiTheme="minorEastAsia" w:eastAsiaTheme="minorEastAsia" w:cstheme="minorEastAsia"/>
                <w:b/>
                <w:bCs/>
                <w:color w:val="auto"/>
                <w:kern w:val="0"/>
                <w:szCs w:val="21"/>
                <w:highlight w:val="none"/>
              </w:rPr>
              <w:t>(将投标文件正本签字盖章完整的文件扫描后，在规定时间内上传至“行采家”网站)</w:t>
            </w:r>
            <w:r>
              <w:rPr>
                <w:rFonts w:hint="eastAsia" w:asciiTheme="minorEastAsia" w:hAnsiTheme="minorEastAsia" w:eastAsiaTheme="minorEastAsia" w:cstheme="minorEastAsia"/>
                <w:color w:val="auto"/>
                <w:kern w:val="0"/>
                <w:szCs w:val="21"/>
                <w:highlight w:val="none"/>
              </w:rPr>
              <w:t>) ，副本可以为正本的复 印件， 投标文件内容应清楚地标记“正本”或“副本”的字样，当副本和正本不一致时，以正本为准。</w:t>
            </w:r>
          </w:p>
        </w:tc>
      </w:tr>
      <w:tr w14:paraId="3C1A3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6BCF75">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3.7.5</w:t>
            </w:r>
          </w:p>
        </w:tc>
        <w:tc>
          <w:tcPr>
            <w:tcW w:w="1644" w:type="dxa"/>
            <w:vAlign w:val="center"/>
          </w:tcPr>
          <w:p w14:paraId="1E026744">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装订要求</w:t>
            </w:r>
          </w:p>
        </w:tc>
        <w:tc>
          <w:tcPr>
            <w:tcW w:w="6490" w:type="dxa"/>
            <w:vAlign w:val="center"/>
          </w:tcPr>
          <w:p w14:paraId="5D40522D">
            <w:pPr>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应按照第六章规定格式装订成册，并应编制目录，标注页码。</w:t>
            </w:r>
          </w:p>
          <w:p w14:paraId="079D6437">
            <w:pPr>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本项目技术部分采用明标评审，投标文件须装订成册，并应编制目录，若装订过厚，也可分订成多册。</w:t>
            </w:r>
          </w:p>
        </w:tc>
      </w:tr>
      <w:tr w14:paraId="081EA2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5213F9C">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4.1.1</w:t>
            </w:r>
          </w:p>
        </w:tc>
        <w:tc>
          <w:tcPr>
            <w:tcW w:w="1644" w:type="dxa"/>
            <w:vAlign w:val="center"/>
          </w:tcPr>
          <w:p w14:paraId="77921C02">
            <w:pPr>
              <w:snapToGrid w:val="0"/>
              <w:spacing w:line="400" w:lineRule="exact"/>
              <w:jc w:val="center"/>
              <w:rPr>
                <w:rFonts w:hint="eastAsia" w:asciiTheme="minorEastAsia" w:hAnsiTheme="minorEastAsia" w:eastAsiaTheme="minorEastAsia" w:cstheme="minorEastAsia"/>
                <w:color w:val="auto"/>
                <w:spacing w:val="-6"/>
                <w:kern w:val="0"/>
                <w:szCs w:val="21"/>
                <w:highlight w:val="none"/>
              </w:rPr>
            </w:pPr>
            <w:r>
              <w:rPr>
                <w:rFonts w:hint="eastAsia" w:asciiTheme="minorEastAsia" w:hAnsiTheme="minorEastAsia" w:eastAsiaTheme="minorEastAsia" w:cstheme="minorEastAsia"/>
                <w:color w:val="auto"/>
                <w:spacing w:val="-6"/>
                <w:kern w:val="0"/>
                <w:szCs w:val="21"/>
                <w:highlight w:val="none"/>
              </w:rPr>
              <w:t>竞选文件的密封</w:t>
            </w:r>
          </w:p>
        </w:tc>
        <w:tc>
          <w:tcPr>
            <w:tcW w:w="6490" w:type="dxa"/>
            <w:vAlign w:val="center"/>
          </w:tcPr>
          <w:p w14:paraId="3B497ED9">
            <w:pPr>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1、竞选文件密封袋内装竞选文件正本和副本。封口处应 用封条密封， 封条上写明注明“开标时启封”字样并加盖投标人单位公章。同时应按本表第 4.1.2 项的规定写明相应内容。</w:t>
            </w:r>
          </w:p>
          <w:p w14:paraId="0D942A12">
            <w:pPr>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2、如果竞选人未按上述规定封装，比选人或招标代理机构应当拒绝接收。</w:t>
            </w:r>
          </w:p>
        </w:tc>
      </w:tr>
      <w:tr w14:paraId="65139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5A1C0D">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4.1.2</w:t>
            </w:r>
          </w:p>
        </w:tc>
        <w:tc>
          <w:tcPr>
            <w:tcW w:w="1644" w:type="dxa"/>
            <w:vAlign w:val="center"/>
          </w:tcPr>
          <w:p w14:paraId="0DF2E190">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封套上写明</w:t>
            </w:r>
          </w:p>
        </w:tc>
        <w:tc>
          <w:tcPr>
            <w:tcW w:w="6490" w:type="dxa"/>
            <w:vAlign w:val="center"/>
          </w:tcPr>
          <w:p w14:paraId="39C405B0">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应在“竞选文件”大袋封套上写明如下内容：</w:t>
            </w:r>
          </w:p>
          <w:p w14:paraId="301B0981">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比选人名称：             </w:t>
            </w:r>
          </w:p>
          <w:p w14:paraId="1848682B">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竞选人名称：            </w:t>
            </w:r>
          </w:p>
          <w:p w14:paraId="2CD0E5FB">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                （项目名称）竞选文件</w:t>
            </w:r>
          </w:p>
        </w:tc>
      </w:tr>
      <w:tr w14:paraId="6AF0F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6FDEE4">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4.2.2</w:t>
            </w:r>
          </w:p>
        </w:tc>
        <w:tc>
          <w:tcPr>
            <w:tcW w:w="1644" w:type="dxa"/>
            <w:vAlign w:val="center"/>
          </w:tcPr>
          <w:p w14:paraId="4DC6A1D3">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递交竞选文件地点</w:t>
            </w:r>
          </w:p>
        </w:tc>
        <w:tc>
          <w:tcPr>
            <w:tcW w:w="6490" w:type="dxa"/>
            <w:vAlign w:val="center"/>
          </w:tcPr>
          <w:p w14:paraId="583B030D">
            <w:pPr>
              <w:snapToGrid w:val="0"/>
              <w:spacing w:line="400" w:lineRule="exact"/>
              <w:ind w:firstLine="420" w:firstLineChars="200"/>
              <w:rPr>
                <w:rFonts w:hint="eastAsia" w:asciiTheme="minorEastAsia" w:hAnsiTheme="minorEastAsia" w:eastAsiaTheme="minorEastAsia" w:cstheme="minorEastAsia"/>
                <w:bCs/>
                <w:i/>
                <w:color w:val="auto"/>
                <w:szCs w:val="21"/>
                <w:highlight w:val="none"/>
              </w:rPr>
            </w:pPr>
            <w:r>
              <w:rPr>
                <w:rFonts w:hint="eastAsia" w:asciiTheme="minorEastAsia" w:hAnsiTheme="minorEastAsia" w:eastAsiaTheme="minorEastAsia" w:cstheme="minorEastAsia"/>
                <w:snapToGrid w:val="0"/>
                <w:color w:val="auto"/>
                <w:kern w:val="0"/>
                <w:szCs w:val="21"/>
                <w:highlight w:val="none"/>
              </w:rPr>
              <w:t>重庆铂霖瀚丰工程管理咨询有限公司会议室（重庆市两江新区洪湖西路21号2004-2005）</w:t>
            </w:r>
          </w:p>
        </w:tc>
      </w:tr>
      <w:tr w14:paraId="3EB7E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283104">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4.2.3</w:t>
            </w:r>
          </w:p>
        </w:tc>
        <w:tc>
          <w:tcPr>
            <w:tcW w:w="1644" w:type="dxa"/>
            <w:vAlign w:val="center"/>
          </w:tcPr>
          <w:p w14:paraId="32ED2BEA">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是否退还竞选文件</w:t>
            </w:r>
          </w:p>
        </w:tc>
        <w:tc>
          <w:tcPr>
            <w:tcW w:w="6490" w:type="dxa"/>
            <w:vAlign w:val="center"/>
          </w:tcPr>
          <w:p w14:paraId="4FBA7218">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☑否</w:t>
            </w:r>
          </w:p>
        </w:tc>
      </w:tr>
      <w:tr w14:paraId="2FDE52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FC5DDEA">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5.1.1</w:t>
            </w:r>
          </w:p>
        </w:tc>
        <w:tc>
          <w:tcPr>
            <w:tcW w:w="1644" w:type="dxa"/>
            <w:vAlign w:val="center"/>
          </w:tcPr>
          <w:p w14:paraId="54DF248F">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开标时间和</w:t>
            </w:r>
          </w:p>
          <w:p w14:paraId="0F8A77E4">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地点</w:t>
            </w:r>
          </w:p>
        </w:tc>
        <w:tc>
          <w:tcPr>
            <w:tcW w:w="6490" w:type="dxa"/>
            <w:vAlign w:val="center"/>
          </w:tcPr>
          <w:p w14:paraId="4E26158F">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开标时间：同投标截止时间</w:t>
            </w:r>
          </w:p>
          <w:p w14:paraId="2615DD7A">
            <w:pPr>
              <w:snapToGrid w:val="0"/>
              <w:spacing w:line="400" w:lineRule="exact"/>
              <w:ind w:firstLine="420" w:firstLineChars="200"/>
              <w:rPr>
                <w:rFonts w:hint="eastAsia" w:asciiTheme="minorEastAsia" w:hAnsiTheme="minorEastAsia" w:eastAsiaTheme="minorEastAsia" w:cstheme="minorEastAsia"/>
                <w:bCs/>
                <w:i/>
                <w:color w:val="auto"/>
                <w:szCs w:val="21"/>
                <w:highlight w:val="none"/>
              </w:rPr>
            </w:pPr>
            <w:r>
              <w:rPr>
                <w:rFonts w:hint="eastAsia" w:asciiTheme="minorEastAsia" w:hAnsiTheme="minorEastAsia" w:eastAsiaTheme="minorEastAsia" w:cstheme="minorEastAsia"/>
                <w:color w:val="auto"/>
                <w:kern w:val="0"/>
                <w:szCs w:val="21"/>
                <w:highlight w:val="none"/>
              </w:rPr>
              <w:t>开标地点详见比选公告</w:t>
            </w:r>
            <w:r>
              <w:rPr>
                <w:rFonts w:hint="eastAsia" w:asciiTheme="minorEastAsia" w:hAnsiTheme="minorEastAsia" w:eastAsiaTheme="minorEastAsia" w:cstheme="minorEastAsia"/>
                <w:bCs/>
                <w:color w:val="auto"/>
                <w:szCs w:val="21"/>
                <w:highlight w:val="none"/>
              </w:rPr>
              <w:t>。</w:t>
            </w:r>
          </w:p>
        </w:tc>
      </w:tr>
      <w:tr w14:paraId="4A723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12FFFB">
            <w:pPr>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w:t>
            </w:r>
          </w:p>
        </w:tc>
        <w:tc>
          <w:tcPr>
            <w:tcW w:w="1644" w:type="dxa"/>
            <w:vAlign w:val="center"/>
          </w:tcPr>
          <w:p w14:paraId="16F348EE">
            <w:pPr>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开标程序</w:t>
            </w:r>
          </w:p>
        </w:tc>
        <w:tc>
          <w:tcPr>
            <w:tcW w:w="6490" w:type="dxa"/>
            <w:vAlign w:val="center"/>
          </w:tcPr>
          <w:p w14:paraId="0E4198F9">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主持人按下列程序进行开标：</w:t>
            </w:r>
          </w:p>
          <w:p w14:paraId="05963904">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核验参加开标会议的竞选人的法定代表人或委托代理人本人身份证（原件），核验委托代理人的授权委托书及社保证明材料，以确认其身份合法有效；若经核实委托代理人提供资料与实际不符的，退回参选文件，不参加开标会的视为默认开标结果。</w:t>
            </w:r>
          </w:p>
          <w:p w14:paraId="6F15F68A">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宣布开标纪律。</w:t>
            </w:r>
          </w:p>
          <w:p w14:paraId="389FECCB">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宣布开标人、唱标人、记录人、监标人等有关人员姓名。</w:t>
            </w:r>
          </w:p>
          <w:p w14:paraId="6A4BE782">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公布在投标截止时间前递交竞选文件的竞选人名称。</w:t>
            </w:r>
          </w:p>
          <w:p w14:paraId="7CFD562B">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 竞选文件的密封检查：竞选人可对自己的竞选文件封装情况进行检查，以确认其竞选文件密封完好。</w:t>
            </w:r>
          </w:p>
          <w:p w14:paraId="1DDF97B3">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 汇总投标保证金交纳情况</w:t>
            </w:r>
          </w:p>
          <w:p w14:paraId="25CB6D0B">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 公布最高限价，以便评标委员会评审。</w:t>
            </w:r>
          </w:p>
          <w:p w14:paraId="08230F9F">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 逐单位随机开启竞选文件。公布竞选人名称、投标报价、并记录在案。</w:t>
            </w:r>
          </w:p>
          <w:p w14:paraId="441B0B52">
            <w:pPr>
              <w:numPr>
                <w:ilvl w:val="255"/>
                <w:numId w:val="0"/>
              </w:num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9.竞选人对开标有异议的，应当场提出，由比选人或代理机构当场答复，并记录到开标记录表中。异议处理完毕后，汇总开标情况，打印开标记录表。</w:t>
            </w:r>
          </w:p>
          <w:p w14:paraId="5C8E2A58">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 竞选人代表、比选人代表、监标人、主持人、记录人等有关人员在开标记录上签名确认。因其他原因未能签名的，视为默认开标结果。</w:t>
            </w:r>
          </w:p>
          <w:p w14:paraId="54FB5ED7">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 开标结束。</w:t>
            </w:r>
          </w:p>
        </w:tc>
      </w:tr>
      <w:tr w14:paraId="00D589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68F5A2">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6.1.1</w:t>
            </w:r>
          </w:p>
        </w:tc>
        <w:tc>
          <w:tcPr>
            <w:tcW w:w="1644" w:type="dxa"/>
            <w:vAlign w:val="center"/>
          </w:tcPr>
          <w:p w14:paraId="47A40225">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评标委员会的组建</w:t>
            </w:r>
          </w:p>
        </w:tc>
        <w:tc>
          <w:tcPr>
            <w:tcW w:w="6490" w:type="dxa"/>
            <w:vAlign w:val="center"/>
          </w:tcPr>
          <w:p w14:paraId="79F32B6A">
            <w:pPr>
              <w:autoSpaceDE w:val="0"/>
              <w:autoSpaceDN w:val="0"/>
              <w:adjustRightInd w:val="0"/>
              <w:snapToGrid w:val="0"/>
              <w:spacing w:line="400" w:lineRule="exact"/>
              <w:ind w:firstLine="436"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pacing w:val="4"/>
                <w:kern w:val="0"/>
                <w:szCs w:val="21"/>
                <w:highlight w:val="none"/>
              </w:rPr>
              <w:t>由比选人按法律法规及相关规定依法组建评标委员会</w:t>
            </w:r>
            <w:r>
              <w:rPr>
                <w:rFonts w:hint="eastAsia" w:asciiTheme="minorEastAsia" w:hAnsiTheme="minorEastAsia" w:eastAsiaTheme="minorEastAsia" w:cstheme="minorEastAsia"/>
                <w:color w:val="auto"/>
                <w:kern w:val="0"/>
                <w:szCs w:val="21"/>
                <w:highlight w:val="none"/>
              </w:rPr>
              <w:t>。</w:t>
            </w:r>
          </w:p>
        </w:tc>
      </w:tr>
      <w:tr w14:paraId="40BF1D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1746B2">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7.1</w:t>
            </w:r>
          </w:p>
        </w:tc>
        <w:tc>
          <w:tcPr>
            <w:tcW w:w="1644" w:type="dxa"/>
            <w:vAlign w:val="center"/>
          </w:tcPr>
          <w:p w14:paraId="66FFD8DB">
            <w:pPr>
              <w:snapToGrid w:val="0"/>
              <w:spacing w:after="62" w:afterLines="20"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是否授权评标委员会确定中标人</w:t>
            </w:r>
          </w:p>
        </w:tc>
        <w:tc>
          <w:tcPr>
            <w:tcW w:w="6490" w:type="dxa"/>
            <w:vAlign w:val="center"/>
          </w:tcPr>
          <w:p w14:paraId="002F25C3">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□是</w:t>
            </w:r>
          </w:p>
          <w:p w14:paraId="2BC85DB1">
            <w:pPr>
              <w:snapToGrid w:val="0"/>
              <w:spacing w:line="400" w:lineRule="exact"/>
              <w:ind w:firstLine="420" w:firstLineChars="200"/>
              <w:rPr>
                <w:rFonts w:hint="eastAsia" w:asciiTheme="minorEastAsia" w:hAnsiTheme="minorEastAsia" w:eastAsiaTheme="minorEastAsia" w:cstheme="minorEastAsia"/>
                <w:i/>
                <w:color w:val="auto"/>
                <w:kern w:val="0"/>
                <w:szCs w:val="21"/>
                <w:highlight w:val="none"/>
              </w:rPr>
            </w:pPr>
            <w:r>
              <w:rPr>
                <w:rFonts w:asciiTheme="minorEastAsia" w:hAnsiTheme="minorEastAsia" w:eastAsiaTheme="minorEastAsia" w:cstheme="minorEastAsia"/>
                <w:color w:val="auto"/>
                <w:kern w:val="0"/>
                <w:szCs w:val="21"/>
                <w:highlight w:val="none"/>
              </w:rPr>
              <w:t>☑B否，推荐经评审综合得分由高到低排名前三名为中标候选人。</w:t>
            </w:r>
          </w:p>
        </w:tc>
      </w:tr>
      <w:tr w14:paraId="6BAE2A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D9BE4F">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7.2</w:t>
            </w:r>
          </w:p>
        </w:tc>
        <w:tc>
          <w:tcPr>
            <w:tcW w:w="1644" w:type="dxa"/>
            <w:vAlign w:val="center"/>
          </w:tcPr>
          <w:p w14:paraId="0266CE5F">
            <w:pPr>
              <w:snapToGrid w:val="0"/>
              <w:spacing w:after="62" w:afterLines="20"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中标公示</w:t>
            </w:r>
          </w:p>
        </w:tc>
        <w:tc>
          <w:tcPr>
            <w:tcW w:w="6490" w:type="dxa"/>
            <w:vAlign w:val="center"/>
          </w:tcPr>
          <w:p w14:paraId="3D07B4C1">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比选人在收到评标报告后3个工作日内将评标结果在</w:t>
            </w:r>
            <w:r>
              <w:rPr>
                <w:rFonts w:hint="eastAsia" w:asciiTheme="minorEastAsia" w:hAnsiTheme="minorEastAsia" w:eastAsiaTheme="minorEastAsia" w:cstheme="minorEastAsia"/>
                <w:snapToGrid w:val="0"/>
                <w:color w:val="auto"/>
                <w:kern w:val="0"/>
                <w:szCs w:val="21"/>
                <w:highlight w:val="none"/>
              </w:rPr>
              <w:t>行采家(https://www.gec123.com/）、重庆广阳湾生态城投资发展集团有限公司官网（http://cq-gyw.com/）</w:t>
            </w:r>
            <w:r>
              <w:rPr>
                <w:rFonts w:hint="eastAsia" w:asciiTheme="minorEastAsia" w:hAnsiTheme="minorEastAsia" w:eastAsiaTheme="minorEastAsia" w:cstheme="minorEastAsia"/>
                <w:color w:val="auto"/>
                <w:szCs w:val="21"/>
                <w:highlight w:val="none"/>
              </w:rPr>
              <w:t>上进行公示，</w:t>
            </w:r>
            <w:bookmarkStart w:id="123" w:name="OLE_LINK16"/>
            <w:r>
              <w:rPr>
                <w:rFonts w:hint="eastAsia" w:asciiTheme="minorEastAsia" w:hAnsiTheme="minorEastAsia" w:eastAsiaTheme="minorEastAsia" w:cstheme="minorEastAsia"/>
                <w:color w:val="auto"/>
                <w:szCs w:val="21"/>
                <w:highlight w:val="none"/>
              </w:rPr>
              <w:t>公示期为1日</w:t>
            </w:r>
            <w:bookmarkEnd w:id="123"/>
            <w:r>
              <w:rPr>
                <w:rFonts w:hint="eastAsia" w:asciiTheme="minorEastAsia" w:hAnsiTheme="minorEastAsia" w:eastAsiaTheme="minorEastAsia" w:cstheme="minorEastAsia"/>
                <w:color w:val="auto"/>
                <w:szCs w:val="21"/>
                <w:highlight w:val="none"/>
              </w:rPr>
              <w:t>。</w:t>
            </w:r>
          </w:p>
        </w:tc>
      </w:tr>
      <w:tr w14:paraId="271AF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9ABDAC">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7.3.1</w:t>
            </w:r>
          </w:p>
        </w:tc>
        <w:tc>
          <w:tcPr>
            <w:tcW w:w="1644" w:type="dxa"/>
            <w:vAlign w:val="center"/>
          </w:tcPr>
          <w:p w14:paraId="326B2B5A">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履约担保</w:t>
            </w:r>
          </w:p>
        </w:tc>
        <w:tc>
          <w:tcPr>
            <w:tcW w:w="6490" w:type="dxa"/>
            <w:vAlign w:val="center"/>
          </w:tcPr>
          <w:p w14:paraId="546AFA8E">
            <w:pPr>
              <w:snapToGrid w:val="0"/>
              <w:spacing w:after="62" w:afterLines="20"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无</w:t>
            </w:r>
          </w:p>
        </w:tc>
      </w:tr>
      <w:tr w14:paraId="7F4B1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BA311D">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8.1</w:t>
            </w:r>
          </w:p>
        </w:tc>
        <w:tc>
          <w:tcPr>
            <w:tcW w:w="1644" w:type="dxa"/>
            <w:vAlign w:val="center"/>
          </w:tcPr>
          <w:p w14:paraId="34FB0CDD">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重新招标的情形</w:t>
            </w:r>
          </w:p>
        </w:tc>
        <w:tc>
          <w:tcPr>
            <w:tcW w:w="6490" w:type="dxa"/>
            <w:vAlign w:val="center"/>
          </w:tcPr>
          <w:p w14:paraId="1E294045">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1.按竞选人须知第8.1（1）执行；</w:t>
            </w:r>
          </w:p>
          <w:p w14:paraId="2F936392">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2.按竞选人须知第8.1（2）执行；</w:t>
            </w:r>
          </w:p>
          <w:p w14:paraId="445F9CF9">
            <w:pPr>
              <w:widowControl/>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3.</w:t>
            </w:r>
            <w:r>
              <w:rPr>
                <w:rFonts w:hint="eastAsia" w:asciiTheme="minorEastAsia" w:hAnsiTheme="minorEastAsia" w:eastAsiaTheme="minorEastAsia" w:cstheme="minorEastAsia"/>
                <w:color w:val="auto"/>
                <w:kern w:val="0"/>
                <w:szCs w:val="21"/>
                <w:highlight w:val="none"/>
              </w:rPr>
              <w:t>按竞选人须知第8.1（3）执行；</w:t>
            </w:r>
          </w:p>
          <w:p w14:paraId="2315DA7E">
            <w:pPr>
              <w:widowControl/>
              <w:spacing w:after="62" w:afterLines="20"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4.</w:t>
            </w:r>
            <w:r>
              <w:rPr>
                <w:rFonts w:hint="eastAsia" w:asciiTheme="minorEastAsia" w:hAnsiTheme="minorEastAsia" w:eastAsiaTheme="minorEastAsia" w:cstheme="minorEastAsia"/>
                <w:color w:val="auto"/>
                <w:kern w:val="0"/>
                <w:szCs w:val="21"/>
                <w:highlight w:val="none"/>
              </w:rPr>
              <w:t>按竞选人须知第8.1（4）执行。</w:t>
            </w:r>
          </w:p>
          <w:p w14:paraId="186BEC0B">
            <w:pPr>
              <w:widowControl/>
              <w:spacing w:after="62" w:afterLines="20"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注：本款只适用于首次招标。</w:t>
            </w:r>
          </w:p>
        </w:tc>
      </w:tr>
      <w:tr w14:paraId="291B9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5B5670">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8.2</w:t>
            </w:r>
          </w:p>
        </w:tc>
        <w:tc>
          <w:tcPr>
            <w:tcW w:w="1644" w:type="dxa"/>
            <w:vAlign w:val="center"/>
          </w:tcPr>
          <w:p w14:paraId="110FF369">
            <w:pPr>
              <w:snapToGrid w:val="0"/>
              <w:spacing w:line="400" w:lineRule="exact"/>
              <w:jc w:val="center"/>
              <w:rPr>
                <w:rFonts w:hint="eastAsia" w:asciiTheme="minorEastAsia" w:hAnsiTheme="minorEastAsia" w:eastAsiaTheme="minorEastAsia" w:cstheme="minorEastAsia"/>
                <w:color w:val="auto"/>
                <w:highlight w:val="none"/>
              </w:rPr>
            </w:pPr>
            <w:bookmarkStart w:id="124" w:name="_Toc16930431"/>
            <w:bookmarkStart w:id="125" w:name="_Toc509218709"/>
            <w:bookmarkStart w:id="126" w:name="_Toc536628250"/>
            <w:bookmarkStart w:id="127" w:name="_Toc430530434"/>
            <w:bookmarkStart w:id="128" w:name="_Toc13210670"/>
            <w:r>
              <w:rPr>
                <w:rFonts w:hint="eastAsia" w:asciiTheme="minorEastAsia" w:hAnsiTheme="minorEastAsia" w:eastAsiaTheme="minorEastAsia" w:cstheme="minorEastAsia"/>
                <w:color w:val="auto"/>
                <w:kern w:val="0"/>
                <w:szCs w:val="21"/>
                <w:highlight w:val="none"/>
              </w:rPr>
              <w:t>重新招标和不再招标</w:t>
            </w:r>
            <w:bookmarkEnd w:id="124"/>
            <w:bookmarkEnd w:id="125"/>
            <w:bookmarkEnd w:id="126"/>
            <w:bookmarkEnd w:id="127"/>
            <w:bookmarkEnd w:id="128"/>
          </w:p>
        </w:tc>
        <w:tc>
          <w:tcPr>
            <w:tcW w:w="6490" w:type="dxa"/>
            <w:vAlign w:val="center"/>
          </w:tcPr>
          <w:p w14:paraId="2BF9CC33">
            <w:pPr>
              <w:autoSpaceDE w:val="0"/>
              <w:autoSpaceDN w:val="0"/>
              <w:adjustRightInd w:val="0"/>
              <w:snapToGrid w:val="0"/>
              <w:spacing w:after="62" w:afterLines="20"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重新招标的竞选人仍然少于三个的，按照招标投标法律法规规定的程序开标和评标。重新招标经评审有有效竞选人的，应当依法确定中标候选人；无有效竞选人的，可以不再进行招标，但是按照国家有关规定需要履行审批、核准、备案手续的依法必须进行招标的项目，应当报原项目投资主管部门审批、核准、备案。</w:t>
            </w:r>
          </w:p>
        </w:tc>
      </w:tr>
      <w:tr w14:paraId="7FFEA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90733A">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w:t>
            </w:r>
          </w:p>
        </w:tc>
        <w:tc>
          <w:tcPr>
            <w:tcW w:w="8134" w:type="dxa"/>
            <w:gridSpan w:val="2"/>
            <w:vAlign w:val="center"/>
          </w:tcPr>
          <w:p w14:paraId="77A13F19">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需要补充的其他内容</w:t>
            </w:r>
          </w:p>
        </w:tc>
      </w:tr>
      <w:tr w14:paraId="0F1FE1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C40F55">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10.1</w:t>
            </w:r>
          </w:p>
        </w:tc>
        <w:tc>
          <w:tcPr>
            <w:tcW w:w="1644" w:type="dxa"/>
            <w:vAlign w:val="center"/>
          </w:tcPr>
          <w:p w14:paraId="678D1A33">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异议、投诉处理</w:t>
            </w:r>
          </w:p>
        </w:tc>
        <w:tc>
          <w:tcPr>
            <w:tcW w:w="6490" w:type="dxa"/>
            <w:vAlign w:val="center"/>
          </w:tcPr>
          <w:p w14:paraId="2B330D11">
            <w:pPr>
              <w:widowControl/>
              <w:spacing w:line="400" w:lineRule="exact"/>
              <w:ind w:firstLine="420" w:firstLineChars="200"/>
              <w:rPr>
                <w:rFonts w:hint="eastAsia" w:asciiTheme="minorEastAsia" w:hAnsiTheme="minorEastAsia" w:eastAsiaTheme="minorEastAsia" w:cstheme="minorEastAsia"/>
                <w:color w:val="auto"/>
                <w:kern w:val="0"/>
                <w:szCs w:val="21"/>
                <w:highlight w:val="none"/>
              </w:rPr>
            </w:pPr>
            <w:bookmarkStart w:id="129" w:name="OLE_LINK11"/>
            <w:r>
              <w:rPr>
                <w:rFonts w:hint="eastAsia" w:asciiTheme="minorEastAsia" w:hAnsiTheme="minorEastAsia" w:eastAsiaTheme="minorEastAsia" w:cstheme="minorEastAsia"/>
                <w:color w:val="auto"/>
                <w:kern w:val="0"/>
                <w:szCs w:val="21"/>
                <w:highlight w:val="none"/>
              </w:rPr>
              <w:t>1. 竞选人或者其他利害关系人就本项目的招标文件（含澄清修改）、开标情况、评标结果等事项提出异议或投诉的，应当先向比选人提出异议；比选人应当在规定时间内答复；对比选人的答复不满意，可向行政监督部门投诉。</w:t>
            </w:r>
          </w:p>
          <w:p w14:paraId="60890649">
            <w:pPr>
              <w:widowControl/>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提出异议或投诉时应当包括下列内容：</w:t>
            </w:r>
          </w:p>
          <w:p w14:paraId="03C318CE">
            <w:pPr>
              <w:widowControl/>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（1）异议人或投诉人的名称、地址及有效联系方式；</w:t>
            </w:r>
          </w:p>
          <w:p w14:paraId="6E9B5B18">
            <w:pPr>
              <w:widowControl/>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（2）被异议人或被投诉人的名称、地址及有效联系方式；</w:t>
            </w:r>
          </w:p>
          <w:p w14:paraId="590293C4">
            <w:pPr>
              <w:widowControl/>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（3）异议或投诉事项的基本事实；</w:t>
            </w:r>
          </w:p>
          <w:p w14:paraId="52EB9D58">
            <w:pPr>
              <w:widowControl/>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（4）请求及主张；</w:t>
            </w:r>
          </w:p>
          <w:p w14:paraId="34001C53">
            <w:pPr>
              <w:widowControl/>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（5）涉及事项的证据、证明材料。</w:t>
            </w:r>
          </w:p>
          <w:p w14:paraId="034B7073">
            <w:pPr>
              <w:widowControl/>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0025AC85">
            <w:pPr>
              <w:widowControl/>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 行政监督部门依照《中华人民共和国招标投标法》、《中华人民共和国招标投标法实施条例》、《重庆市招标投标条例》、《关于印发&lt;重庆市招标投标活动投诉处理实施细则（修订）&gt;的通知》（渝公管发〔2021〕54号）等法律法规文件处理投诉。</w:t>
            </w:r>
          </w:p>
          <w:bookmarkEnd w:id="129"/>
          <w:p w14:paraId="40581B66">
            <w:pPr>
              <w:widowControl/>
              <w:spacing w:line="400" w:lineRule="exact"/>
              <w:ind w:firstLine="630" w:firstLineChars="300"/>
              <w:rPr>
                <w:rFonts w:hint="eastAsia" w:asciiTheme="minorEastAsia" w:hAnsiTheme="minorEastAsia" w:eastAsiaTheme="minorEastAsia" w:cstheme="minorEastAsia"/>
                <w:color w:val="auto"/>
                <w:highlight w:val="none"/>
              </w:rPr>
            </w:pPr>
          </w:p>
        </w:tc>
      </w:tr>
      <w:tr w14:paraId="5B1EC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14:paraId="551CD56F">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10.2</w:t>
            </w:r>
          </w:p>
        </w:tc>
        <w:tc>
          <w:tcPr>
            <w:tcW w:w="1644" w:type="dxa"/>
            <w:vMerge w:val="restart"/>
            <w:vAlign w:val="center"/>
          </w:tcPr>
          <w:p w14:paraId="4E34DCCA">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其他</w:t>
            </w:r>
          </w:p>
        </w:tc>
        <w:tc>
          <w:tcPr>
            <w:tcW w:w="6490" w:type="dxa"/>
            <w:vAlign w:val="center"/>
          </w:tcPr>
          <w:p w14:paraId="5D070693">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本项目招标代理费为10000.00元，由中标单位在领取中标通知书时一次性向招标代理公司支付。</w:t>
            </w:r>
          </w:p>
          <w:p w14:paraId="71942365">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该费用竞标人自行考虑在竞标报价中，比选人不单独支付费用。</w:t>
            </w:r>
          </w:p>
        </w:tc>
      </w:tr>
      <w:tr w14:paraId="6F8437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14:paraId="47948F37">
            <w:pPr>
              <w:snapToGrid w:val="0"/>
              <w:spacing w:line="400" w:lineRule="exact"/>
              <w:jc w:val="center"/>
              <w:rPr>
                <w:rFonts w:hint="eastAsia" w:asciiTheme="minorEastAsia" w:hAnsiTheme="minorEastAsia" w:eastAsiaTheme="minorEastAsia" w:cstheme="minorEastAsia"/>
                <w:color w:val="auto"/>
                <w:kern w:val="0"/>
                <w:szCs w:val="21"/>
                <w:highlight w:val="none"/>
              </w:rPr>
            </w:pPr>
            <w:bookmarkStart w:id="130" w:name="_Toc200513126"/>
            <w:bookmarkStart w:id="131" w:name="_Toc430530435"/>
            <w:bookmarkStart w:id="132" w:name="_Toc287607746"/>
            <w:bookmarkStart w:id="133" w:name="_Toc287620685"/>
            <w:bookmarkStart w:id="134" w:name="_Toc224103317"/>
            <w:bookmarkStart w:id="135" w:name="_Toc277082552"/>
          </w:p>
        </w:tc>
        <w:tc>
          <w:tcPr>
            <w:tcW w:w="1644" w:type="dxa"/>
            <w:vMerge w:val="continue"/>
            <w:vAlign w:val="center"/>
          </w:tcPr>
          <w:p w14:paraId="29471E3A">
            <w:pPr>
              <w:snapToGrid w:val="0"/>
              <w:spacing w:line="400" w:lineRule="exact"/>
              <w:jc w:val="center"/>
              <w:rPr>
                <w:rFonts w:hint="eastAsia" w:asciiTheme="minorEastAsia" w:hAnsiTheme="minorEastAsia" w:eastAsiaTheme="minorEastAsia" w:cstheme="minorEastAsia"/>
                <w:color w:val="auto"/>
                <w:kern w:val="0"/>
                <w:szCs w:val="21"/>
                <w:highlight w:val="none"/>
              </w:rPr>
            </w:pPr>
          </w:p>
        </w:tc>
        <w:tc>
          <w:tcPr>
            <w:tcW w:w="6490" w:type="dxa"/>
            <w:vAlign w:val="center"/>
          </w:tcPr>
          <w:p w14:paraId="285F6A78">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比选文件每套售500元，售后不退。投标人递交投标文件时支付比选文件的费用，否则比选人和比选代理机构将不予接收其投标文件。</w:t>
            </w:r>
          </w:p>
        </w:tc>
      </w:tr>
    </w:tbl>
    <w:p w14:paraId="3E4FA638">
      <w:pPr>
        <w:pStyle w:val="4"/>
        <w:spacing w:before="0" w:after="0" w:line="20" w:lineRule="exact"/>
        <w:rPr>
          <w:rFonts w:hint="eastAsia" w:asciiTheme="minorEastAsia" w:hAnsiTheme="minorEastAsia" w:eastAsiaTheme="minorEastAsia" w:cstheme="minorEastAsia"/>
          <w:b w:val="0"/>
          <w:snapToGrid w:val="0"/>
          <w:color w:val="auto"/>
          <w:highlight w:val="none"/>
        </w:rPr>
      </w:pPr>
    </w:p>
    <w:p w14:paraId="10A886CB">
      <w:pPr>
        <w:pStyle w:val="4"/>
        <w:spacing w:before="0" w:after="0" w:line="200" w:lineRule="exact"/>
        <w:rPr>
          <w:rFonts w:hint="eastAsia" w:asciiTheme="minorEastAsia" w:hAnsiTheme="minorEastAsia" w:eastAsiaTheme="minorEastAsia" w:cstheme="minorEastAsia"/>
          <w:b w:val="0"/>
          <w:snapToGrid w:val="0"/>
          <w:color w:val="auto"/>
          <w:highlight w:val="none"/>
        </w:rPr>
      </w:pPr>
      <w:r>
        <w:rPr>
          <w:rFonts w:hint="eastAsia" w:asciiTheme="minorEastAsia" w:hAnsiTheme="minorEastAsia" w:eastAsiaTheme="minorEastAsia" w:cstheme="minorEastAsia"/>
          <w:b w:val="0"/>
          <w:snapToGrid w:val="0"/>
          <w:color w:val="auto"/>
          <w:highlight w:val="none"/>
        </w:rPr>
        <w:br w:type="page"/>
      </w:r>
    </w:p>
    <w:bookmarkEnd w:id="130"/>
    <w:bookmarkEnd w:id="131"/>
    <w:bookmarkEnd w:id="132"/>
    <w:bookmarkEnd w:id="133"/>
    <w:bookmarkEnd w:id="134"/>
    <w:bookmarkEnd w:id="135"/>
    <w:p w14:paraId="2C47C20F">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36" w:name="_Toc19008"/>
      <w:bookmarkStart w:id="137" w:name="_Toc24172"/>
      <w:r>
        <w:rPr>
          <w:rFonts w:hint="eastAsia" w:asciiTheme="minorEastAsia" w:hAnsiTheme="minorEastAsia" w:eastAsiaTheme="minorEastAsia" w:cstheme="minorEastAsia"/>
          <w:color w:val="auto"/>
          <w:sz w:val="21"/>
          <w:szCs w:val="21"/>
          <w:highlight w:val="none"/>
        </w:rPr>
        <w:t>1.总则</w:t>
      </w:r>
      <w:bookmarkEnd w:id="136"/>
      <w:bookmarkEnd w:id="137"/>
    </w:p>
    <w:p w14:paraId="57EC88A6">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38" w:name="_Toc9752"/>
      <w:bookmarkStart w:id="139" w:name="_Toc293756837"/>
      <w:bookmarkStart w:id="140" w:name="_Toc15688"/>
      <w:bookmarkStart w:id="141" w:name="_Toc293756840"/>
      <w:r>
        <w:rPr>
          <w:rFonts w:hint="eastAsia" w:asciiTheme="minorEastAsia" w:hAnsiTheme="minorEastAsia" w:eastAsiaTheme="minorEastAsia" w:cstheme="minorEastAsia"/>
          <w:color w:val="auto"/>
          <w:sz w:val="21"/>
          <w:szCs w:val="21"/>
          <w:highlight w:val="none"/>
        </w:rPr>
        <w:t>1.1 项目概况</w:t>
      </w:r>
      <w:bookmarkEnd w:id="138"/>
      <w:bookmarkEnd w:id="139"/>
      <w:bookmarkEnd w:id="140"/>
    </w:p>
    <w:p w14:paraId="284321E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1.1.1根据《中华人民共和国招标投标法》等有关法律、法规和规章的规定，本招标项目已具备比选条件，现对本标段服务进行比选。</w:t>
      </w:r>
    </w:p>
    <w:p w14:paraId="3279178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1.1.2 本比选项目比选人、比选代理机构、项目名称、服务地点：见投标人须知前附表。</w:t>
      </w:r>
    </w:p>
    <w:p w14:paraId="6A876F4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1.1.3  本招标项目比选代理机构：见投标人须知前附表。</w:t>
      </w:r>
    </w:p>
    <w:p w14:paraId="68C3DDB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1.1.4  本招标项目名称：见投标人须知前附表。</w:t>
      </w:r>
    </w:p>
    <w:p w14:paraId="3D1D8BC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1.1.5  本招标项目服务地点：见投标人须知前附表。</w:t>
      </w:r>
    </w:p>
    <w:p w14:paraId="3188F48A">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1.1.6  本招标项目建设规模：见投标人须知前附表。</w:t>
      </w:r>
    </w:p>
    <w:p w14:paraId="6E1A2D65">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42" w:name="_Toc30809"/>
      <w:bookmarkStart w:id="143" w:name="_Toc293756838"/>
      <w:bookmarkStart w:id="144" w:name="_Toc5437"/>
      <w:r>
        <w:rPr>
          <w:rFonts w:hint="eastAsia" w:asciiTheme="minorEastAsia" w:hAnsiTheme="minorEastAsia" w:eastAsiaTheme="minorEastAsia" w:cstheme="minorEastAsia"/>
          <w:color w:val="auto"/>
          <w:sz w:val="21"/>
          <w:szCs w:val="21"/>
          <w:highlight w:val="none"/>
        </w:rPr>
        <w:t>1.2 资金来源和落实情况</w:t>
      </w:r>
      <w:bookmarkEnd w:id="142"/>
      <w:bookmarkEnd w:id="143"/>
      <w:bookmarkEnd w:id="144"/>
    </w:p>
    <w:p w14:paraId="7D4C5EAB">
      <w:pPr>
        <w:spacing w:line="360" w:lineRule="auto"/>
        <w:ind w:firstLine="420" w:firstLineChars="200"/>
        <w:rPr>
          <w:rFonts w:hint="eastAsia" w:asciiTheme="minorEastAsia" w:hAnsiTheme="minorEastAsia" w:eastAsiaTheme="minorEastAsia" w:cstheme="minorEastAsia"/>
          <w:color w:val="auto"/>
          <w:szCs w:val="21"/>
          <w:highlight w:val="none"/>
        </w:rPr>
      </w:pPr>
      <w:bookmarkStart w:id="145" w:name="_Toc293756839"/>
      <w:r>
        <w:rPr>
          <w:rFonts w:hint="eastAsia" w:asciiTheme="minorEastAsia" w:hAnsiTheme="minorEastAsia" w:eastAsiaTheme="minorEastAsia" w:cstheme="minorEastAsia"/>
          <w:color w:val="auto"/>
          <w:szCs w:val="21"/>
          <w:highlight w:val="none"/>
        </w:rPr>
        <w:t>1.2.1  本招标项目的资金来源：见投标人须知前附表。</w:t>
      </w:r>
    </w:p>
    <w:p w14:paraId="75D8C45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  本招标项目的出资比例：见投标人须知前附表。</w:t>
      </w:r>
    </w:p>
    <w:p w14:paraId="17F2734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1.2.3  本招标项目的资金落实情况：见投标人须知前附表。</w:t>
      </w:r>
    </w:p>
    <w:p w14:paraId="4B3CA9D4">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46" w:name="_Toc32556"/>
      <w:bookmarkStart w:id="147" w:name="_Toc19957"/>
      <w:r>
        <w:rPr>
          <w:rFonts w:hint="eastAsia" w:asciiTheme="minorEastAsia" w:hAnsiTheme="minorEastAsia" w:eastAsiaTheme="minorEastAsia" w:cstheme="minorEastAsia"/>
          <w:color w:val="auto"/>
          <w:sz w:val="21"/>
          <w:szCs w:val="21"/>
          <w:highlight w:val="none"/>
        </w:rPr>
        <w:t>1.3 比选范围、计划服务期和质量要求</w:t>
      </w:r>
      <w:bookmarkEnd w:id="145"/>
      <w:bookmarkEnd w:id="146"/>
      <w:bookmarkEnd w:id="147"/>
    </w:p>
    <w:p w14:paraId="714C17B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1.3.1  比选范围：见投标人须知前附表。</w:t>
      </w:r>
    </w:p>
    <w:p w14:paraId="0F3677F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1.3.2  计划服务期：见投标人须知前附表。</w:t>
      </w:r>
    </w:p>
    <w:p w14:paraId="37A4DFE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1.3.3  质量要求：见投标人须知前附表。</w:t>
      </w:r>
    </w:p>
    <w:p w14:paraId="4B2F4C7B">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48" w:name="_Toc17870"/>
      <w:bookmarkStart w:id="149" w:name="_Toc9928"/>
      <w:r>
        <w:rPr>
          <w:rFonts w:hint="eastAsia" w:asciiTheme="minorEastAsia" w:hAnsiTheme="minorEastAsia" w:eastAsiaTheme="minorEastAsia" w:cstheme="minorEastAsia"/>
          <w:color w:val="auto"/>
          <w:sz w:val="21"/>
          <w:szCs w:val="21"/>
          <w:highlight w:val="none"/>
        </w:rPr>
        <w:t xml:space="preserve">1.4 </w:t>
      </w:r>
      <w:bookmarkEnd w:id="141"/>
      <w:r>
        <w:rPr>
          <w:rFonts w:hint="eastAsia" w:asciiTheme="minorEastAsia" w:hAnsiTheme="minorEastAsia" w:eastAsiaTheme="minorEastAsia" w:cstheme="minorEastAsia"/>
          <w:color w:val="auto"/>
          <w:sz w:val="21"/>
          <w:szCs w:val="21"/>
          <w:highlight w:val="none"/>
        </w:rPr>
        <w:t>投标人资格要求</w:t>
      </w:r>
      <w:bookmarkEnd w:id="148"/>
      <w:bookmarkEnd w:id="149"/>
    </w:p>
    <w:p w14:paraId="7095EC2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1.4.1 投标人应具备承担本标段服务的资质条件、能力: 见投标人须知前附表。</w:t>
      </w:r>
    </w:p>
    <w:p w14:paraId="4291ED2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资质条件：见投标人须知前附表</w:t>
      </w:r>
    </w:p>
    <w:p w14:paraId="734418E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（2）其他主要管理人员要求：见投标人须知前附表</w:t>
      </w:r>
    </w:p>
    <w:p w14:paraId="167D56E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（3）委托代理人：见投标人须知前附表</w:t>
      </w:r>
    </w:p>
    <w:p w14:paraId="617B99E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（4）其他要求：见投标人须知前附表。</w:t>
      </w:r>
    </w:p>
    <w:p w14:paraId="5DCB554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1.4.2 本次比选不接受联合体。</w:t>
      </w:r>
    </w:p>
    <w:p w14:paraId="5C929CD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1.4.3 投标人不得存在下列情形之一：</w:t>
      </w:r>
    </w:p>
    <w:p w14:paraId="7F98CCF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（1）与比选人存在利害关系可能影响招标公正性的法人、其他组织或者个人；</w:t>
      </w:r>
    </w:p>
    <w:p w14:paraId="23FBCAD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（2）为本标段前期准备提供设计或咨询服务的，但设计施工总承包的除外；</w:t>
      </w:r>
    </w:p>
    <w:p w14:paraId="0DA0787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（3）为本标段的监理人；</w:t>
      </w:r>
    </w:p>
    <w:p w14:paraId="603B0E9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（4）为本标段的代建人；</w:t>
      </w:r>
    </w:p>
    <w:p w14:paraId="54AC16D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（5）为本标段提供比选代理服务的；</w:t>
      </w:r>
    </w:p>
    <w:p w14:paraId="68F426D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（6）与本标段的代建人或比选代理机构同为一个法定代表人的；</w:t>
      </w:r>
    </w:p>
    <w:p w14:paraId="7982FAE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（7）与本标段的代建人或比选代理机构相互控股或参股的；</w:t>
      </w:r>
    </w:p>
    <w:p w14:paraId="30E0EA0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（8）与本标段的代建人或比选代理机构相互任职或工作的；</w:t>
      </w:r>
    </w:p>
    <w:p w14:paraId="3F7EF4A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（9）被责令停业的；</w:t>
      </w:r>
    </w:p>
    <w:p w14:paraId="047D341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（10）被国家、重庆市（含市或任意区县）有关行政部门处以暂停投标资格行政处罚，且在处罚期限内的；</w:t>
      </w:r>
    </w:p>
    <w:p w14:paraId="524331E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（11）财产被接管或冻结的；</w:t>
      </w:r>
    </w:p>
    <w:p w14:paraId="76DDB6C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（12）单位负责人为同一人或者存在控股、管理关系的不同单位，不得在同一标段中同时投标。</w:t>
      </w:r>
    </w:p>
    <w:p w14:paraId="32B96D39">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50" w:name="_Toc5895"/>
      <w:bookmarkStart w:id="151" w:name="_Toc293756841"/>
      <w:bookmarkStart w:id="152" w:name="_Toc4874"/>
      <w:r>
        <w:rPr>
          <w:rFonts w:hint="eastAsia" w:asciiTheme="minorEastAsia" w:hAnsiTheme="minorEastAsia" w:eastAsiaTheme="minorEastAsia" w:cstheme="minorEastAsia"/>
          <w:color w:val="auto"/>
          <w:sz w:val="21"/>
          <w:szCs w:val="21"/>
          <w:highlight w:val="none"/>
        </w:rPr>
        <w:t>1.5 费用承担</w:t>
      </w:r>
      <w:bookmarkEnd w:id="150"/>
      <w:bookmarkEnd w:id="151"/>
      <w:bookmarkEnd w:id="152"/>
    </w:p>
    <w:p w14:paraId="0E9FEC7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投标人准备和参加比选活动发生的费用自理。</w:t>
      </w:r>
    </w:p>
    <w:p w14:paraId="283F5305">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53" w:name="_Toc293756842"/>
      <w:bookmarkStart w:id="154" w:name="_Toc20653"/>
      <w:bookmarkStart w:id="155" w:name="_Toc11009"/>
      <w:r>
        <w:rPr>
          <w:rFonts w:hint="eastAsia" w:asciiTheme="minorEastAsia" w:hAnsiTheme="minorEastAsia" w:eastAsiaTheme="minorEastAsia" w:cstheme="minorEastAsia"/>
          <w:color w:val="auto"/>
          <w:sz w:val="21"/>
          <w:szCs w:val="21"/>
          <w:highlight w:val="none"/>
        </w:rPr>
        <w:t>1.6 保密</w:t>
      </w:r>
      <w:bookmarkEnd w:id="153"/>
      <w:bookmarkEnd w:id="154"/>
      <w:bookmarkEnd w:id="155"/>
    </w:p>
    <w:p w14:paraId="2060ACB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参与比选活动的各方应对比选文件和比选文件中的商业和技术等秘密保密，违者应对由此造成的后果承担法律责任。</w:t>
      </w:r>
    </w:p>
    <w:p w14:paraId="37CF211B">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56" w:name="_Toc18963"/>
      <w:bookmarkStart w:id="157" w:name="_Toc293756843"/>
      <w:bookmarkStart w:id="158" w:name="_Toc1463"/>
      <w:r>
        <w:rPr>
          <w:rFonts w:hint="eastAsia" w:asciiTheme="minorEastAsia" w:hAnsiTheme="minorEastAsia" w:eastAsiaTheme="minorEastAsia" w:cstheme="minorEastAsia"/>
          <w:color w:val="auto"/>
          <w:sz w:val="21"/>
          <w:szCs w:val="21"/>
          <w:highlight w:val="none"/>
        </w:rPr>
        <w:t>1.7 语言文字</w:t>
      </w:r>
      <w:bookmarkEnd w:id="156"/>
      <w:bookmarkEnd w:id="157"/>
      <w:bookmarkEnd w:id="158"/>
    </w:p>
    <w:p w14:paraId="2035D1D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除专用术语外，与比选有关的语言均使用中文。必要时专用术语应附有中文注释。</w:t>
      </w:r>
    </w:p>
    <w:p w14:paraId="4BC0E8F2">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59" w:name="_Toc104"/>
      <w:bookmarkStart w:id="160" w:name="_Toc293756844"/>
      <w:bookmarkStart w:id="161" w:name="_Toc17114"/>
      <w:r>
        <w:rPr>
          <w:rFonts w:hint="eastAsia" w:asciiTheme="minorEastAsia" w:hAnsiTheme="minorEastAsia" w:eastAsiaTheme="minorEastAsia" w:cstheme="minorEastAsia"/>
          <w:color w:val="auto"/>
          <w:sz w:val="21"/>
          <w:szCs w:val="21"/>
          <w:highlight w:val="none"/>
        </w:rPr>
        <w:t>1.8 计量单位</w:t>
      </w:r>
      <w:bookmarkEnd w:id="159"/>
      <w:bookmarkEnd w:id="160"/>
      <w:bookmarkEnd w:id="161"/>
    </w:p>
    <w:p w14:paraId="42B567B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所有计量均采用中华人民共和国法定计量单位。</w:t>
      </w:r>
    </w:p>
    <w:p w14:paraId="44582B6C">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62" w:name="_Toc12321"/>
      <w:bookmarkStart w:id="163" w:name="_Toc2427"/>
      <w:bookmarkStart w:id="164" w:name="_Toc293756845"/>
      <w:r>
        <w:rPr>
          <w:rFonts w:hint="eastAsia" w:asciiTheme="minorEastAsia" w:hAnsiTheme="minorEastAsia" w:eastAsiaTheme="minorEastAsia" w:cstheme="minorEastAsia"/>
          <w:color w:val="auto"/>
          <w:sz w:val="21"/>
          <w:szCs w:val="21"/>
          <w:highlight w:val="none"/>
        </w:rPr>
        <w:t>1.9 踏勘现场</w:t>
      </w:r>
      <w:bookmarkEnd w:id="162"/>
      <w:bookmarkEnd w:id="163"/>
      <w:bookmarkEnd w:id="164"/>
    </w:p>
    <w:p w14:paraId="0586AF9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1.9.1  投标人须知前附表规定组织踏勘现场的，比选人按投标人须知前附表规定的时间、 地点组织投标人踏勘项目现场。</w:t>
      </w:r>
    </w:p>
    <w:p w14:paraId="1B0A25A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1.9.2  投标人踏勘现场发生的费用自理。</w:t>
      </w:r>
    </w:p>
    <w:p w14:paraId="6F52E7D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1.9.3  除比选人的原因外，投标人自行负责在踏勘现场中所发生的人员伤亡和财产损失。</w:t>
      </w:r>
    </w:p>
    <w:p w14:paraId="5A95B03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1.9.4  比选人在踏勘现场中介绍的服务场地和相关的周边环境情况，供投标人在编制投标文件时参考，比选人不对投标人据此做出的判断和决策负责。</w:t>
      </w:r>
    </w:p>
    <w:p w14:paraId="3B974C1C">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65" w:name="_Toc293756846"/>
      <w:bookmarkStart w:id="166" w:name="_Toc3560"/>
      <w:bookmarkStart w:id="167" w:name="_Toc30203"/>
      <w:r>
        <w:rPr>
          <w:rFonts w:hint="eastAsia" w:asciiTheme="minorEastAsia" w:hAnsiTheme="minorEastAsia" w:eastAsiaTheme="minorEastAsia" w:cstheme="minorEastAsia"/>
          <w:color w:val="auto"/>
          <w:sz w:val="21"/>
          <w:szCs w:val="21"/>
          <w:highlight w:val="none"/>
        </w:rPr>
        <w:t>1.10 比选预备会</w:t>
      </w:r>
      <w:bookmarkEnd w:id="165"/>
      <w:bookmarkEnd w:id="166"/>
      <w:bookmarkEnd w:id="167"/>
    </w:p>
    <w:p w14:paraId="364FA53D">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1.10.1  投标人须知前附表规定召开投标预备会的，比选人按投标人须知前附表规定的时间和地点召开投标预备会，澄清投标人提出的问题。</w:t>
      </w:r>
    </w:p>
    <w:p w14:paraId="2882F18C">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1.10.2  投标人应在投标人须知前附表</w:t>
      </w:r>
      <w:r>
        <w:rPr>
          <w:rFonts w:hint="eastAsia" w:asciiTheme="minorEastAsia" w:hAnsiTheme="minorEastAsia" w:eastAsiaTheme="minorEastAsia" w:cstheme="minorEastAsia"/>
          <w:color w:val="auto"/>
          <w:kern w:val="0"/>
          <w:szCs w:val="21"/>
          <w:highlight w:val="none"/>
        </w:rPr>
        <w:t>2.2.4</w:t>
      </w:r>
      <w:r>
        <w:rPr>
          <w:rFonts w:hint="eastAsia" w:asciiTheme="minorEastAsia" w:hAnsiTheme="minorEastAsia" w:eastAsiaTheme="minorEastAsia" w:cstheme="minorEastAsia"/>
          <w:snapToGrid w:val="0"/>
          <w:color w:val="auto"/>
          <w:kern w:val="0"/>
          <w:szCs w:val="21"/>
          <w:highlight w:val="none"/>
        </w:rPr>
        <w:t>规定的时间前，以书面形式将提出的问题送达比选人，以便比选人澄清。</w:t>
      </w:r>
    </w:p>
    <w:p w14:paraId="4279604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snapToGrid w:val="0"/>
          <w:color w:val="auto"/>
          <w:kern w:val="0"/>
          <w:szCs w:val="21"/>
          <w:highlight w:val="none"/>
        </w:rPr>
        <w:t>1.10.3  比选人在投标人须知前附表规定的时间内，将对投标人所提</w:t>
      </w:r>
      <w:r>
        <w:rPr>
          <w:rFonts w:hint="eastAsia" w:asciiTheme="minorEastAsia" w:hAnsiTheme="minorEastAsia" w:eastAsiaTheme="minorEastAsia" w:cstheme="minorEastAsia"/>
          <w:snapToGrid w:val="0"/>
          <w:color w:val="auto"/>
          <w:kern w:val="0"/>
          <w:position w:val="-2"/>
          <w:szCs w:val="21"/>
          <w:highlight w:val="none"/>
        </w:rPr>
        <w:t>的</w:t>
      </w:r>
      <w:r>
        <w:rPr>
          <w:rFonts w:hint="eastAsia" w:asciiTheme="minorEastAsia" w:hAnsiTheme="minorEastAsia" w:eastAsiaTheme="minorEastAsia" w:cstheme="minorEastAsia"/>
          <w:snapToGrid w:val="0"/>
          <w:color w:val="auto"/>
          <w:kern w:val="0"/>
          <w:szCs w:val="21"/>
          <w:highlight w:val="none"/>
        </w:rPr>
        <w:t>问题</w:t>
      </w:r>
      <w:r>
        <w:rPr>
          <w:rFonts w:hint="eastAsia" w:asciiTheme="minorEastAsia" w:hAnsiTheme="minorEastAsia" w:eastAsiaTheme="minorEastAsia" w:cstheme="minorEastAsia"/>
          <w:snapToGrid w:val="0"/>
          <w:color w:val="auto"/>
          <w:kern w:val="0"/>
          <w:position w:val="-2"/>
          <w:szCs w:val="21"/>
          <w:highlight w:val="none"/>
        </w:rPr>
        <w:t>进行澄清。该澄清内容为比选文件的组成部分。</w:t>
      </w:r>
    </w:p>
    <w:p w14:paraId="456F4428">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68" w:name="_Toc2223"/>
      <w:bookmarkStart w:id="169" w:name="_Toc293756847"/>
      <w:bookmarkStart w:id="170" w:name="_Toc13696"/>
      <w:r>
        <w:rPr>
          <w:rFonts w:hint="eastAsia" w:asciiTheme="minorEastAsia" w:hAnsiTheme="minorEastAsia" w:eastAsiaTheme="minorEastAsia" w:cstheme="minorEastAsia"/>
          <w:color w:val="auto"/>
          <w:sz w:val="21"/>
          <w:szCs w:val="21"/>
          <w:highlight w:val="none"/>
        </w:rPr>
        <w:t>1.11 分包</w:t>
      </w:r>
      <w:bookmarkEnd w:id="168"/>
      <w:bookmarkEnd w:id="169"/>
      <w:bookmarkEnd w:id="170"/>
    </w:p>
    <w:p w14:paraId="58968D7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不允许。</w:t>
      </w:r>
    </w:p>
    <w:p w14:paraId="22BF083F">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1.12 偏离</w:t>
      </w:r>
    </w:p>
    <w:p w14:paraId="15AC1AD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投标人须知前附表允许投标文件偏离比选文件某些要求的，偏离应当符合比选文件规定的偏离范围和幅度。</w:t>
      </w:r>
    </w:p>
    <w:p w14:paraId="068DE480">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71" w:name="_Toc21334"/>
      <w:bookmarkStart w:id="172" w:name="_Toc3385"/>
      <w:r>
        <w:rPr>
          <w:rFonts w:hint="eastAsia" w:asciiTheme="minorEastAsia" w:hAnsiTheme="minorEastAsia" w:eastAsiaTheme="minorEastAsia" w:cstheme="minorEastAsia"/>
          <w:color w:val="auto"/>
          <w:sz w:val="21"/>
          <w:szCs w:val="21"/>
          <w:highlight w:val="none"/>
        </w:rPr>
        <w:t>2.比选文件</w:t>
      </w:r>
      <w:bookmarkEnd w:id="171"/>
      <w:bookmarkEnd w:id="172"/>
    </w:p>
    <w:p w14:paraId="0C83BFCB">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73" w:name="_Toc25177"/>
      <w:bookmarkStart w:id="174" w:name="_Toc19819"/>
      <w:bookmarkStart w:id="175" w:name="_Toc293756848"/>
      <w:r>
        <w:rPr>
          <w:rFonts w:hint="eastAsia" w:asciiTheme="minorEastAsia" w:hAnsiTheme="minorEastAsia" w:eastAsiaTheme="minorEastAsia" w:cstheme="minorEastAsia"/>
          <w:color w:val="auto"/>
          <w:sz w:val="21"/>
          <w:szCs w:val="21"/>
          <w:highlight w:val="none"/>
        </w:rPr>
        <w:t>2.1比选文件的组成</w:t>
      </w:r>
      <w:bookmarkEnd w:id="173"/>
      <w:bookmarkEnd w:id="174"/>
      <w:bookmarkEnd w:id="175"/>
    </w:p>
    <w:p w14:paraId="3561988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本比选文件包括：</w:t>
      </w:r>
    </w:p>
    <w:p w14:paraId="7C262FD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（1）比选公告；</w:t>
      </w:r>
    </w:p>
    <w:p w14:paraId="6006240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（2）投标人须知；</w:t>
      </w:r>
    </w:p>
    <w:p w14:paraId="66A1AB3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（3）评标办法；</w:t>
      </w:r>
    </w:p>
    <w:p w14:paraId="6332221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（4）合同条款及格式；</w:t>
      </w:r>
    </w:p>
    <w:p w14:paraId="1551ABC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（5）技术标准和要求；</w:t>
      </w:r>
    </w:p>
    <w:p w14:paraId="79380E0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（6）投标文件格式；</w:t>
      </w:r>
    </w:p>
    <w:p w14:paraId="767F958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（7）投标人须知前附表规定的其他材料。</w:t>
      </w:r>
    </w:p>
    <w:p w14:paraId="1798850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根据本章第1.10 款、第2.2 款和第2.3 款对比选文件所作的澄清、修改，构成比选文件的组成部分。</w:t>
      </w:r>
    </w:p>
    <w:p w14:paraId="51336848">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76" w:name="_Toc24087"/>
      <w:bookmarkStart w:id="177" w:name="_Toc293756849"/>
      <w:bookmarkStart w:id="178" w:name="_Toc17073"/>
      <w:r>
        <w:rPr>
          <w:rFonts w:hint="eastAsia" w:asciiTheme="minorEastAsia" w:hAnsiTheme="minorEastAsia" w:eastAsiaTheme="minorEastAsia" w:cstheme="minorEastAsia"/>
          <w:color w:val="auto"/>
          <w:sz w:val="21"/>
          <w:szCs w:val="21"/>
          <w:highlight w:val="none"/>
        </w:rPr>
        <w:t>2.2比选文件的澄清</w:t>
      </w:r>
      <w:bookmarkEnd w:id="176"/>
      <w:bookmarkEnd w:id="177"/>
      <w:bookmarkEnd w:id="178"/>
    </w:p>
    <w:p w14:paraId="3C3461B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2.2.1 投标人应仔细阅读和检查比选文件的全部内容。如发现缺页或附件不全，应及时向比选人提出，以便补齐。如有疑问，应在投标人须知前附表规定的时间前</w:t>
      </w:r>
      <w:r>
        <w:rPr>
          <w:rFonts w:hint="eastAsia" w:asciiTheme="minorEastAsia" w:hAnsiTheme="minorEastAsia" w:eastAsiaTheme="minorEastAsia" w:cstheme="minorEastAsia"/>
          <w:color w:val="auto"/>
          <w:kern w:val="0"/>
          <w:szCs w:val="21"/>
          <w:highlight w:val="none"/>
        </w:rPr>
        <w:t>在比选公告规定的时间前</w:t>
      </w:r>
      <w:r>
        <w:rPr>
          <w:rFonts w:hint="eastAsia" w:asciiTheme="minorEastAsia" w:hAnsiTheme="minorEastAsia" w:eastAsiaTheme="minorEastAsia" w:cstheme="minorEastAsia"/>
          <w:snapToGrid w:val="0"/>
          <w:color w:val="auto"/>
          <w:kern w:val="0"/>
          <w:szCs w:val="21"/>
          <w:highlight w:val="none"/>
        </w:rPr>
        <w:t>向代理机构或比选人提出疑问（纸质形式）</w:t>
      </w:r>
      <w:r>
        <w:rPr>
          <w:rFonts w:hint="eastAsia" w:asciiTheme="minorEastAsia" w:hAnsiTheme="minorEastAsia" w:eastAsiaTheme="minorEastAsia" w:cstheme="minorEastAsia"/>
          <w:color w:val="auto"/>
          <w:szCs w:val="21"/>
          <w:highlight w:val="none"/>
        </w:rPr>
        <w:t>，要求比选人对比选文件予以澄清。</w:t>
      </w:r>
    </w:p>
    <w:p w14:paraId="4096190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2.2.2  比选文件的澄清将在投标人须知前附表规定的投标截止时间2天前在行采家(https://www.gec123.com/）、</w:t>
      </w:r>
      <w:r>
        <w:rPr>
          <w:rFonts w:hint="eastAsia" w:asciiTheme="minorEastAsia" w:hAnsiTheme="minorEastAsia" w:eastAsiaTheme="minorEastAsia" w:cstheme="minorEastAsia"/>
          <w:snapToGrid w:val="0"/>
          <w:color w:val="auto"/>
          <w:kern w:val="0"/>
          <w:szCs w:val="21"/>
          <w:highlight w:val="none"/>
        </w:rPr>
        <w:t>重庆广阳湾生态城投资发展集团有限公司官网（http://cq-gyw.com/）</w:t>
      </w:r>
      <w:r>
        <w:rPr>
          <w:rFonts w:hint="eastAsia" w:asciiTheme="minorEastAsia" w:hAnsiTheme="minorEastAsia" w:eastAsiaTheme="minorEastAsia" w:cstheme="minorEastAsia"/>
          <w:color w:val="auto"/>
          <w:szCs w:val="21"/>
          <w:highlight w:val="none"/>
        </w:rPr>
        <w:t>发布，但不指明澄清问题的来源。如果澄清发出的时间距投标截止时间不足2天，相应延长投标截止时间。</w:t>
      </w:r>
    </w:p>
    <w:p w14:paraId="594AF01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2.2.3  比选人对比选文件的修改内容可能影响投标文件编制的，须在投标截止时间2日前发布，发布时间至投标截止时间不足2日的，须相应延后投标截止时间。</w:t>
      </w:r>
    </w:p>
    <w:p w14:paraId="2AE8A3CE">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79" w:name="_Toc18491"/>
      <w:bookmarkStart w:id="180" w:name="_Toc25781"/>
      <w:bookmarkStart w:id="181" w:name="_Toc293756850"/>
      <w:r>
        <w:rPr>
          <w:rFonts w:hint="eastAsia" w:asciiTheme="minorEastAsia" w:hAnsiTheme="minorEastAsia" w:eastAsiaTheme="minorEastAsia" w:cstheme="minorEastAsia"/>
          <w:color w:val="auto"/>
          <w:sz w:val="21"/>
          <w:szCs w:val="21"/>
          <w:highlight w:val="none"/>
        </w:rPr>
        <w:t>2.3比选文件的修改</w:t>
      </w:r>
      <w:bookmarkEnd w:id="179"/>
      <w:bookmarkEnd w:id="180"/>
      <w:bookmarkEnd w:id="181"/>
    </w:p>
    <w:p w14:paraId="39E0D15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按照本章2.2比选文件的澄清相关内容及方式执行。</w:t>
      </w:r>
    </w:p>
    <w:p w14:paraId="00CB65E7">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82" w:name="_Toc17803"/>
      <w:bookmarkStart w:id="183" w:name="_Toc13298"/>
      <w:bookmarkStart w:id="184" w:name="_Toc293756851"/>
      <w:r>
        <w:rPr>
          <w:rFonts w:hint="eastAsia" w:asciiTheme="minorEastAsia" w:hAnsiTheme="minorEastAsia" w:eastAsiaTheme="minorEastAsia" w:cstheme="minorEastAsia"/>
          <w:color w:val="auto"/>
          <w:sz w:val="21"/>
          <w:szCs w:val="21"/>
          <w:highlight w:val="none"/>
        </w:rPr>
        <w:t>3. 投标文件</w:t>
      </w:r>
      <w:bookmarkEnd w:id="182"/>
      <w:bookmarkEnd w:id="183"/>
      <w:bookmarkEnd w:id="184"/>
    </w:p>
    <w:p w14:paraId="1610EEFD">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85" w:name="_Toc10706"/>
      <w:bookmarkStart w:id="186" w:name="_Toc27406"/>
      <w:bookmarkStart w:id="187" w:name="_Toc293756852"/>
      <w:r>
        <w:rPr>
          <w:rFonts w:hint="eastAsia" w:asciiTheme="minorEastAsia" w:hAnsiTheme="minorEastAsia" w:eastAsiaTheme="minorEastAsia" w:cstheme="minorEastAsia"/>
          <w:color w:val="auto"/>
          <w:sz w:val="21"/>
          <w:szCs w:val="21"/>
          <w:highlight w:val="none"/>
        </w:rPr>
        <w:t>3.1 投标文件的组成</w:t>
      </w:r>
      <w:bookmarkEnd w:id="185"/>
      <w:bookmarkEnd w:id="186"/>
      <w:bookmarkEnd w:id="187"/>
    </w:p>
    <w:p w14:paraId="22AD2FD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3.1.1 投标文件应包括下列内容：</w:t>
      </w:r>
    </w:p>
    <w:p w14:paraId="6911E8F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（1）竞选函；</w:t>
      </w:r>
    </w:p>
    <w:p w14:paraId="6F24473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（2）法定代表人身份证明或附有法定代表人身份证明的授权委托书；</w:t>
      </w:r>
    </w:p>
    <w:p w14:paraId="5DCC7FD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（3）项目拟派人员；</w:t>
      </w:r>
    </w:p>
    <w:p w14:paraId="09512EF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（4）类似项目情况表；</w:t>
      </w:r>
    </w:p>
    <w:p w14:paraId="0A8303F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（5）承诺；</w:t>
      </w:r>
    </w:p>
    <w:p w14:paraId="5F3AB1A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（6）技术方案；</w:t>
      </w:r>
    </w:p>
    <w:p w14:paraId="69BD441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（7）其他资料；</w:t>
      </w:r>
    </w:p>
    <w:p w14:paraId="1CEA98C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（8）投标人须知前附表规定的其他材料。</w:t>
      </w:r>
    </w:p>
    <w:p w14:paraId="6EF2C88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3.1.2  投标人须知前附表规定不接受联合体投标的，或投标人没有组成联合体的，投标文件不包括本章第3.1.1（3）目所指的联合体协议书。</w:t>
      </w:r>
    </w:p>
    <w:p w14:paraId="7303C785">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88" w:name="_Toc31235"/>
      <w:bookmarkStart w:id="189" w:name="_Toc18735"/>
      <w:r>
        <w:rPr>
          <w:rFonts w:hint="eastAsia" w:asciiTheme="minorEastAsia" w:hAnsiTheme="minorEastAsia" w:eastAsiaTheme="minorEastAsia" w:cstheme="minorEastAsia"/>
          <w:color w:val="auto"/>
          <w:sz w:val="21"/>
          <w:szCs w:val="21"/>
          <w:highlight w:val="none"/>
        </w:rPr>
        <w:t>3.2 比选报价</w:t>
      </w:r>
      <w:bookmarkEnd w:id="188"/>
      <w:bookmarkEnd w:id="189"/>
    </w:p>
    <w:p w14:paraId="730A297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3.2.1  投标人应按比选文件要求填写相应表格。</w:t>
      </w:r>
    </w:p>
    <w:p w14:paraId="67E650BD">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90" w:name="_Toc3741"/>
      <w:bookmarkStart w:id="191" w:name="_Toc7504"/>
      <w:r>
        <w:rPr>
          <w:rFonts w:hint="eastAsia" w:asciiTheme="minorEastAsia" w:hAnsiTheme="minorEastAsia" w:eastAsiaTheme="minorEastAsia" w:cstheme="minorEastAsia"/>
          <w:color w:val="auto"/>
          <w:sz w:val="21"/>
          <w:szCs w:val="21"/>
          <w:highlight w:val="none"/>
        </w:rPr>
        <w:t>3.3  投标有效期</w:t>
      </w:r>
      <w:bookmarkEnd w:id="190"/>
      <w:bookmarkEnd w:id="191"/>
    </w:p>
    <w:p w14:paraId="09B442A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3.3.1  在投标人须知前附表规定的投标有效期内，投标人不得要求撤销或修改其投标文件。</w:t>
      </w:r>
    </w:p>
    <w:p w14:paraId="636D819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3.3.2  出现特殊情况需要延长投标有效期的，比选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B107868">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92" w:name="_Toc8270"/>
      <w:bookmarkStart w:id="193" w:name="_Toc5887"/>
      <w:bookmarkStart w:id="194" w:name="_Toc293756853"/>
      <w:r>
        <w:rPr>
          <w:rFonts w:hint="eastAsia" w:asciiTheme="minorEastAsia" w:hAnsiTheme="minorEastAsia" w:eastAsiaTheme="minorEastAsia" w:cstheme="minorEastAsia"/>
          <w:color w:val="auto"/>
          <w:sz w:val="21"/>
          <w:szCs w:val="21"/>
          <w:highlight w:val="none"/>
        </w:rPr>
        <w:t>3.4 比选保证金</w:t>
      </w:r>
      <w:bookmarkEnd w:id="192"/>
      <w:bookmarkEnd w:id="193"/>
      <w:bookmarkEnd w:id="194"/>
    </w:p>
    <w:p w14:paraId="41E81AB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3.4.1 投标人在递交投标文件的同时，应按投标人须知前附表规定的比选保证金金额、比选保证金缴纳形式及要求，缴纳比选保证金，并作为其投标文件的组成部分。</w:t>
      </w:r>
    </w:p>
    <w:p w14:paraId="00562F9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3.4.2 投标人不按本章第3.4.1 项要求提交比选保证金的，其投标文件作否决投标处理。</w:t>
      </w:r>
    </w:p>
    <w:p w14:paraId="056D259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3.4.3 投标保证金退还：见投标人须知前附表。</w:t>
      </w:r>
    </w:p>
    <w:p w14:paraId="4747513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（1）投标人在规定的投标有效期内撤销或修改其投标文件；</w:t>
      </w:r>
    </w:p>
    <w:p w14:paraId="1602B66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（2）中标人在收到中标通知书后，无正当理由拒签合同协议书或未按比选文件规定提交履约担保；</w:t>
      </w:r>
    </w:p>
    <w:p w14:paraId="011B785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（3）违反本章9.2条对投标人的纪律要求的；</w:t>
      </w:r>
    </w:p>
    <w:p w14:paraId="15E35D1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（4）法律法规和本比选文件规定的其他情形。</w:t>
      </w:r>
    </w:p>
    <w:p w14:paraId="4E76445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3.4.5（1）投标保证金为无条件担保；</w:t>
      </w:r>
    </w:p>
    <w:p w14:paraId="2A29C4C5">
      <w:pPr>
        <w:spacing w:line="360" w:lineRule="auto"/>
        <w:ind w:firstLine="1050" w:firstLineChars="5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（2）投标保证金的受益人为比选人。</w:t>
      </w:r>
    </w:p>
    <w:p w14:paraId="1F6E8A0B">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95" w:name="_Toc293756854"/>
      <w:bookmarkStart w:id="196" w:name="_Toc24991"/>
      <w:bookmarkStart w:id="197" w:name="_Toc250"/>
      <w:r>
        <w:rPr>
          <w:rFonts w:hint="eastAsia" w:asciiTheme="minorEastAsia" w:hAnsiTheme="minorEastAsia" w:eastAsiaTheme="minorEastAsia" w:cstheme="minorEastAsia"/>
          <w:color w:val="auto"/>
          <w:sz w:val="21"/>
          <w:szCs w:val="21"/>
          <w:highlight w:val="none"/>
        </w:rPr>
        <w:t>3.5 资格审查资料</w:t>
      </w:r>
      <w:bookmarkEnd w:id="195"/>
      <w:bookmarkEnd w:id="196"/>
      <w:bookmarkEnd w:id="197"/>
    </w:p>
    <w:p w14:paraId="6EB27E9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须在递交投标文件的同时将投标人须知前附表1.4.1中要求的原件一次性提交，评标委员会审查时必须对有关证明和证件的原件核查，若经审查复印件与原件不一致，或未提交原件的，则投标文件作否决投标处理。</w:t>
      </w:r>
    </w:p>
    <w:p w14:paraId="50B05D3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联合体投标的，详见投标人须知前附表联合体投标相关内容。</w:t>
      </w:r>
    </w:p>
    <w:p w14:paraId="18F4334A">
      <w:pPr>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3.6 备选比选方案</w:t>
      </w:r>
    </w:p>
    <w:p w14:paraId="6B60557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除投标人须知前附表另有规定外，投标人不得递交备选比选方案。允许投标人递交备选投标方案的，只有中标人所递交的备选投标方案方可予以考虑。评标委员会认为中标人的备选投标方案优于其按照比选文件要求编制的投标方案的，比选人可以接受该备选比选方案。</w:t>
      </w:r>
    </w:p>
    <w:p w14:paraId="69BC20FB">
      <w:pPr>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3.7 投标文件的编制</w:t>
      </w:r>
    </w:p>
    <w:p w14:paraId="714A1A2B">
      <w:pPr>
        <w:spacing w:line="360" w:lineRule="auto"/>
        <w:ind w:firstLine="420" w:firstLineChars="200"/>
        <w:rPr>
          <w:rFonts w:hint="eastAsia" w:asciiTheme="minorEastAsia" w:hAnsiTheme="minorEastAsia" w:eastAsiaTheme="minorEastAsia" w:cstheme="minorEastAsia"/>
          <w:color w:val="auto"/>
          <w:szCs w:val="21"/>
          <w:highlight w:val="none"/>
        </w:rPr>
      </w:pPr>
      <w:bookmarkStart w:id="198" w:name="_Toc293756855"/>
      <w:r>
        <w:rPr>
          <w:rFonts w:hint="eastAsia" w:asciiTheme="minorEastAsia" w:hAnsiTheme="minorEastAsia" w:eastAsiaTheme="minorEastAsia" w:cstheme="minorEastAsia"/>
          <w:color w:val="auto"/>
          <w:szCs w:val="21"/>
          <w:highlight w:val="none"/>
        </w:rPr>
        <w:t>3.7.1  投标文件应按第六章“投标文件格式”进行编写，如有必要，可以增加附页，作为投标文件的组成部分。其中，投标函附录在满足比选文件实质性要求的基础上，可以提出比比选文件要求更有利于比选人的承诺。</w:t>
      </w:r>
    </w:p>
    <w:p w14:paraId="42DACD6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3.7.2  投标文件应当对比选文件有关工期、投标有效期、质量要求、技术标准和要求、比选范围等实质性内容做出响应。</w:t>
      </w:r>
    </w:p>
    <w:p w14:paraId="5F076DF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3.7.3  投标文件的签字盖章要求：按本章投标人须知前附表第3.7.3项执行。</w:t>
      </w:r>
    </w:p>
    <w:p w14:paraId="3B13873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3.7.4  投标文件的份数见投标人须知前附表。《技术部分》不分正副本，正本和副本的封面上应清楚地标记“正本”或“副本”的字样，正本和副本封面均须加盖单位法人章，否则作否决投标处理。当副本和正本不一致时，以正本为准。</w:t>
      </w:r>
    </w:p>
    <w:p w14:paraId="7737DA1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3.7.5  投标文件的正本与副本应分别装订成册，并编制目录，具体装订要求见投标人须知前附表规定。</w:t>
      </w:r>
    </w:p>
    <w:p w14:paraId="34B6A7A1">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199" w:name="_Toc29539"/>
      <w:bookmarkStart w:id="200" w:name="_Toc10924"/>
      <w:r>
        <w:rPr>
          <w:rFonts w:hint="eastAsia" w:asciiTheme="minorEastAsia" w:hAnsiTheme="minorEastAsia" w:eastAsiaTheme="minorEastAsia" w:cstheme="minorEastAsia"/>
          <w:color w:val="auto"/>
          <w:sz w:val="21"/>
          <w:szCs w:val="21"/>
          <w:highlight w:val="none"/>
        </w:rPr>
        <w:t xml:space="preserve">4. </w:t>
      </w:r>
      <w:bookmarkEnd w:id="198"/>
      <w:r>
        <w:rPr>
          <w:rFonts w:hint="eastAsia" w:asciiTheme="minorEastAsia" w:hAnsiTheme="minorEastAsia" w:eastAsiaTheme="minorEastAsia" w:cstheme="minorEastAsia"/>
          <w:color w:val="auto"/>
          <w:sz w:val="21"/>
          <w:szCs w:val="21"/>
          <w:highlight w:val="none"/>
        </w:rPr>
        <w:t>投标文件的递交等</w:t>
      </w:r>
      <w:bookmarkEnd w:id="199"/>
      <w:bookmarkEnd w:id="200"/>
    </w:p>
    <w:p w14:paraId="5E49AE51">
      <w:pPr>
        <w:pStyle w:val="5"/>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01" w:name="_Toc25512"/>
      <w:bookmarkStart w:id="202" w:name="_Toc24345"/>
      <w:bookmarkStart w:id="203" w:name="_Toc293756856"/>
      <w:r>
        <w:rPr>
          <w:rFonts w:hint="eastAsia" w:asciiTheme="minorEastAsia" w:hAnsiTheme="minorEastAsia" w:eastAsiaTheme="minorEastAsia" w:cstheme="minorEastAsia"/>
          <w:color w:val="auto"/>
          <w:sz w:val="21"/>
          <w:szCs w:val="21"/>
          <w:highlight w:val="none"/>
        </w:rPr>
        <w:t>4.1 投标文件的密封和标记</w:t>
      </w:r>
      <w:bookmarkEnd w:id="201"/>
      <w:bookmarkEnd w:id="202"/>
      <w:bookmarkEnd w:id="203"/>
    </w:p>
    <w:p w14:paraId="4BB149A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4.1.1  投标文件的正本与副本密封见投标人须知前附表。</w:t>
      </w:r>
    </w:p>
    <w:p w14:paraId="6B6402B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4.1.2  投标文件的封套上应写明的内容见投标人须知前附表。</w:t>
      </w:r>
    </w:p>
    <w:p w14:paraId="76C8AE9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4.1.3  未按本章第 4.1项要求密封的投标文件，比选人不予受理。</w:t>
      </w:r>
    </w:p>
    <w:p w14:paraId="0BDE088F">
      <w:pPr>
        <w:pStyle w:val="5"/>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04" w:name="_Toc2798"/>
      <w:bookmarkStart w:id="205" w:name="_Toc5921"/>
      <w:bookmarkStart w:id="206" w:name="_Toc293756857"/>
      <w:r>
        <w:rPr>
          <w:rFonts w:hint="eastAsia" w:asciiTheme="minorEastAsia" w:hAnsiTheme="minorEastAsia" w:eastAsiaTheme="minorEastAsia" w:cstheme="minorEastAsia"/>
          <w:color w:val="auto"/>
          <w:sz w:val="21"/>
          <w:szCs w:val="21"/>
          <w:highlight w:val="none"/>
        </w:rPr>
        <w:t>4.2 投标文件的递交</w:t>
      </w:r>
      <w:bookmarkEnd w:id="204"/>
      <w:bookmarkEnd w:id="205"/>
      <w:bookmarkEnd w:id="206"/>
    </w:p>
    <w:p w14:paraId="5FFB109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4.2.1 投标人应按本章投标人须知前附表第2.2.2项规定的时间递交投标文件。</w:t>
      </w:r>
    </w:p>
    <w:p w14:paraId="3DB95FD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4.2.2 投标人递交投标文件的地点：见投标人须知前附表。</w:t>
      </w:r>
    </w:p>
    <w:p w14:paraId="0B9F21F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4.2.3 除投标人须知前附表另有规定外，投标人所递交的投标文件不予退还。</w:t>
      </w:r>
    </w:p>
    <w:p w14:paraId="72E6A63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4.2.4 逾期送达的或者未送达指定地点的投标文件，比选人不予受理。</w:t>
      </w:r>
    </w:p>
    <w:p w14:paraId="15829F1D">
      <w:pPr>
        <w:pStyle w:val="5"/>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07" w:name="_Toc8954"/>
      <w:bookmarkStart w:id="208" w:name="_Toc288"/>
      <w:bookmarkStart w:id="209" w:name="_Toc293756858"/>
      <w:r>
        <w:rPr>
          <w:rFonts w:hint="eastAsia" w:asciiTheme="minorEastAsia" w:hAnsiTheme="minorEastAsia" w:eastAsiaTheme="minorEastAsia" w:cstheme="minorEastAsia"/>
          <w:color w:val="auto"/>
          <w:sz w:val="21"/>
          <w:szCs w:val="21"/>
          <w:highlight w:val="none"/>
        </w:rPr>
        <w:t>4.3 投标文件的修改与撤回</w:t>
      </w:r>
      <w:bookmarkEnd w:id="207"/>
      <w:bookmarkEnd w:id="208"/>
      <w:bookmarkEnd w:id="209"/>
    </w:p>
    <w:p w14:paraId="4F1ED20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4.3.1 在本章投标人须知前附表第2.2.2项规定的比选截止时间前，投标人可以修改或撤回已递交的投标文件，但应以书面形式通知比选人。</w:t>
      </w:r>
    </w:p>
    <w:p w14:paraId="6C6B729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4.3.2 投标人修改或撤回已递交投标文件的书面通知应按照本章第3.7.3 项的要求签字或盖章。比选人收到书面通知后，向投标人出具签收凭证。</w:t>
      </w:r>
    </w:p>
    <w:p w14:paraId="7117D8D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4.3.3 修改的内容为投标文件的组成部分。修改的投标文件应按照本章第3 条、第4 条规定进行编制、密封、标记和递交，并标明“修改”字样。</w:t>
      </w:r>
    </w:p>
    <w:p w14:paraId="3AE726D8">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210" w:name="_Toc293756859"/>
      <w:bookmarkStart w:id="211" w:name="_Toc29290"/>
      <w:bookmarkStart w:id="212" w:name="_Toc13137"/>
      <w:r>
        <w:rPr>
          <w:rFonts w:hint="eastAsia" w:asciiTheme="minorEastAsia" w:hAnsiTheme="minorEastAsia" w:eastAsiaTheme="minorEastAsia" w:cstheme="minorEastAsia"/>
          <w:color w:val="auto"/>
          <w:sz w:val="21"/>
          <w:szCs w:val="21"/>
          <w:highlight w:val="none"/>
        </w:rPr>
        <w:t xml:space="preserve">5. </w:t>
      </w:r>
      <w:bookmarkEnd w:id="210"/>
      <w:r>
        <w:rPr>
          <w:rFonts w:hint="eastAsia" w:asciiTheme="minorEastAsia" w:hAnsiTheme="minorEastAsia" w:eastAsiaTheme="minorEastAsia" w:cstheme="minorEastAsia"/>
          <w:color w:val="auto"/>
          <w:sz w:val="21"/>
          <w:szCs w:val="21"/>
          <w:highlight w:val="none"/>
        </w:rPr>
        <w:t>比选</w:t>
      </w:r>
      <w:bookmarkEnd w:id="211"/>
      <w:bookmarkEnd w:id="212"/>
    </w:p>
    <w:p w14:paraId="50CA0BDA">
      <w:pPr>
        <w:pStyle w:val="5"/>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13" w:name="_Toc293756860"/>
      <w:bookmarkStart w:id="214" w:name="_Toc14237"/>
      <w:bookmarkStart w:id="215" w:name="_Toc6939"/>
      <w:r>
        <w:rPr>
          <w:rFonts w:hint="eastAsia" w:asciiTheme="minorEastAsia" w:hAnsiTheme="minorEastAsia" w:eastAsiaTheme="minorEastAsia" w:cstheme="minorEastAsia"/>
          <w:color w:val="auto"/>
          <w:sz w:val="21"/>
          <w:szCs w:val="21"/>
          <w:highlight w:val="none"/>
        </w:rPr>
        <w:t>5.1 比选时间和地点</w:t>
      </w:r>
      <w:bookmarkEnd w:id="213"/>
      <w:bookmarkEnd w:id="214"/>
      <w:bookmarkEnd w:id="215"/>
    </w:p>
    <w:p w14:paraId="72358CC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比选人在投标人须知前附表第 2.2.2 项规定的投标截止时间（开标时间）和投标人须知前附表规定的地点公开开标，并邀请所有投标人的法定代表人或其委托代理人准时参加。</w:t>
      </w:r>
    </w:p>
    <w:p w14:paraId="0B676FD0">
      <w:pPr>
        <w:pStyle w:val="5"/>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16" w:name="_Toc293756861"/>
      <w:bookmarkStart w:id="217" w:name="_Toc22516"/>
      <w:bookmarkStart w:id="218" w:name="_Toc716"/>
      <w:r>
        <w:rPr>
          <w:rFonts w:hint="eastAsia" w:asciiTheme="minorEastAsia" w:hAnsiTheme="minorEastAsia" w:eastAsiaTheme="minorEastAsia" w:cstheme="minorEastAsia"/>
          <w:color w:val="auto"/>
          <w:sz w:val="21"/>
          <w:szCs w:val="21"/>
          <w:highlight w:val="none"/>
        </w:rPr>
        <w:t>5.2 比选程序</w:t>
      </w:r>
      <w:bookmarkEnd w:id="216"/>
      <w:bookmarkEnd w:id="217"/>
      <w:bookmarkEnd w:id="218"/>
    </w:p>
    <w:p w14:paraId="1A39423A">
      <w:pPr>
        <w:spacing w:line="360" w:lineRule="auto"/>
        <w:ind w:firstLine="420" w:firstLineChars="200"/>
        <w:rPr>
          <w:rFonts w:hint="eastAsia" w:asciiTheme="minorEastAsia" w:hAnsiTheme="minorEastAsia" w:eastAsiaTheme="minorEastAsia" w:cstheme="minorEastAsia"/>
          <w:color w:val="auto"/>
          <w:szCs w:val="21"/>
          <w:highlight w:val="none"/>
        </w:rPr>
      </w:pPr>
      <w:bookmarkStart w:id="219" w:name="_Toc293756862"/>
      <w:r>
        <w:rPr>
          <w:rFonts w:hint="eastAsia" w:asciiTheme="minorEastAsia" w:hAnsiTheme="minorEastAsia" w:eastAsiaTheme="minorEastAsia" w:cstheme="minorEastAsia"/>
          <w:color w:val="auto"/>
          <w:szCs w:val="21"/>
          <w:highlight w:val="none"/>
        </w:rPr>
        <w:t>详见投标人须知前附表5.2开标程序。</w:t>
      </w:r>
    </w:p>
    <w:p w14:paraId="21AE5F5F">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220" w:name="_Toc24607"/>
      <w:bookmarkStart w:id="221" w:name="_Toc18348"/>
      <w:r>
        <w:rPr>
          <w:rFonts w:hint="eastAsia" w:asciiTheme="minorEastAsia" w:hAnsiTheme="minorEastAsia" w:eastAsiaTheme="minorEastAsia" w:cstheme="minorEastAsia"/>
          <w:color w:val="auto"/>
          <w:sz w:val="21"/>
          <w:szCs w:val="21"/>
          <w:highlight w:val="none"/>
        </w:rPr>
        <w:t>6. 评</w:t>
      </w:r>
      <w:bookmarkEnd w:id="219"/>
      <w:r>
        <w:rPr>
          <w:rFonts w:hint="eastAsia" w:asciiTheme="minorEastAsia" w:hAnsiTheme="minorEastAsia" w:eastAsiaTheme="minorEastAsia" w:cstheme="minorEastAsia"/>
          <w:color w:val="auto"/>
          <w:sz w:val="21"/>
          <w:szCs w:val="21"/>
          <w:highlight w:val="none"/>
        </w:rPr>
        <w:t>审</w:t>
      </w:r>
      <w:bookmarkEnd w:id="220"/>
      <w:bookmarkEnd w:id="221"/>
    </w:p>
    <w:p w14:paraId="398D911C">
      <w:pPr>
        <w:snapToGrid w:val="0"/>
        <w:spacing w:line="360" w:lineRule="auto"/>
        <w:ind w:firstLine="420" w:firstLineChars="200"/>
        <w:outlineLvl w:val="2"/>
        <w:rPr>
          <w:rFonts w:hint="eastAsia" w:asciiTheme="minorEastAsia" w:hAnsiTheme="minorEastAsia" w:eastAsiaTheme="minorEastAsia" w:cstheme="minorEastAsia"/>
          <w:bCs/>
          <w:snapToGrid w:val="0"/>
          <w:color w:val="auto"/>
          <w:szCs w:val="21"/>
          <w:highlight w:val="none"/>
        </w:rPr>
      </w:pPr>
      <w:bookmarkStart w:id="222" w:name="_Toc200513161"/>
      <w:bookmarkStart w:id="223" w:name="_Toc277082587"/>
      <w:bookmarkStart w:id="224" w:name="_Toc15611"/>
      <w:bookmarkStart w:id="225" w:name="_Toc7646"/>
      <w:bookmarkStart w:id="226" w:name="_Toc430530470"/>
      <w:bookmarkStart w:id="227" w:name="_Toc224103352"/>
      <w:bookmarkStart w:id="228" w:name="_Toc509218745"/>
      <w:bookmarkStart w:id="229" w:name="_Toc287607781"/>
      <w:bookmarkStart w:id="230" w:name="_Toc287620720"/>
      <w:bookmarkStart w:id="231" w:name="_Toc293756866"/>
      <w:r>
        <w:rPr>
          <w:rFonts w:hint="eastAsia" w:asciiTheme="minorEastAsia" w:hAnsiTheme="minorEastAsia" w:eastAsiaTheme="minorEastAsia" w:cstheme="minorEastAsia"/>
          <w:bCs/>
          <w:snapToGrid w:val="0"/>
          <w:color w:val="auto"/>
          <w:szCs w:val="21"/>
          <w:highlight w:val="none"/>
        </w:rPr>
        <w:t>6.1  评标委员会</w:t>
      </w:r>
      <w:bookmarkEnd w:id="222"/>
      <w:bookmarkEnd w:id="223"/>
      <w:bookmarkEnd w:id="224"/>
      <w:bookmarkEnd w:id="225"/>
      <w:bookmarkEnd w:id="226"/>
      <w:bookmarkEnd w:id="227"/>
      <w:bookmarkEnd w:id="228"/>
      <w:bookmarkEnd w:id="229"/>
      <w:bookmarkEnd w:id="230"/>
    </w:p>
    <w:p w14:paraId="0704B199">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b/>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6.1.1  评标由比选人依据法律法规和相关规范性文件组建的评标委员会负责。</w:t>
      </w:r>
    </w:p>
    <w:p w14:paraId="5A1DE690">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6.1.2  评标委员会成员有下列情形之一的，应当回避：</w:t>
      </w:r>
    </w:p>
    <w:p w14:paraId="4823140E">
      <w:pPr>
        <w:keepNext/>
        <w:keepLines/>
        <w:snapToGrid w:val="0"/>
        <w:spacing w:line="360" w:lineRule="auto"/>
        <w:ind w:firstLine="420" w:firstLineChars="200"/>
        <w:outlineLvl w:val="2"/>
        <w:rPr>
          <w:rFonts w:hint="eastAsia" w:asciiTheme="minorEastAsia" w:hAnsiTheme="minorEastAsia" w:eastAsiaTheme="minorEastAsia" w:cstheme="minorEastAsia"/>
          <w:snapToGrid w:val="0"/>
          <w:color w:val="auto"/>
          <w:kern w:val="0"/>
          <w:szCs w:val="21"/>
          <w:highlight w:val="none"/>
        </w:rPr>
      </w:pPr>
      <w:bookmarkStart w:id="232" w:name="_Toc27306"/>
      <w:bookmarkStart w:id="233" w:name="_Toc11164"/>
      <w:bookmarkStart w:id="234" w:name="_Toc224103353"/>
      <w:bookmarkStart w:id="235" w:name="_Toc430530471"/>
      <w:bookmarkStart w:id="236" w:name="_Toc287620721"/>
      <w:bookmarkStart w:id="237" w:name="_Toc277082588"/>
      <w:bookmarkStart w:id="238" w:name="_Toc200513162"/>
      <w:bookmarkStart w:id="239" w:name="_Toc287607782"/>
      <w:bookmarkStart w:id="240" w:name="_Toc509218746"/>
      <w:r>
        <w:rPr>
          <w:rFonts w:hint="eastAsia" w:asciiTheme="minorEastAsia" w:hAnsiTheme="minorEastAsia" w:eastAsiaTheme="minorEastAsia" w:cstheme="minorEastAsia"/>
          <w:snapToGrid w:val="0"/>
          <w:color w:val="auto"/>
          <w:kern w:val="0"/>
          <w:szCs w:val="21"/>
          <w:highlight w:val="none"/>
        </w:rPr>
        <w:t>（1）投标人或投标人的主要负责人的近亲属；</w:t>
      </w:r>
      <w:bookmarkEnd w:id="232"/>
      <w:bookmarkEnd w:id="233"/>
    </w:p>
    <w:p w14:paraId="04C52C97">
      <w:pPr>
        <w:keepNext/>
        <w:keepLines/>
        <w:snapToGrid w:val="0"/>
        <w:spacing w:line="360" w:lineRule="auto"/>
        <w:ind w:firstLine="420" w:firstLineChars="200"/>
        <w:outlineLvl w:val="2"/>
        <w:rPr>
          <w:rFonts w:hint="eastAsia" w:asciiTheme="minorEastAsia" w:hAnsiTheme="minorEastAsia" w:eastAsiaTheme="minorEastAsia" w:cstheme="minorEastAsia"/>
          <w:snapToGrid w:val="0"/>
          <w:color w:val="auto"/>
          <w:kern w:val="0"/>
          <w:szCs w:val="21"/>
          <w:highlight w:val="none"/>
        </w:rPr>
      </w:pPr>
      <w:bookmarkStart w:id="241" w:name="_Toc7327"/>
      <w:bookmarkStart w:id="242" w:name="_Toc24641"/>
      <w:r>
        <w:rPr>
          <w:rFonts w:hint="eastAsia" w:asciiTheme="minorEastAsia" w:hAnsiTheme="minorEastAsia" w:eastAsiaTheme="minorEastAsia" w:cstheme="minorEastAsia"/>
          <w:snapToGrid w:val="0"/>
          <w:color w:val="auto"/>
          <w:kern w:val="0"/>
          <w:szCs w:val="21"/>
          <w:highlight w:val="none"/>
        </w:rPr>
        <w:t>（2）项目主管部门或者项目行政监督部门的人员；</w:t>
      </w:r>
      <w:bookmarkEnd w:id="241"/>
      <w:bookmarkEnd w:id="242"/>
    </w:p>
    <w:p w14:paraId="1B4C459E">
      <w:pPr>
        <w:keepNext/>
        <w:keepLines/>
        <w:snapToGrid w:val="0"/>
        <w:spacing w:line="360" w:lineRule="auto"/>
        <w:ind w:firstLine="420" w:firstLineChars="200"/>
        <w:outlineLvl w:val="2"/>
        <w:rPr>
          <w:rFonts w:hint="eastAsia" w:asciiTheme="minorEastAsia" w:hAnsiTheme="minorEastAsia" w:eastAsiaTheme="minorEastAsia" w:cstheme="minorEastAsia"/>
          <w:snapToGrid w:val="0"/>
          <w:color w:val="auto"/>
          <w:kern w:val="0"/>
          <w:szCs w:val="21"/>
          <w:highlight w:val="none"/>
        </w:rPr>
      </w:pPr>
      <w:bookmarkStart w:id="243" w:name="_Toc32357"/>
      <w:bookmarkStart w:id="244" w:name="_Toc15401"/>
      <w:r>
        <w:rPr>
          <w:rFonts w:hint="eastAsia" w:asciiTheme="minorEastAsia" w:hAnsiTheme="minorEastAsia" w:eastAsiaTheme="minorEastAsia" w:cstheme="minorEastAsia"/>
          <w:snapToGrid w:val="0"/>
          <w:color w:val="auto"/>
          <w:kern w:val="0"/>
          <w:szCs w:val="21"/>
          <w:highlight w:val="none"/>
        </w:rPr>
        <w:t>（3）与投标人有利害关系，可能影响对投标公正评审的；</w:t>
      </w:r>
      <w:bookmarkEnd w:id="243"/>
      <w:bookmarkEnd w:id="244"/>
    </w:p>
    <w:p w14:paraId="5817910B">
      <w:pPr>
        <w:keepNext/>
        <w:keepLines/>
        <w:snapToGrid w:val="0"/>
        <w:spacing w:line="360" w:lineRule="auto"/>
        <w:ind w:firstLine="420" w:firstLineChars="200"/>
        <w:outlineLvl w:val="2"/>
        <w:rPr>
          <w:rFonts w:hint="eastAsia" w:asciiTheme="minorEastAsia" w:hAnsiTheme="minorEastAsia" w:eastAsiaTheme="minorEastAsia" w:cstheme="minorEastAsia"/>
          <w:snapToGrid w:val="0"/>
          <w:color w:val="auto"/>
          <w:kern w:val="0"/>
          <w:szCs w:val="21"/>
          <w:highlight w:val="none"/>
        </w:rPr>
      </w:pPr>
      <w:bookmarkStart w:id="245" w:name="_Toc28689"/>
      <w:bookmarkStart w:id="246" w:name="_Toc2203"/>
      <w:r>
        <w:rPr>
          <w:rFonts w:hint="eastAsia" w:asciiTheme="minorEastAsia" w:hAnsiTheme="minorEastAsia" w:eastAsiaTheme="minorEastAsia" w:cstheme="minorEastAsia"/>
          <w:snapToGrid w:val="0"/>
          <w:color w:val="auto"/>
          <w:kern w:val="0"/>
          <w:szCs w:val="21"/>
          <w:highlight w:val="none"/>
        </w:rPr>
        <w:t>（4）曾因在招标、评标以及其他与招标投标有关活动中从事违法行为而受过行政处罚或刑事处罚的；</w:t>
      </w:r>
      <w:bookmarkEnd w:id="245"/>
      <w:bookmarkEnd w:id="246"/>
    </w:p>
    <w:p w14:paraId="1B243A40">
      <w:pPr>
        <w:keepNext/>
        <w:keepLines/>
        <w:snapToGrid w:val="0"/>
        <w:spacing w:line="360" w:lineRule="auto"/>
        <w:ind w:firstLine="420" w:firstLineChars="200"/>
        <w:outlineLvl w:val="2"/>
        <w:rPr>
          <w:rFonts w:hint="eastAsia" w:asciiTheme="minorEastAsia" w:hAnsiTheme="minorEastAsia" w:eastAsiaTheme="minorEastAsia" w:cstheme="minorEastAsia"/>
          <w:snapToGrid w:val="0"/>
          <w:color w:val="auto"/>
          <w:kern w:val="0"/>
          <w:szCs w:val="21"/>
          <w:highlight w:val="none"/>
        </w:rPr>
      </w:pPr>
      <w:bookmarkStart w:id="247" w:name="_Toc22969"/>
      <w:bookmarkStart w:id="248" w:name="_Toc7240"/>
      <w:r>
        <w:rPr>
          <w:rFonts w:hint="eastAsia" w:asciiTheme="minorEastAsia" w:hAnsiTheme="minorEastAsia" w:eastAsiaTheme="minorEastAsia" w:cstheme="minorEastAsia"/>
          <w:snapToGrid w:val="0"/>
          <w:color w:val="auto"/>
          <w:kern w:val="0"/>
          <w:szCs w:val="21"/>
          <w:highlight w:val="none"/>
        </w:rPr>
        <w:t>（5）法律法规规定的其他情形。</w:t>
      </w:r>
      <w:bookmarkEnd w:id="247"/>
      <w:bookmarkEnd w:id="248"/>
    </w:p>
    <w:p w14:paraId="57DB6843">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173BC954">
      <w:pPr>
        <w:pStyle w:val="5"/>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49" w:name="_Toc32302"/>
      <w:bookmarkStart w:id="250" w:name="_Toc349"/>
      <w:r>
        <w:rPr>
          <w:rFonts w:hint="eastAsia" w:asciiTheme="minorEastAsia" w:hAnsiTheme="minorEastAsia" w:eastAsiaTheme="minorEastAsia" w:cstheme="minorEastAsia"/>
          <w:color w:val="auto"/>
          <w:sz w:val="21"/>
          <w:szCs w:val="21"/>
          <w:highlight w:val="none"/>
        </w:rPr>
        <w:t>6.2  评标原则</w:t>
      </w:r>
      <w:bookmarkEnd w:id="234"/>
      <w:bookmarkEnd w:id="235"/>
      <w:bookmarkEnd w:id="236"/>
      <w:bookmarkEnd w:id="237"/>
      <w:bookmarkEnd w:id="238"/>
      <w:bookmarkEnd w:id="239"/>
      <w:bookmarkEnd w:id="240"/>
      <w:bookmarkEnd w:id="249"/>
      <w:bookmarkEnd w:id="250"/>
    </w:p>
    <w:p w14:paraId="6BA76013">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评标活动遵循公平、公正、科学和择优的原则。</w:t>
      </w:r>
    </w:p>
    <w:p w14:paraId="0F1D9A76">
      <w:pPr>
        <w:pStyle w:val="5"/>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51" w:name="_Toc22477"/>
      <w:bookmarkStart w:id="252" w:name="_Toc430530472"/>
      <w:bookmarkStart w:id="253" w:name="_Toc509218747"/>
      <w:bookmarkStart w:id="254" w:name="_Toc287620722"/>
      <w:bookmarkStart w:id="255" w:name="_Toc224103354"/>
      <w:bookmarkStart w:id="256" w:name="_Toc287607783"/>
      <w:bookmarkStart w:id="257" w:name="_Toc200513163"/>
      <w:bookmarkStart w:id="258" w:name="_Toc277082589"/>
      <w:bookmarkStart w:id="259" w:name="_Toc3231"/>
      <w:r>
        <w:rPr>
          <w:rFonts w:hint="eastAsia" w:asciiTheme="minorEastAsia" w:hAnsiTheme="minorEastAsia" w:eastAsiaTheme="minorEastAsia" w:cstheme="minorEastAsia"/>
          <w:color w:val="auto"/>
          <w:sz w:val="21"/>
          <w:szCs w:val="21"/>
          <w:highlight w:val="none"/>
        </w:rPr>
        <w:t>6.3  评标</w:t>
      </w:r>
      <w:bookmarkEnd w:id="251"/>
      <w:bookmarkEnd w:id="252"/>
      <w:bookmarkEnd w:id="253"/>
      <w:bookmarkEnd w:id="254"/>
      <w:bookmarkEnd w:id="255"/>
      <w:bookmarkEnd w:id="256"/>
      <w:bookmarkEnd w:id="257"/>
      <w:bookmarkEnd w:id="258"/>
      <w:bookmarkEnd w:id="259"/>
    </w:p>
    <w:p w14:paraId="7DBB6785">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评标委员会按照第三章“评标办法”规定的方法、评审因素、标准和程序对投标文件进行评审。第三章“评标办法”没有规定的方法、评审因素和标准，不得作为评标依据。</w:t>
      </w:r>
    </w:p>
    <w:p w14:paraId="197F6489">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260" w:name="_Toc2729"/>
      <w:bookmarkStart w:id="261" w:name="_Toc5190"/>
      <w:r>
        <w:rPr>
          <w:rFonts w:hint="eastAsia" w:asciiTheme="minorEastAsia" w:hAnsiTheme="minorEastAsia" w:eastAsiaTheme="minorEastAsia" w:cstheme="minorEastAsia"/>
          <w:color w:val="auto"/>
          <w:sz w:val="21"/>
          <w:szCs w:val="21"/>
          <w:highlight w:val="none"/>
        </w:rPr>
        <w:t>7. 合同授予</w:t>
      </w:r>
      <w:bookmarkEnd w:id="231"/>
      <w:bookmarkEnd w:id="260"/>
      <w:bookmarkEnd w:id="261"/>
    </w:p>
    <w:p w14:paraId="4740A221">
      <w:pPr>
        <w:pStyle w:val="5"/>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62" w:name="_Toc293756867"/>
      <w:bookmarkStart w:id="263" w:name="_Toc13886"/>
      <w:bookmarkStart w:id="264" w:name="_Toc13535"/>
      <w:r>
        <w:rPr>
          <w:rFonts w:hint="eastAsia" w:asciiTheme="minorEastAsia" w:hAnsiTheme="minorEastAsia" w:eastAsiaTheme="minorEastAsia" w:cstheme="minorEastAsia"/>
          <w:color w:val="auto"/>
          <w:sz w:val="21"/>
          <w:szCs w:val="21"/>
          <w:highlight w:val="none"/>
        </w:rPr>
        <w:t>7.1 定选方式</w:t>
      </w:r>
      <w:bookmarkEnd w:id="262"/>
      <w:bookmarkEnd w:id="263"/>
      <w:bookmarkEnd w:id="264"/>
    </w:p>
    <w:p w14:paraId="159894F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比选人应当确定排名第一的中标候选人为中标人。排名第一的中标候选人放弃中标、因不可抗力不能履行合同、不按照比选文件要求提交履约保证金，或者被查实存在影响中标结果的违法行为等情形，不符合中标条件的，比选人可以按照评标委员会提出的中标候选人名单排序依次确定其他中标候选人为中标人，也可以重新招标。</w:t>
      </w:r>
    </w:p>
    <w:p w14:paraId="1997C4C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评标委员会推荐中标候选人的人数见投标人须知前附表。</w:t>
      </w:r>
    </w:p>
    <w:p w14:paraId="6E6532ED">
      <w:pPr>
        <w:pStyle w:val="5"/>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65" w:name="_Toc293756868"/>
      <w:bookmarkStart w:id="266" w:name="_Toc10258"/>
      <w:bookmarkStart w:id="267" w:name="_Toc17919"/>
      <w:r>
        <w:rPr>
          <w:rFonts w:hint="eastAsia" w:asciiTheme="minorEastAsia" w:hAnsiTheme="minorEastAsia" w:eastAsiaTheme="minorEastAsia" w:cstheme="minorEastAsia"/>
          <w:color w:val="auto"/>
          <w:sz w:val="21"/>
          <w:szCs w:val="21"/>
          <w:highlight w:val="none"/>
        </w:rPr>
        <w:t>7.2 中标通知</w:t>
      </w:r>
      <w:bookmarkEnd w:id="265"/>
      <w:bookmarkEnd w:id="266"/>
      <w:bookmarkEnd w:id="267"/>
    </w:p>
    <w:p w14:paraId="3B5F9B1E">
      <w:pPr>
        <w:spacing w:line="360" w:lineRule="auto"/>
        <w:ind w:firstLine="420" w:firstLineChars="200"/>
        <w:rPr>
          <w:rFonts w:hint="eastAsia" w:asciiTheme="minorEastAsia" w:hAnsiTheme="minorEastAsia" w:eastAsiaTheme="minorEastAsia" w:cstheme="minorEastAsia"/>
          <w:color w:val="auto"/>
          <w:szCs w:val="21"/>
          <w:highlight w:val="none"/>
        </w:rPr>
      </w:pPr>
      <w:bookmarkStart w:id="268" w:name="_Toc293756869"/>
      <w:r>
        <w:rPr>
          <w:rFonts w:hint="eastAsia" w:asciiTheme="minorEastAsia" w:hAnsiTheme="minorEastAsia" w:eastAsiaTheme="minorEastAsia" w:cstheme="minorEastAsia"/>
          <w:color w:val="auto"/>
          <w:szCs w:val="21"/>
          <w:highlight w:val="none"/>
        </w:rPr>
        <w:t>比选人在收到评标报告之日起3个工作日内公示中标候选人，公示期为1日。</w:t>
      </w:r>
    </w:p>
    <w:p w14:paraId="5DCEB2D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在本章第 3.3 款规定的投标有效期内，且未有投标人的异议与投诉，比选人以书面形式向中标人发出中标通知书。</w:t>
      </w:r>
    </w:p>
    <w:p w14:paraId="5DAF3C31">
      <w:pPr>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7.3 履约担保</w:t>
      </w:r>
      <w:bookmarkEnd w:id="268"/>
    </w:p>
    <w:p w14:paraId="26A5011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7.3.1 在签订合同前，中标人应按投标人须知前附表规定的金额、担保形式和比选文件第四章“合同条款及格式”规定的履约担保格式向比选人提交履约担保。</w:t>
      </w:r>
    </w:p>
    <w:p w14:paraId="2327884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7.3.2 中选人不能按本章第7.3.1 项要求提交履约担保的，视为放弃中选，其比选保证金不予退还，给比选人造成的损失超过比选保证金数额的，中选人还应当对超过部分予以赔偿。</w:t>
      </w:r>
    </w:p>
    <w:p w14:paraId="3EA4CD9C">
      <w:pPr>
        <w:pStyle w:val="5"/>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69" w:name="_Toc2662"/>
      <w:bookmarkStart w:id="270" w:name="_Toc5235"/>
      <w:bookmarkStart w:id="271" w:name="_Toc293756870"/>
      <w:r>
        <w:rPr>
          <w:rFonts w:hint="eastAsia" w:asciiTheme="minorEastAsia" w:hAnsiTheme="minorEastAsia" w:eastAsiaTheme="minorEastAsia" w:cstheme="minorEastAsia"/>
          <w:color w:val="auto"/>
          <w:sz w:val="21"/>
          <w:szCs w:val="21"/>
          <w:highlight w:val="none"/>
        </w:rPr>
        <w:t>7.4 签订合同</w:t>
      </w:r>
      <w:bookmarkEnd w:id="269"/>
      <w:bookmarkEnd w:id="270"/>
      <w:bookmarkEnd w:id="271"/>
    </w:p>
    <w:p w14:paraId="5370B92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7.4.1 比选人和中标人应当自中标通知书发出之日起30天内，根据比选文件和中标人的投标文件订立书面合同。中标人放弃中标项目，无正当理由不与比选人签订合同，在签订合同时向比选人提出附加条件或者更改合同实质性内容的，比选人取消其中标资格，其投标保证金不予退还；给比选人造成的损失超过投标保证金数额的，中标人还应当对超过部分予以赔偿。</w:t>
      </w:r>
    </w:p>
    <w:p w14:paraId="267B109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7.4.2 发出中选通知书后，比选人无正当理由拒签合同的，比选人应向中选人退还比选保证金；给中选人造成损失的，还应当赔偿损失。</w:t>
      </w:r>
    </w:p>
    <w:p w14:paraId="5A373B87">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272" w:name="_Toc293756871"/>
      <w:bookmarkStart w:id="273" w:name="_Toc21469"/>
      <w:bookmarkStart w:id="274" w:name="_Toc15182"/>
      <w:r>
        <w:rPr>
          <w:rFonts w:hint="eastAsia" w:asciiTheme="minorEastAsia" w:hAnsiTheme="minorEastAsia" w:eastAsiaTheme="minorEastAsia" w:cstheme="minorEastAsia"/>
          <w:color w:val="auto"/>
          <w:sz w:val="21"/>
          <w:szCs w:val="21"/>
          <w:highlight w:val="none"/>
        </w:rPr>
        <w:t>8. 重新比选和不再比选</w:t>
      </w:r>
      <w:bookmarkEnd w:id="272"/>
      <w:bookmarkEnd w:id="273"/>
      <w:bookmarkEnd w:id="274"/>
    </w:p>
    <w:p w14:paraId="13F3945F">
      <w:pPr>
        <w:keepNext/>
        <w:keepLines/>
        <w:snapToGrid w:val="0"/>
        <w:spacing w:line="360" w:lineRule="auto"/>
        <w:ind w:firstLine="420" w:firstLineChars="200"/>
        <w:outlineLvl w:val="2"/>
        <w:rPr>
          <w:rFonts w:hint="eastAsia" w:asciiTheme="minorEastAsia" w:hAnsiTheme="minorEastAsia" w:eastAsiaTheme="minorEastAsia" w:cstheme="minorEastAsia"/>
          <w:bCs/>
          <w:snapToGrid w:val="0"/>
          <w:color w:val="auto"/>
          <w:szCs w:val="21"/>
          <w:highlight w:val="none"/>
        </w:rPr>
      </w:pPr>
      <w:bookmarkStart w:id="275" w:name="_Toc224103361"/>
      <w:bookmarkStart w:id="276" w:name="_Toc430530479"/>
      <w:bookmarkStart w:id="277" w:name="_Toc287607790"/>
      <w:bookmarkStart w:id="278" w:name="_Toc509218754"/>
      <w:bookmarkStart w:id="279" w:name="_Toc287620729"/>
      <w:bookmarkStart w:id="280" w:name="_Toc277082596"/>
      <w:bookmarkStart w:id="281" w:name="_Toc200513170"/>
      <w:bookmarkStart w:id="282" w:name="_Toc27002"/>
      <w:bookmarkStart w:id="283" w:name="_Toc15837"/>
      <w:bookmarkStart w:id="284" w:name="_Toc284231394"/>
      <w:bookmarkStart w:id="285" w:name="_Toc293756873"/>
      <w:r>
        <w:rPr>
          <w:rFonts w:hint="eastAsia" w:asciiTheme="minorEastAsia" w:hAnsiTheme="minorEastAsia" w:eastAsiaTheme="minorEastAsia" w:cstheme="minorEastAsia"/>
          <w:bCs/>
          <w:snapToGrid w:val="0"/>
          <w:color w:val="auto"/>
          <w:szCs w:val="21"/>
          <w:highlight w:val="none"/>
        </w:rPr>
        <w:t>8.1  重新</w:t>
      </w:r>
      <w:bookmarkEnd w:id="275"/>
      <w:bookmarkEnd w:id="276"/>
      <w:bookmarkEnd w:id="277"/>
      <w:bookmarkEnd w:id="278"/>
      <w:bookmarkEnd w:id="279"/>
      <w:bookmarkEnd w:id="280"/>
      <w:bookmarkEnd w:id="281"/>
      <w:r>
        <w:rPr>
          <w:rFonts w:hint="eastAsia" w:asciiTheme="minorEastAsia" w:hAnsiTheme="minorEastAsia" w:eastAsiaTheme="minorEastAsia" w:cstheme="minorEastAsia"/>
          <w:bCs/>
          <w:snapToGrid w:val="0"/>
          <w:color w:val="auto"/>
          <w:szCs w:val="21"/>
          <w:highlight w:val="none"/>
        </w:rPr>
        <w:t>比选</w:t>
      </w:r>
      <w:bookmarkEnd w:id="282"/>
      <w:bookmarkEnd w:id="283"/>
    </w:p>
    <w:p w14:paraId="028FAA53">
      <w:pPr>
        <w:autoSpaceDE w:val="0"/>
        <w:autoSpaceDN w:val="0"/>
        <w:adjustRightInd w:val="0"/>
        <w:snapToGrid w:val="0"/>
        <w:spacing w:line="360" w:lineRule="auto"/>
        <w:ind w:left="359" w:leftChars="171"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有下列情形之一的，比选人将重新比选：</w:t>
      </w:r>
    </w:p>
    <w:p w14:paraId="5C85F343">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（1）投标截止时间止，投标人少于 3 个的；</w:t>
      </w:r>
    </w:p>
    <w:p w14:paraId="19D24BA1">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（2）经评标委员会评审后否决所有投标的；</w:t>
      </w:r>
    </w:p>
    <w:p w14:paraId="33AC1464">
      <w:pPr>
        <w:widowControl/>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3）经评标委员会评审后部分投标被否决，导致有效投标人不足三个的，评标委员会应当否决所有投标。但是有效投标人的经济、技术等指标仍然具有市场竞争力，能够满足比选文件要求的，评标委员会可以继续评标并确定中标候选人。</w:t>
      </w:r>
    </w:p>
    <w:p w14:paraId="6B96FCF1">
      <w:pPr>
        <w:widowControl/>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（4）法律法规规定的其他情形。</w:t>
      </w:r>
    </w:p>
    <w:p w14:paraId="1A72A7BC">
      <w:pPr>
        <w:pStyle w:val="5"/>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86" w:name="_Toc28804"/>
      <w:bookmarkStart w:id="287" w:name="_Toc24456"/>
      <w:r>
        <w:rPr>
          <w:rFonts w:hint="eastAsia" w:asciiTheme="minorEastAsia" w:hAnsiTheme="minorEastAsia" w:eastAsiaTheme="minorEastAsia" w:cstheme="minorEastAsia"/>
          <w:color w:val="auto"/>
          <w:sz w:val="21"/>
          <w:szCs w:val="21"/>
          <w:highlight w:val="none"/>
        </w:rPr>
        <w:t>8.2 不再</w:t>
      </w:r>
      <w:bookmarkEnd w:id="284"/>
      <w:bookmarkEnd w:id="285"/>
      <w:r>
        <w:rPr>
          <w:rFonts w:hint="eastAsia" w:asciiTheme="minorEastAsia" w:hAnsiTheme="minorEastAsia" w:eastAsiaTheme="minorEastAsia" w:cstheme="minorEastAsia"/>
          <w:color w:val="auto"/>
          <w:sz w:val="21"/>
          <w:szCs w:val="21"/>
          <w:highlight w:val="none"/>
        </w:rPr>
        <w:t>比选</w:t>
      </w:r>
      <w:bookmarkEnd w:id="286"/>
      <w:bookmarkEnd w:id="287"/>
    </w:p>
    <w:p w14:paraId="3B998647">
      <w:pPr>
        <w:spacing w:line="360" w:lineRule="auto"/>
        <w:ind w:firstLine="420" w:firstLineChars="200"/>
        <w:rPr>
          <w:rFonts w:hint="eastAsia" w:asciiTheme="minorEastAsia" w:hAnsiTheme="minorEastAsia" w:eastAsiaTheme="minorEastAsia" w:cstheme="minorEastAsia"/>
          <w:color w:val="auto"/>
          <w:szCs w:val="21"/>
          <w:highlight w:val="none"/>
        </w:rPr>
      </w:pPr>
      <w:bookmarkStart w:id="288" w:name="_Toc288046541"/>
      <w:bookmarkStart w:id="289" w:name="_Toc284158456"/>
      <w:bookmarkStart w:id="290" w:name="_Toc288046894"/>
      <w:bookmarkStart w:id="291" w:name="_Toc293756874"/>
      <w:bookmarkStart w:id="292" w:name="_Toc284231395"/>
      <w:bookmarkStart w:id="293" w:name="_Toc288052291"/>
      <w:bookmarkStart w:id="294" w:name="_Toc284158539"/>
      <w:bookmarkStart w:id="295" w:name="_Toc284159360"/>
      <w:bookmarkStart w:id="296" w:name="_Toc284159224"/>
      <w:bookmarkStart w:id="297" w:name="_Toc288045280"/>
      <w:r>
        <w:rPr>
          <w:rFonts w:hint="eastAsia" w:asciiTheme="minorEastAsia" w:hAnsiTheme="minorEastAsia" w:eastAsiaTheme="minorEastAsia" w:cstheme="minorEastAsia"/>
          <w:color w:val="auto"/>
          <w:szCs w:val="21"/>
          <w:highlight w:val="none"/>
        </w:rPr>
        <w:t>重新比选后投标人仍少于三个的，按法定程序开展比选和评审，确定中选人。经评审无合格投标人，属于审批或核准项目的，报经原审批部门批准可以不再比选。</w:t>
      </w:r>
      <w:bookmarkEnd w:id="288"/>
      <w:bookmarkEnd w:id="289"/>
      <w:bookmarkEnd w:id="290"/>
      <w:bookmarkEnd w:id="291"/>
      <w:bookmarkEnd w:id="292"/>
      <w:bookmarkEnd w:id="293"/>
      <w:bookmarkEnd w:id="294"/>
      <w:bookmarkEnd w:id="295"/>
      <w:bookmarkEnd w:id="296"/>
      <w:bookmarkEnd w:id="297"/>
    </w:p>
    <w:p w14:paraId="0BC1275D">
      <w:pPr>
        <w:pStyle w:val="5"/>
        <w:spacing w:before="0" w:after="0" w:line="360" w:lineRule="auto"/>
        <w:rPr>
          <w:rFonts w:hint="eastAsia" w:asciiTheme="minorEastAsia" w:hAnsiTheme="minorEastAsia" w:eastAsiaTheme="minorEastAsia" w:cstheme="minorEastAsia"/>
          <w:color w:val="auto"/>
          <w:sz w:val="21"/>
          <w:szCs w:val="21"/>
          <w:highlight w:val="none"/>
        </w:rPr>
      </w:pPr>
      <w:bookmarkStart w:id="298" w:name="_Toc277082598"/>
      <w:bookmarkStart w:id="299" w:name="_Toc287620731"/>
      <w:bookmarkStart w:id="300" w:name="_Toc287607792"/>
      <w:bookmarkStart w:id="301" w:name="_Toc31090"/>
      <w:bookmarkStart w:id="302" w:name="_Toc755"/>
      <w:bookmarkStart w:id="303" w:name="_Toc430530481"/>
      <w:bookmarkStart w:id="304" w:name="_Toc224103363"/>
      <w:bookmarkStart w:id="305" w:name="_Toc509218756"/>
      <w:bookmarkStart w:id="306" w:name="_Toc36043737"/>
      <w:bookmarkStart w:id="307" w:name="_Toc200513172"/>
      <w:r>
        <w:rPr>
          <w:rFonts w:hint="eastAsia" w:asciiTheme="minorEastAsia" w:hAnsiTheme="minorEastAsia" w:eastAsiaTheme="minorEastAsia" w:cstheme="minorEastAsia"/>
          <w:color w:val="auto"/>
          <w:sz w:val="21"/>
          <w:szCs w:val="21"/>
          <w:highlight w:val="none"/>
        </w:rPr>
        <w:t>9.  纪律和监督</w:t>
      </w:r>
      <w:bookmarkEnd w:id="298"/>
      <w:bookmarkEnd w:id="299"/>
      <w:bookmarkEnd w:id="300"/>
      <w:bookmarkEnd w:id="301"/>
      <w:bookmarkEnd w:id="302"/>
      <w:bookmarkEnd w:id="303"/>
      <w:bookmarkEnd w:id="304"/>
      <w:bookmarkEnd w:id="305"/>
      <w:bookmarkEnd w:id="306"/>
      <w:bookmarkEnd w:id="307"/>
    </w:p>
    <w:p w14:paraId="0C0FDEE6">
      <w:pPr>
        <w:keepNext/>
        <w:keepLines/>
        <w:snapToGrid w:val="0"/>
        <w:spacing w:line="360" w:lineRule="auto"/>
        <w:outlineLvl w:val="2"/>
        <w:rPr>
          <w:rFonts w:hint="eastAsia" w:asciiTheme="minorEastAsia" w:hAnsiTheme="minorEastAsia" w:eastAsiaTheme="minorEastAsia" w:cstheme="minorEastAsia"/>
          <w:bCs/>
          <w:snapToGrid w:val="0"/>
          <w:color w:val="auto"/>
          <w:szCs w:val="21"/>
          <w:highlight w:val="none"/>
        </w:rPr>
      </w:pPr>
      <w:bookmarkStart w:id="308" w:name="_Toc430530482"/>
      <w:bookmarkStart w:id="309" w:name="_Toc25463"/>
      <w:bookmarkStart w:id="310" w:name="_Toc224103364"/>
      <w:bookmarkStart w:id="311" w:name="_Toc509218757"/>
      <w:bookmarkStart w:id="312" w:name="_Toc12829"/>
      <w:bookmarkStart w:id="313" w:name="_Toc200513173"/>
      <w:bookmarkStart w:id="314" w:name="_Toc287620732"/>
      <w:bookmarkStart w:id="315" w:name="_Toc277082599"/>
      <w:bookmarkStart w:id="316" w:name="_Toc287607793"/>
      <w:r>
        <w:rPr>
          <w:rFonts w:hint="eastAsia" w:asciiTheme="minorEastAsia" w:hAnsiTheme="minorEastAsia" w:eastAsiaTheme="minorEastAsia" w:cstheme="minorEastAsia"/>
          <w:bCs/>
          <w:snapToGrid w:val="0"/>
          <w:color w:val="auto"/>
          <w:szCs w:val="21"/>
          <w:highlight w:val="none"/>
        </w:rPr>
        <w:t>9.1  对比选人的纪律要求</w:t>
      </w:r>
      <w:bookmarkEnd w:id="308"/>
      <w:bookmarkEnd w:id="309"/>
      <w:bookmarkEnd w:id="310"/>
      <w:bookmarkEnd w:id="311"/>
      <w:bookmarkEnd w:id="312"/>
      <w:bookmarkEnd w:id="313"/>
      <w:bookmarkEnd w:id="314"/>
      <w:bookmarkEnd w:id="315"/>
      <w:bookmarkEnd w:id="316"/>
    </w:p>
    <w:p w14:paraId="57E6D54D">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snapToGrid w:val="0"/>
          <w:color w:val="auto"/>
          <w:kern w:val="0"/>
          <w:szCs w:val="21"/>
          <w:highlight w:val="none"/>
        </w:rPr>
        <w:t>比选人不得泄漏招标投标活动中应当保密的情况和资料，不得与投标人串通损害国家利 益、社会公共利益或者他人合法权益，</w:t>
      </w:r>
      <w:r>
        <w:rPr>
          <w:rFonts w:hint="eastAsia" w:asciiTheme="minorEastAsia" w:hAnsiTheme="minorEastAsia" w:eastAsiaTheme="minorEastAsia" w:cstheme="minorEastAsia"/>
          <w:color w:val="auto"/>
          <w:szCs w:val="21"/>
          <w:highlight w:val="none"/>
        </w:rPr>
        <w:t>禁止比选人与投标人串通投标。</w:t>
      </w:r>
    </w:p>
    <w:p w14:paraId="4D91CA35">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有下列情形之一的，属于比选人与投标人串通投标：</w:t>
      </w:r>
    </w:p>
    <w:p w14:paraId="6D0727EC">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（1）比选人在开标前开启投标文件并将有关信息泄露给其他投标人；</w:t>
      </w:r>
    </w:p>
    <w:p w14:paraId="46936C50">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（2）比选人直接或者间接向投标人泄露标底、评标委员会成员等信息；</w:t>
      </w:r>
    </w:p>
    <w:p w14:paraId="20AF2257">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（3）比选人明示或者暗示投标人压低或者抬高投标报价；</w:t>
      </w:r>
    </w:p>
    <w:p w14:paraId="79C51EF2">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（4）比选人授意投标人撤换、修改投标文件；</w:t>
      </w:r>
    </w:p>
    <w:p w14:paraId="1A4124B9">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（5）比选人明示或者暗示投标人为特定投标人中标提供方便；</w:t>
      </w:r>
    </w:p>
    <w:p w14:paraId="502A9BF5">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color w:val="auto"/>
          <w:szCs w:val="21"/>
          <w:highlight w:val="none"/>
        </w:rPr>
        <w:t>（6）比选人与投标人为谋求特定投标人中标而采取的其他串通行为。</w:t>
      </w:r>
    </w:p>
    <w:p w14:paraId="0DADDC2D">
      <w:pPr>
        <w:keepNext/>
        <w:keepLines/>
        <w:snapToGrid w:val="0"/>
        <w:spacing w:line="360" w:lineRule="auto"/>
        <w:ind w:firstLine="420" w:firstLineChars="200"/>
        <w:outlineLvl w:val="2"/>
        <w:rPr>
          <w:rFonts w:hint="eastAsia" w:asciiTheme="minorEastAsia" w:hAnsiTheme="minorEastAsia" w:eastAsiaTheme="minorEastAsia" w:cstheme="minorEastAsia"/>
          <w:bCs/>
          <w:snapToGrid w:val="0"/>
          <w:color w:val="auto"/>
          <w:szCs w:val="21"/>
          <w:highlight w:val="none"/>
        </w:rPr>
      </w:pPr>
      <w:bookmarkStart w:id="317" w:name="_Toc430530483"/>
      <w:bookmarkStart w:id="318" w:name="_Toc14890"/>
      <w:bookmarkStart w:id="319" w:name="_Toc277082600"/>
      <w:bookmarkStart w:id="320" w:name="_Toc287607794"/>
      <w:bookmarkStart w:id="321" w:name="_Toc287620733"/>
      <w:bookmarkStart w:id="322" w:name="_Toc83"/>
      <w:bookmarkStart w:id="323" w:name="_Toc509218758"/>
      <w:bookmarkStart w:id="324" w:name="_Toc200513174"/>
      <w:bookmarkStart w:id="325" w:name="_Toc224103365"/>
      <w:r>
        <w:rPr>
          <w:rFonts w:hint="eastAsia" w:asciiTheme="minorEastAsia" w:hAnsiTheme="minorEastAsia" w:eastAsiaTheme="minorEastAsia" w:cstheme="minorEastAsia"/>
          <w:bCs/>
          <w:snapToGrid w:val="0"/>
          <w:color w:val="auto"/>
          <w:szCs w:val="21"/>
          <w:highlight w:val="none"/>
        </w:rPr>
        <w:t>9.2  对投标人的纪律要求</w:t>
      </w:r>
      <w:bookmarkEnd w:id="317"/>
      <w:bookmarkEnd w:id="318"/>
      <w:bookmarkEnd w:id="319"/>
      <w:bookmarkEnd w:id="320"/>
      <w:bookmarkEnd w:id="321"/>
      <w:bookmarkEnd w:id="322"/>
      <w:bookmarkEnd w:id="323"/>
      <w:bookmarkEnd w:id="324"/>
      <w:bookmarkEnd w:id="325"/>
    </w:p>
    <w:p w14:paraId="61E4597A">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snapToGrid w:val="0"/>
          <w:color w:val="auto"/>
          <w:kern w:val="0"/>
          <w:szCs w:val="21"/>
          <w:highlight w:val="none"/>
        </w:rPr>
        <w:t>投标人不得相互串通投标或者与比选人串通投标，不得向比选人或者评标委员会成员行贿谋取中标，不得以他人名义投标或者以其他方式弄虚作假骗取中标；投标人不得以任何方式干扰、影响评标工作。</w:t>
      </w:r>
      <w:r>
        <w:rPr>
          <w:rFonts w:hint="eastAsia" w:asciiTheme="minorEastAsia" w:hAnsiTheme="minorEastAsia" w:eastAsiaTheme="minorEastAsia" w:cstheme="minorEastAsia"/>
          <w:color w:val="auto"/>
          <w:szCs w:val="21"/>
          <w:highlight w:val="none"/>
        </w:rPr>
        <w:t>有下列情形之一的，属于投标人相互串通投标：</w:t>
      </w:r>
    </w:p>
    <w:p w14:paraId="104980D4">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（1）投标人之间协商投标报价等投标文件的实质性内容；</w:t>
      </w:r>
    </w:p>
    <w:p w14:paraId="6EE000E1">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（2）投标人之间约定中标人；</w:t>
      </w:r>
    </w:p>
    <w:p w14:paraId="228EBCF7">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（3）投标人之间约定部分投标人放弃投标或者中标；</w:t>
      </w:r>
    </w:p>
    <w:p w14:paraId="58F401B5">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（4）属于同一集团、协会、商会等组织成员的投标人按照该组织要求协同投标；</w:t>
      </w:r>
    </w:p>
    <w:p w14:paraId="23F25C84">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（5）投标人之间为谋取中标或者排斥特定投标人而采取的其他联合行动。</w:t>
      </w:r>
    </w:p>
    <w:p w14:paraId="23D3ECAD">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有下列情形之一的，视为投标人相互串通投标：</w:t>
      </w:r>
    </w:p>
    <w:p w14:paraId="142B6F95">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（1）不同投标人的投标文件由同一单位或者个人编制；</w:t>
      </w:r>
    </w:p>
    <w:p w14:paraId="61646C96">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（2）不同投标人委托同一单位或者个人办理投标事宜；</w:t>
      </w:r>
    </w:p>
    <w:p w14:paraId="64A69EF1">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（3）不同投标人的投标文件载明的项目管理成员为同一人；</w:t>
      </w:r>
    </w:p>
    <w:p w14:paraId="672C6555">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（4）不同投标人的投标文件异常一致或者投标报价呈规律性差异；</w:t>
      </w:r>
    </w:p>
    <w:p w14:paraId="2D38494B">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（5）不同投标人的投标文件相互混装；</w:t>
      </w:r>
    </w:p>
    <w:p w14:paraId="63608CCC">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（6）不同投标人的投标保证金从同一单位或者个人的账户转出。</w:t>
      </w:r>
    </w:p>
    <w:p w14:paraId="0A06640D">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使用通过受让或者租借等方式获取的资格、资质证书投标的，属于以他人名义投标。</w:t>
      </w:r>
    </w:p>
    <w:p w14:paraId="3238F674">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投标人有下列情形之一的，属于以其他方式弄虚作假的行为：</w:t>
      </w:r>
    </w:p>
    <w:p w14:paraId="4E538EAA">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（一）使用伪造、变造的许可证件；</w:t>
      </w:r>
    </w:p>
    <w:p w14:paraId="7694F761">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（二）提供虚假的财务状况或者业绩；</w:t>
      </w:r>
    </w:p>
    <w:p w14:paraId="4BE34C75">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（三）提供虚假的负责人或者主要技术人员简历、劳动关系证明；</w:t>
      </w:r>
    </w:p>
    <w:p w14:paraId="69F90708">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（四）提供虚假的信用状况；</w:t>
      </w:r>
    </w:p>
    <w:p w14:paraId="118FB8A4">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color w:val="auto"/>
          <w:szCs w:val="21"/>
          <w:highlight w:val="none"/>
        </w:rPr>
        <w:t>（五）其他弄虚作假的行为。</w:t>
      </w:r>
    </w:p>
    <w:p w14:paraId="51AB3349">
      <w:pPr>
        <w:keepNext/>
        <w:keepLines/>
        <w:snapToGrid w:val="0"/>
        <w:spacing w:line="360" w:lineRule="auto"/>
        <w:ind w:firstLine="420" w:firstLineChars="200"/>
        <w:outlineLvl w:val="2"/>
        <w:rPr>
          <w:rFonts w:hint="eastAsia" w:asciiTheme="minorEastAsia" w:hAnsiTheme="minorEastAsia" w:eastAsiaTheme="minorEastAsia" w:cstheme="minorEastAsia"/>
          <w:bCs/>
          <w:snapToGrid w:val="0"/>
          <w:color w:val="auto"/>
          <w:szCs w:val="21"/>
          <w:highlight w:val="none"/>
        </w:rPr>
      </w:pPr>
      <w:bookmarkStart w:id="326" w:name="_Toc19139"/>
      <w:bookmarkStart w:id="327" w:name="_Toc224103366"/>
      <w:bookmarkStart w:id="328" w:name="_Toc287607795"/>
      <w:bookmarkStart w:id="329" w:name="_Toc277082601"/>
      <w:bookmarkStart w:id="330" w:name="_Toc20024"/>
      <w:bookmarkStart w:id="331" w:name="_Toc287620734"/>
      <w:bookmarkStart w:id="332" w:name="_Toc200513175"/>
      <w:bookmarkStart w:id="333" w:name="_Toc509218759"/>
      <w:bookmarkStart w:id="334" w:name="_Toc430530484"/>
      <w:r>
        <w:rPr>
          <w:rFonts w:hint="eastAsia" w:asciiTheme="minorEastAsia" w:hAnsiTheme="minorEastAsia" w:eastAsiaTheme="minorEastAsia" w:cstheme="minorEastAsia"/>
          <w:bCs/>
          <w:snapToGrid w:val="0"/>
          <w:color w:val="auto"/>
          <w:szCs w:val="21"/>
          <w:highlight w:val="none"/>
        </w:rPr>
        <w:t>9.3  对评标委员会成员的纪律要求</w:t>
      </w:r>
      <w:bookmarkEnd w:id="326"/>
      <w:bookmarkEnd w:id="327"/>
      <w:bookmarkEnd w:id="328"/>
      <w:bookmarkEnd w:id="329"/>
      <w:bookmarkEnd w:id="330"/>
      <w:bookmarkEnd w:id="331"/>
      <w:bookmarkEnd w:id="332"/>
      <w:bookmarkEnd w:id="333"/>
      <w:bookmarkEnd w:id="334"/>
    </w:p>
    <w:p w14:paraId="2FDB4AD7">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0AD2F359">
      <w:pPr>
        <w:keepNext/>
        <w:keepLines/>
        <w:snapToGrid w:val="0"/>
        <w:spacing w:line="360" w:lineRule="auto"/>
        <w:ind w:firstLine="420" w:firstLineChars="200"/>
        <w:outlineLvl w:val="2"/>
        <w:rPr>
          <w:rFonts w:hint="eastAsia" w:asciiTheme="minorEastAsia" w:hAnsiTheme="minorEastAsia" w:eastAsiaTheme="minorEastAsia" w:cstheme="minorEastAsia"/>
          <w:bCs/>
          <w:snapToGrid w:val="0"/>
          <w:color w:val="auto"/>
          <w:szCs w:val="21"/>
          <w:highlight w:val="none"/>
        </w:rPr>
      </w:pPr>
      <w:bookmarkStart w:id="335" w:name="_Toc1608"/>
      <w:bookmarkStart w:id="336" w:name="_Toc287607796"/>
      <w:bookmarkStart w:id="337" w:name="_Toc277082602"/>
      <w:bookmarkStart w:id="338" w:name="_Toc430530485"/>
      <w:bookmarkStart w:id="339" w:name="_Toc13227"/>
      <w:bookmarkStart w:id="340" w:name="_Toc200513176"/>
      <w:bookmarkStart w:id="341" w:name="_Toc287620735"/>
      <w:bookmarkStart w:id="342" w:name="_Toc224103367"/>
      <w:bookmarkStart w:id="343" w:name="_Toc509218760"/>
      <w:r>
        <w:rPr>
          <w:rFonts w:hint="eastAsia" w:asciiTheme="minorEastAsia" w:hAnsiTheme="minorEastAsia" w:eastAsiaTheme="minorEastAsia" w:cstheme="minorEastAsia"/>
          <w:bCs/>
          <w:snapToGrid w:val="0"/>
          <w:color w:val="auto"/>
          <w:szCs w:val="21"/>
          <w:highlight w:val="none"/>
        </w:rPr>
        <w:t>9.4  对与评标活动有关的工作人员的纪律要求</w:t>
      </w:r>
      <w:bookmarkEnd w:id="335"/>
      <w:bookmarkEnd w:id="336"/>
      <w:bookmarkEnd w:id="337"/>
      <w:bookmarkEnd w:id="338"/>
      <w:bookmarkEnd w:id="339"/>
      <w:bookmarkEnd w:id="340"/>
      <w:bookmarkEnd w:id="341"/>
      <w:bookmarkEnd w:id="342"/>
      <w:bookmarkEnd w:id="343"/>
    </w:p>
    <w:p w14:paraId="59CE5D9F">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5CEA70C1">
      <w:pPr>
        <w:keepNext/>
        <w:keepLines/>
        <w:snapToGrid w:val="0"/>
        <w:spacing w:line="360" w:lineRule="auto"/>
        <w:ind w:firstLine="420" w:firstLineChars="200"/>
        <w:outlineLvl w:val="2"/>
        <w:rPr>
          <w:rFonts w:hint="eastAsia" w:asciiTheme="minorEastAsia" w:hAnsiTheme="minorEastAsia" w:eastAsiaTheme="minorEastAsia" w:cstheme="minorEastAsia"/>
          <w:bCs/>
          <w:snapToGrid w:val="0"/>
          <w:color w:val="auto"/>
          <w:szCs w:val="21"/>
          <w:highlight w:val="none"/>
        </w:rPr>
      </w:pPr>
      <w:bookmarkStart w:id="344" w:name="_Toc509218761"/>
      <w:bookmarkStart w:id="345" w:name="_Toc430530486"/>
      <w:bookmarkStart w:id="346" w:name="_Toc200513177"/>
      <w:bookmarkStart w:id="347" w:name="_Toc10750"/>
      <w:bookmarkStart w:id="348" w:name="_Toc224103368"/>
      <w:bookmarkStart w:id="349" w:name="_Toc2907"/>
      <w:bookmarkStart w:id="350" w:name="_Toc287620736"/>
      <w:bookmarkStart w:id="351" w:name="_Toc287607797"/>
      <w:bookmarkStart w:id="352" w:name="_Toc277082603"/>
      <w:r>
        <w:rPr>
          <w:rFonts w:hint="eastAsia" w:asciiTheme="minorEastAsia" w:hAnsiTheme="minorEastAsia" w:eastAsiaTheme="minorEastAsia" w:cstheme="minorEastAsia"/>
          <w:bCs/>
          <w:snapToGrid w:val="0"/>
          <w:color w:val="auto"/>
          <w:szCs w:val="21"/>
          <w:highlight w:val="none"/>
        </w:rPr>
        <w:t>9.5  投诉</w:t>
      </w:r>
      <w:bookmarkEnd w:id="344"/>
      <w:bookmarkEnd w:id="345"/>
      <w:bookmarkEnd w:id="346"/>
      <w:bookmarkEnd w:id="347"/>
      <w:bookmarkEnd w:id="348"/>
      <w:bookmarkEnd w:id="349"/>
      <w:bookmarkEnd w:id="350"/>
      <w:bookmarkEnd w:id="351"/>
      <w:bookmarkEnd w:id="352"/>
    </w:p>
    <w:p w14:paraId="28F48DB5">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投标人和其他利害关系人认为本次招标活动违反法律、法规和规章规定的，有权向有关行政监督部门投诉。</w:t>
      </w:r>
    </w:p>
    <w:p w14:paraId="48ED1A51">
      <w:pPr>
        <w:keepNext/>
        <w:keepLines/>
        <w:spacing w:line="360" w:lineRule="auto"/>
        <w:ind w:firstLine="420" w:firstLineChars="200"/>
        <w:rPr>
          <w:rFonts w:hint="eastAsia" w:asciiTheme="minorEastAsia" w:hAnsiTheme="minorEastAsia" w:eastAsiaTheme="minorEastAsia" w:cstheme="minorEastAsia"/>
          <w:bCs/>
          <w:snapToGrid w:val="0"/>
          <w:color w:val="auto"/>
          <w:szCs w:val="21"/>
          <w:highlight w:val="none"/>
        </w:rPr>
      </w:pPr>
      <w:bookmarkStart w:id="353" w:name="_Toc430530487"/>
      <w:bookmarkStart w:id="354" w:name="_Toc287620737"/>
      <w:bookmarkStart w:id="355" w:name="_Toc224103369"/>
      <w:bookmarkStart w:id="356" w:name="_Toc36043738"/>
      <w:bookmarkStart w:id="357" w:name="_Toc287607798"/>
      <w:bookmarkStart w:id="358" w:name="_Toc200513178"/>
      <w:bookmarkStart w:id="359" w:name="_Toc277082604"/>
      <w:bookmarkStart w:id="360" w:name="_Toc509218762"/>
      <w:r>
        <w:rPr>
          <w:rFonts w:hint="eastAsia" w:asciiTheme="minorEastAsia" w:hAnsiTheme="minorEastAsia" w:eastAsiaTheme="minorEastAsia" w:cstheme="minorEastAsia"/>
          <w:bCs/>
          <w:snapToGrid w:val="0"/>
          <w:color w:val="auto"/>
          <w:szCs w:val="21"/>
          <w:highlight w:val="none"/>
        </w:rPr>
        <w:t>10. 需要补充的其他内容</w:t>
      </w:r>
      <w:bookmarkEnd w:id="353"/>
      <w:bookmarkEnd w:id="354"/>
      <w:bookmarkEnd w:id="355"/>
      <w:bookmarkEnd w:id="356"/>
      <w:bookmarkEnd w:id="357"/>
      <w:bookmarkEnd w:id="358"/>
      <w:bookmarkEnd w:id="359"/>
      <w:bookmarkEnd w:id="360"/>
    </w:p>
    <w:p w14:paraId="4B176CCB">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需要补充的其他内容：见投标人须知前附表。</w:t>
      </w:r>
    </w:p>
    <w:p w14:paraId="5CB579A4">
      <w:pPr>
        <w:spacing w:line="360" w:lineRule="auto"/>
        <w:ind w:firstLine="240" w:firstLineChars="100"/>
        <w:rPr>
          <w:rFonts w:hint="eastAsia" w:asciiTheme="minorEastAsia" w:hAnsiTheme="minorEastAsia" w:eastAsiaTheme="minorEastAsia" w:cstheme="minorEastAsia"/>
          <w:color w:val="auto"/>
          <w:sz w:val="24"/>
          <w:highlight w:val="none"/>
        </w:rPr>
        <w:sectPr>
          <w:footerReference r:id="rId8" w:type="first"/>
          <w:footerReference r:id="rId7" w:type="default"/>
          <w:pgSz w:w="11906" w:h="16838"/>
          <w:pgMar w:top="1134" w:right="1418" w:bottom="1134" w:left="1418" w:header="851" w:footer="992" w:gutter="0"/>
          <w:cols w:space="720" w:num="1"/>
          <w:docGrid w:type="lines" w:linePitch="312" w:charSpace="0"/>
        </w:sectPr>
      </w:pPr>
    </w:p>
    <w:p w14:paraId="390876E0">
      <w:pPr>
        <w:keepNext/>
        <w:keepLines/>
        <w:spacing w:before="340" w:after="330" w:line="360" w:lineRule="auto"/>
        <w:ind w:firstLine="883" w:firstLineChars="200"/>
        <w:jc w:val="center"/>
        <w:outlineLvl w:val="0"/>
        <w:rPr>
          <w:rFonts w:hint="eastAsia" w:asciiTheme="minorEastAsia" w:hAnsiTheme="minorEastAsia" w:eastAsiaTheme="minorEastAsia" w:cstheme="minorEastAsia"/>
          <w:b/>
          <w:bCs/>
          <w:color w:val="auto"/>
          <w:kern w:val="44"/>
          <w:sz w:val="44"/>
          <w:szCs w:val="44"/>
          <w:highlight w:val="none"/>
        </w:rPr>
      </w:pPr>
      <w:bookmarkStart w:id="361" w:name="_Toc27983298"/>
      <w:bookmarkStart w:id="362" w:name="_Toc509218774"/>
      <w:bookmarkStart w:id="363" w:name="_Toc22226"/>
      <w:bookmarkStart w:id="364" w:name="_Toc430530509"/>
      <w:bookmarkStart w:id="365" w:name="_Toc8427"/>
      <w:bookmarkStart w:id="366" w:name="_Toc509218785"/>
      <w:r>
        <w:rPr>
          <w:rFonts w:hint="eastAsia" w:asciiTheme="minorEastAsia" w:hAnsiTheme="minorEastAsia" w:eastAsiaTheme="minorEastAsia" w:cstheme="minorEastAsia"/>
          <w:b/>
          <w:bCs/>
          <w:color w:val="auto"/>
          <w:kern w:val="44"/>
          <w:sz w:val="44"/>
          <w:szCs w:val="44"/>
          <w:highlight w:val="none"/>
        </w:rPr>
        <w:t>第三章  评标办法（综合评估法）</w:t>
      </w:r>
      <w:bookmarkEnd w:id="361"/>
      <w:bookmarkEnd w:id="362"/>
      <w:bookmarkEnd w:id="363"/>
      <w:bookmarkStart w:id="367" w:name="_Toc287620750"/>
      <w:bookmarkStart w:id="368" w:name="_Toc224103383"/>
      <w:bookmarkStart w:id="369" w:name="_Toc277082617"/>
      <w:bookmarkStart w:id="370" w:name="_Toc287607811"/>
      <w:bookmarkStart w:id="371" w:name="_Toc430530499"/>
    </w:p>
    <w:p w14:paraId="14C5313D">
      <w:pPr>
        <w:keepNext/>
        <w:keepLines/>
        <w:spacing w:before="100" w:after="100" w:line="360" w:lineRule="auto"/>
        <w:outlineLvl w:val="1"/>
        <w:rPr>
          <w:rFonts w:hint="eastAsia" w:asciiTheme="minorEastAsia" w:hAnsiTheme="minorEastAsia" w:eastAsiaTheme="minorEastAsia" w:cstheme="minorEastAsia"/>
          <w:b/>
          <w:bCs/>
          <w:color w:val="auto"/>
          <w:sz w:val="32"/>
          <w:szCs w:val="32"/>
          <w:highlight w:val="none"/>
        </w:rPr>
      </w:pPr>
      <w:bookmarkStart w:id="372" w:name="_Toc30753"/>
      <w:bookmarkStart w:id="373" w:name="_Toc509218775"/>
      <w:bookmarkStart w:id="374" w:name="_Toc27983299"/>
      <w:r>
        <w:rPr>
          <w:rFonts w:hint="eastAsia" w:asciiTheme="minorEastAsia" w:hAnsiTheme="minorEastAsia" w:eastAsiaTheme="minorEastAsia" w:cstheme="minorEastAsia"/>
          <w:b/>
          <w:bCs/>
          <w:color w:val="auto"/>
          <w:sz w:val="32"/>
          <w:szCs w:val="32"/>
          <w:highlight w:val="none"/>
        </w:rPr>
        <w:t>评标办法前附表</w:t>
      </w:r>
      <w:bookmarkEnd w:id="372"/>
      <w:bookmarkEnd w:id="373"/>
      <w:bookmarkEnd w:id="374"/>
    </w:p>
    <w:p w14:paraId="6BFEBE0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评标办法前附表中的评审内容必须和竞标人须知前附表中的对应内容一致，若竞标人须知前附表中未作要求的内容，不得列入评标办法前附表作为评定依据。</w:t>
      </w:r>
    </w:p>
    <w:tbl>
      <w:tblPr>
        <w:tblStyle w:val="48"/>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52"/>
        <w:gridCol w:w="666"/>
        <w:gridCol w:w="709"/>
        <w:gridCol w:w="837"/>
        <w:gridCol w:w="1012"/>
        <w:gridCol w:w="5493"/>
      </w:tblGrid>
      <w:tr w14:paraId="2299E8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Align w:val="center"/>
          </w:tcPr>
          <w:p w14:paraId="26CD470C">
            <w:pPr>
              <w:spacing w:line="400" w:lineRule="exact"/>
              <w:jc w:val="center"/>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条款号</w:t>
            </w:r>
          </w:p>
        </w:tc>
        <w:tc>
          <w:tcPr>
            <w:tcW w:w="2558" w:type="dxa"/>
            <w:gridSpan w:val="3"/>
            <w:vAlign w:val="center"/>
          </w:tcPr>
          <w:p w14:paraId="2C2B60DE">
            <w:pPr>
              <w:spacing w:line="400" w:lineRule="exact"/>
              <w:jc w:val="center"/>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评审因素</w:t>
            </w:r>
          </w:p>
        </w:tc>
        <w:tc>
          <w:tcPr>
            <w:tcW w:w="5493" w:type="dxa"/>
            <w:vAlign w:val="center"/>
          </w:tcPr>
          <w:p w14:paraId="172FDF65">
            <w:pPr>
              <w:spacing w:line="400" w:lineRule="exact"/>
              <w:jc w:val="center"/>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评审标准</w:t>
            </w:r>
          </w:p>
        </w:tc>
      </w:tr>
      <w:tr w14:paraId="6BDDE4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18" w:type="dxa"/>
            <w:gridSpan w:val="2"/>
            <w:vAlign w:val="center"/>
          </w:tcPr>
          <w:p w14:paraId="0582FD66">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w:t>
            </w:r>
          </w:p>
        </w:tc>
        <w:tc>
          <w:tcPr>
            <w:tcW w:w="2558" w:type="dxa"/>
            <w:gridSpan w:val="3"/>
            <w:vAlign w:val="center"/>
          </w:tcPr>
          <w:p w14:paraId="0D3FD7E6">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评标办法</w:t>
            </w:r>
          </w:p>
        </w:tc>
        <w:tc>
          <w:tcPr>
            <w:tcW w:w="5493" w:type="dxa"/>
            <w:vAlign w:val="center"/>
          </w:tcPr>
          <w:p w14:paraId="654A3B9D">
            <w:pPr>
              <w:spacing w:line="400" w:lineRule="exact"/>
              <w:ind w:firstLine="42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szCs w:val="21"/>
                <w:highlight w:val="none"/>
              </w:rPr>
              <w:t>本次评标采用综合评估法</w:t>
            </w:r>
            <w:r>
              <w:rPr>
                <w:rFonts w:hint="eastAsia" w:asciiTheme="minorEastAsia" w:hAnsiTheme="minorEastAsia" w:eastAsiaTheme="minorEastAsia" w:cstheme="minorEastAsia"/>
                <w:color w:val="auto"/>
                <w:spacing w:val="-47"/>
                <w:kern w:val="0"/>
                <w:szCs w:val="21"/>
                <w:highlight w:val="none"/>
              </w:rPr>
              <w:t>。</w:t>
            </w:r>
            <w:r>
              <w:rPr>
                <w:rFonts w:hint="eastAsia" w:asciiTheme="minorEastAsia" w:hAnsiTheme="minorEastAsia" w:eastAsiaTheme="minorEastAsia" w:cstheme="minorEastAsia"/>
                <w:color w:val="auto"/>
                <w:kern w:val="0"/>
                <w:szCs w:val="21"/>
                <w:highlight w:val="none"/>
              </w:rPr>
              <w:t xml:space="preserve">评审小组按照本章第 </w:t>
            </w:r>
            <w:r>
              <w:rPr>
                <w:rFonts w:hint="eastAsia" w:asciiTheme="minorEastAsia" w:hAnsiTheme="minorEastAsia" w:eastAsiaTheme="minorEastAsia" w:cstheme="minorEastAsia"/>
                <w:color w:val="auto"/>
                <w:spacing w:val="1"/>
                <w:kern w:val="0"/>
                <w:szCs w:val="21"/>
                <w:highlight w:val="none"/>
              </w:rPr>
              <w:t>2</w:t>
            </w:r>
            <w:r>
              <w:rPr>
                <w:rFonts w:hint="eastAsia" w:asciiTheme="minorEastAsia" w:hAnsiTheme="minorEastAsia" w:eastAsiaTheme="minorEastAsia" w:cstheme="minorEastAsia"/>
                <w:color w:val="auto"/>
                <w:spacing w:val="-1"/>
                <w:kern w:val="0"/>
                <w:szCs w:val="21"/>
                <w:highlight w:val="none"/>
              </w:rPr>
              <w:t>.</w:t>
            </w: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spacing w:val="1"/>
                <w:kern w:val="0"/>
                <w:szCs w:val="21"/>
                <w:highlight w:val="none"/>
              </w:rPr>
              <w:t xml:space="preserve"> </w:t>
            </w:r>
            <w:r>
              <w:rPr>
                <w:rFonts w:hint="eastAsia" w:asciiTheme="minorEastAsia" w:hAnsiTheme="minorEastAsia" w:eastAsiaTheme="minorEastAsia" w:cstheme="minorEastAsia"/>
                <w:color w:val="auto"/>
                <w:kern w:val="0"/>
                <w:szCs w:val="21"/>
                <w:highlight w:val="none"/>
              </w:rPr>
              <w:t>款</w:t>
            </w:r>
            <w:r>
              <w:rPr>
                <w:rFonts w:hint="eastAsia" w:asciiTheme="minorEastAsia" w:hAnsiTheme="minorEastAsia" w:eastAsiaTheme="minorEastAsia" w:cstheme="minorEastAsia"/>
                <w:color w:val="auto"/>
                <w:spacing w:val="-1"/>
                <w:kern w:val="0"/>
                <w:szCs w:val="21"/>
                <w:highlight w:val="none"/>
              </w:rPr>
              <w:t>规</w:t>
            </w:r>
            <w:r>
              <w:rPr>
                <w:rFonts w:hint="eastAsia" w:asciiTheme="minorEastAsia" w:hAnsiTheme="minorEastAsia" w:eastAsiaTheme="minorEastAsia" w:cstheme="minorEastAsia"/>
                <w:color w:val="auto"/>
                <w:kern w:val="0"/>
                <w:szCs w:val="21"/>
                <w:highlight w:val="none"/>
              </w:rPr>
              <w:t>定的评分标准进行打分，按得分由高到低顺序推荐中标候选人</w:t>
            </w:r>
            <w:r>
              <w:rPr>
                <w:rFonts w:hint="eastAsia" w:asciiTheme="minorEastAsia" w:hAnsiTheme="minorEastAsia" w:eastAsiaTheme="minorEastAsia" w:cstheme="minorEastAsia"/>
                <w:color w:val="auto"/>
                <w:spacing w:val="-20"/>
                <w:kern w:val="0"/>
                <w:szCs w:val="21"/>
                <w:highlight w:val="none"/>
              </w:rPr>
              <w:t>，</w:t>
            </w:r>
            <w:r>
              <w:rPr>
                <w:rFonts w:hint="eastAsia" w:asciiTheme="minorEastAsia" w:hAnsiTheme="minorEastAsia" w:eastAsiaTheme="minorEastAsia" w:cstheme="minorEastAsia"/>
                <w:color w:val="auto"/>
                <w:kern w:val="0"/>
                <w:szCs w:val="21"/>
                <w:highlight w:val="none"/>
              </w:rPr>
              <w:t>或根据比选人授权直接确定中标人</w:t>
            </w:r>
            <w:r>
              <w:rPr>
                <w:rFonts w:hint="eastAsia" w:asciiTheme="minorEastAsia" w:hAnsiTheme="minorEastAsia" w:eastAsiaTheme="minorEastAsia" w:cstheme="minorEastAsia"/>
                <w:color w:val="auto"/>
                <w:spacing w:val="-31"/>
                <w:kern w:val="0"/>
                <w:szCs w:val="21"/>
                <w:highlight w:val="none"/>
              </w:rPr>
              <w:t>。</w:t>
            </w:r>
            <w:r>
              <w:rPr>
                <w:rFonts w:hint="eastAsia" w:asciiTheme="minorEastAsia" w:hAnsiTheme="minorEastAsia" w:eastAsiaTheme="minorEastAsia" w:cstheme="minorEastAsia"/>
                <w:color w:val="auto"/>
                <w:kern w:val="0"/>
                <w:szCs w:val="21"/>
                <w:highlight w:val="none"/>
              </w:rPr>
              <w:t>综合评分相等时</w:t>
            </w:r>
            <w:r>
              <w:rPr>
                <w:rFonts w:hint="eastAsia" w:asciiTheme="minorEastAsia" w:hAnsiTheme="minorEastAsia" w:eastAsiaTheme="minorEastAsia" w:cstheme="minorEastAsia"/>
                <w:color w:val="auto"/>
                <w:spacing w:val="-31"/>
                <w:kern w:val="0"/>
                <w:szCs w:val="21"/>
                <w:highlight w:val="none"/>
              </w:rPr>
              <w:t>，</w:t>
            </w:r>
            <w:r>
              <w:rPr>
                <w:rFonts w:hint="eastAsia" w:asciiTheme="minorEastAsia" w:hAnsiTheme="minorEastAsia" w:eastAsiaTheme="minorEastAsia" w:cstheme="minorEastAsia"/>
                <w:color w:val="auto"/>
                <w:kern w:val="0"/>
                <w:szCs w:val="21"/>
                <w:highlight w:val="none"/>
              </w:rPr>
              <w:t>以竞标报价低的优先；竞标报价相等的，由评审小组按照技术方案得分高的优先原则排序。</w:t>
            </w:r>
          </w:p>
        </w:tc>
      </w:tr>
      <w:tr w14:paraId="5D76A9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vAlign w:val="center"/>
          </w:tcPr>
          <w:p w14:paraId="3A95F25B">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2.1.1</w:t>
            </w:r>
          </w:p>
        </w:tc>
        <w:tc>
          <w:tcPr>
            <w:tcW w:w="666" w:type="dxa"/>
            <w:vMerge w:val="restart"/>
            <w:vAlign w:val="center"/>
          </w:tcPr>
          <w:p w14:paraId="257F4DB9">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形式评审标准</w:t>
            </w:r>
          </w:p>
        </w:tc>
        <w:tc>
          <w:tcPr>
            <w:tcW w:w="2558" w:type="dxa"/>
            <w:gridSpan w:val="3"/>
            <w:vAlign w:val="center"/>
          </w:tcPr>
          <w:p w14:paraId="1FD582AF">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竞标人名称</w:t>
            </w:r>
          </w:p>
        </w:tc>
        <w:tc>
          <w:tcPr>
            <w:tcW w:w="5493" w:type="dxa"/>
            <w:vAlign w:val="center"/>
          </w:tcPr>
          <w:p w14:paraId="5D032A32">
            <w:pPr>
              <w:spacing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与营业执照一致。</w:t>
            </w:r>
          </w:p>
        </w:tc>
      </w:tr>
      <w:tr w14:paraId="2807CE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2C632E7D">
            <w:pPr>
              <w:spacing w:line="400" w:lineRule="exact"/>
              <w:rPr>
                <w:rFonts w:hint="eastAsia" w:asciiTheme="minorEastAsia" w:hAnsiTheme="minorEastAsia" w:eastAsiaTheme="minorEastAsia" w:cstheme="minorEastAsia"/>
                <w:color w:val="auto"/>
                <w:highlight w:val="none"/>
              </w:rPr>
            </w:pPr>
          </w:p>
        </w:tc>
        <w:tc>
          <w:tcPr>
            <w:tcW w:w="666" w:type="dxa"/>
            <w:vMerge w:val="continue"/>
          </w:tcPr>
          <w:p w14:paraId="73FB4F5E">
            <w:pPr>
              <w:spacing w:line="400" w:lineRule="exact"/>
              <w:rPr>
                <w:rFonts w:hint="eastAsia" w:asciiTheme="minorEastAsia" w:hAnsiTheme="minorEastAsia" w:eastAsiaTheme="minorEastAsia" w:cstheme="minorEastAsia"/>
                <w:color w:val="auto"/>
                <w:highlight w:val="none"/>
              </w:rPr>
            </w:pPr>
          </w:p>
        </w:tc>
        <w:tc>
          <w:tcPr>
            <w:tcW w:w="2558" w:type="dxa"/>
            <w:gridSpan w:val="3"/>
            <w:vAlign w:val="center"/>
          </w:tcPr>
          <w:p w14:paraId="0B20C0D0">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竞标函签字盖章</w:t>
            </w:r>
          </w:p>
        </w:tc>
        <w:tc>
          <w:tcPr>
            <w:tcW w:w="5493" w:type="dxa"/>
            <w:vAlign w:val="center"/>
          </w:tcPr>
          <w:p w14:paraId="0291A230">
            <w:pPr>
              <w:spacing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有法定代表人或其委托代理人签字（或盖章）、加盖单位法人章。</w:t>
            </w:r>
          </w:p>
        </w:tc>
      </w:tr>
      <w:tr w14:paraId="7B6164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4E982D23">
            <w:pPr>
              <w:spacing w:line="400" w:lineRule="exact"/>
              <w:rPr>
                <w:rFonts w:hint="eastAsia" w:asciiTheme="minorEastAsia" w:hAnsiTheme="minorEastAsia" w:eastAsiaTheme="minorEastAsia" w:cstheme="minorEastAsia"/>
                <w:color w:val="auto"/>
                <w:highlight w:val="none"/>
              </w:rPr>
            </w:pPr>
          </w:p>
        </w:tc>
        <w:tc>
          <w:tcPr>
            <w:tcW w:w="666" w:type="dxa"/>
            <w:vMerge w:val="continue"/>
          </w:tcPr>
          <w:p w14:paraId="3F086651">
            <w:pPr>
              <w:spacing w:line="400" w:lineRule="exact"/>
              <w:rPr>
                <w:rFonts w:hint="eastAsia" w:asciiTheme="minorEastAsia" w:hAnsiTheme="minorEastAsia" w:eastAsiaTheme="minorEastAsia" w:cstheme="minorEastAsia"/>
                <w:color w:val="auto"/>
                <w:highlight w:val="none"/>
              </w:rPr>
            </w:pPr>
          </w:p>
        </w:tc>
        <w:tc>
          <w:tcPr>
            <w:tcW w:w="2558" w:type="dxa"/>
            <w:gridSpan w:val="3"/>
            <w:vAlign w:val="center"/>
          </w:tcPr>
          <w:p w14:paraId="4049F9A8">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竞标文件格式</w:t>
            </w:r>
          </w:p>
        </w:tc>
        <w:tc>
          <w:tcPr>
            <w:tcW w:w="5493" w:type="dxa"/>
            <w:vAlign w:val="center"/>
          </w:tcPr>
          <w:p w14:paraId="70FB7FC4">
            <w:pPr>
              <w:spacing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符合第六章“竞标文件格式”的要求。</w:t>
            </w:r>
          </w:p>
        </w:tc>
      </w:tr>
      <w:tr w14:paraId="28A757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626AF46D">
            <w:pPr>
              <w:spacing w:line="400" w:lineRule="exact"/>
              <w:rPr>
                <w:rFonts w:hint="eastAsia" w:asciiTheme="minorEastAsia" w:hAnsiTheme="minorEastAsia" w:eastAsiaTheme="minorEastAsia" w:cstheme="minorEastAsia"/>
                <w:color w:val="auto"/>
                <w:highlight w:val="none"/>
              </w:rPr>
            </w:pPr>
          </w:p>
        </w:tc>
        <w:tc>
          <w:tcPr>
            <w:tcW w:w="666" w:type="dxa"/>
            <w:vMerge w:val="continue"/>
          </w:tcPr>
          <w:p w14:paraId="3C2FE951">
            <w:pPr>
              <w:spacing w:line="400" w:lineRule="exact"/>
              <w:rPr>
                <w:rFonts w:hint="eastAsia" w:asciiTheme="minorEastAsia" w:hAnsiTheme="minorEastAsia" w:eastAsiaTheme="minorEastAsia" w:cstheme="minorEastAsia"/>
                <w:color w:val="auto"/>
                <w:highlight w:val="none"/>
              </w:rPr>
            </w:pPr>
          </w:p>
        </w:tc>
        <w:tc>
          <w:tcPr>
            <w:tcW w:w="2558" w:type="dxa"/>
            <w:gridSpan w:val="3"/>
            <w:vAlign w:val="center"/>
          </w:tcPr>
          <w:p w14:paraId="15169B99">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报价唯一</w:t>
            </w:r>
          </w:p>
        </w:tc>
        <w:tc>
          <w:tcPr>
            <w:tcW w:w="5493" w:type="dxa"/>
            <w:vAlign w:val="center"/>
          </w:tcPr>
          <w:p w14:paraId="1F5C07E3">
            <w:pPr>
              <w:spacing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只能有一个有效报价，在招标文件没有规定的情况下，不得提交选择性报价。</w:t>
            </w:r>
          </w:p>
        </w:tc>
      </w:tr>
      <w:tr w14:paraId="7E6E3A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36E7A4E2">
            <w:pPr>
              <w:spacing w:line="400" w:lineRule="exact"/>
              <w:rPr>
                <w:rFonts w:hint="eastAsia" w:asciiTheme="minorEastAsia" w:hAnsiTheme="minorEastAsia" w:eastAsiaTheme="minorEastAsia" w:cstheme="minorEastAsia"/>
                <w:color w:val="auto"/>
                <w:highlight w:val="none"/>
              </w:rPr>
            </w:pPr>
          </w:p>
        </w:tc>
        <w:tc>
          <w:tcPr>
            <w:tcW w:w="666" w:type="dxa"/>
            <w:vMerge w:val="continue"/>
          </w:tcPr>
          <w:p w14:paraId="6FAD445F">
            <w:pPr>
              <w:spacing w:line="400" w:lineRule="exact"/>
              <w:rPr>
                <w:rFonts w:hint="eastAsia" w:asciiTheme="minorEastAsia" w:hAnsiTheme="minorEastAsia" w:eastAsiaTheme="minorEastAsia" w:cstheme="minorEastAsia"/>
                <w:color w:val="auto"/>
                <w:highlight w:val="none"/>
              </w:rPr>
            </w:pPr>
          </w:p>
        </w:tc>
        <w:tc>
          <w:tcPr>
            <w:tcW w:w="2558" w:type="dxa"/>
            <w:gridSpan w:val="3"/>
            <w:vAlign w:val="center"/>
          </w:tcPr>
          <w:p w14:paraId="6524DB48">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竞标文件的签署</w:t>
            </w:r>
          </w:p>
        </w:tc>
        <w:tc>
          <w:tcPr>
            <w:tcW w:w="5493" w:type="dxa"/>
            <w:vAlign w:val="center"/>
          </w:tcPr>
          <w:p w14:paraId="51FD5337">
            <w:pPr>
              <w:spacing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竞标文件上法定代表人或其委托代理人的签字（或盖章）齐全。</w:t>
            </w:r>
          </w:p>
        </w:tc>
      </w:tr>
      <w:tr w14:paraId="599E45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65CEB712">
            <w:pPr>
              <w:spacing w:line="400" w:lineRule="exact"/>
              <w:rPr>
                <w:rFonts w:hint="eastAsia" w:asciiTheme="minorEastAsia" w:hAnsiTheme="minorEastAsia" w:eastAsiaTheme="minorEastAsia" w:cstheme="minorEastAsia"/>
                <w:color w:val="auto"/>
                <w:highlight w:val="none"/>
              </w:rPr>
            </w:pPr>
          </w:p>
        </w:tc>
        <w:tc>
          <w:tcPr>
            <w:tcW w:w="666" w:type="dxa"/>
            <w:vMerge w:val="continue"/>
          </w:tcPr>
          <w:p w14:paraId="465229D8">
            <w:pPr>
              <w:spacing w:line="400" w:lineRule="exact"/>
              <w:rPr>
                <w:rFonts w:hint="eastAsia" w:asciiTheme="minorEastAsia" w:hAnsiTheme="minorEastAsia" w:eastAsiaTheme="minorEastAsia" w:cstheme="minorEastAsia"/>
                <w:color w:val="auto"/>
                <w:highlight w:val="none"/>
              </w:rPr>
            </w:pPr>
          </w:p>
        </w:tc>
        <w:tc>
          <w:tcPr>
            <w:tcW w:w="2558" w:type="dxa"/>
            <w:gridSpan w:val="3"/>
            <w:vAlign w:val="center"/>
          </w:tcPr>
          <w:p w14:paraId="591C2A6B">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委托代理人</w:t>
            </w:r>
          </w:p>
        </w:tc>
        <w:tc>
          <w:tcPr>
            <w:tcW w:w="5493" w:type="dxa"/>
            <w:vAlign w:val="center"/>
          </w:tcPr>
          <w:p w14:paraId="28943ABE">
            <w:pPr>
              <w:spacing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竞标人法定代表人的委托代理人有法定代表人签署的授权委托书。</w:t>
            </w:r>
          </w:p>
        </w:tc>
      </w:tr>
      <w:tr w14:paraId="74840B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vAlign w:val="center"/>
          </w:tcPr>
          <w:p w14:paraId="27E759A1">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2.1.2</w:t>
            </w:r>
          </w:p>
        </w:tc>
        <w:tc>
          <w:tcPr>
            <w:tcW w:w="666" w:type="dxa"/>
            <w:vMerge w:val="restart"/>
            <w:vAlign w:val="center"/>
          </w:tcPr>
          <w:p w14:paraId="71663EC4">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资格评审标准</w:t>
            </w:r>
          </w:p>
        </w:tc>
        <w:tc>
          <w:tcPr>
            <w:tcW w:w="2558" w:type="dxa"/>
            <w:gridSpan w:val="3"/>
            <w:tcBorders>
              <w:bottom w:val="single" w:color="auto" w:sz="4" w:space="0"/>
            </w:tcBorders>
            <w:vAlign w:val="center"/>
          </w:tcPr>
          <w:p w14:paraId="7A82D7C4">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营业执照</w:t>
            </w:r>
          </w:p>
        </w:tc>
        <w:tc>
          <w:tcPr>
            <w:tcW w:w="5493" w:type="dxa"/>
            <w:vAlign w:val="center"/>
          </w:tcPr>
          <w:p w14:paraId="089C7012">
            <w:pPr>
              <w:spacing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符合第二章“竞标人须知”第1.4.1项规定。</w:t>
            </w:r>
          </w:p>
        </w:tc>
      </w:tr>
      <w:tr w14:paraId="0DCE29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08B53B7E">
            <w:pPr>
              <w:spacing w:line="400" w:lineRule="exact"/>
              <w:rPr>
                <w:rFonts w:hint="eastAsia" w:asciiTheme="minorEastAsia" w:hAnsiTheme="minorEastAsia" w:eastAsiaTheme="minorEastAsia" w:cstheme="minorEastAsia"/>
                <w:color w:val="auto"/>
                <w:highlight w:val="none"/>
              </w:rPr>
            </w:pPr>
          </w:p>
        </w:tc>
        <w:tc>
          <w:tcPr>
            <w:tcW w:w="666" w:type="dxa"/>
            <w:vMerge w:val="continue"/>
          </w:tcPr>
          <w:p w14:paraId="2BB80D8B">
            <w:pPr>
              <w:spacing w:line="400" w:lineRule="exact"/>
              <w:rPr>
                <w:rFonts w:hint="eastAsia" w:asciiTheme="minorEastAsia" w:hAnsiTheme="minorEastAsia" w:eastAsiaTheme="minorEastAsia" w:cstheme="minorEastAsia"/>
                <w:color w:val="auto"/>
                <w:highlight w:val="none"/>
              </w:rPr>
            </w:pPr>
          </w:p>
        </w:tc>
        <w:tc>
          <w:tcPr>
            <w:tcW w:w="2558" w:type="dxa"/>
            <w:gridSpan w:val="3"/>
            <w:tcBorders>
              <w:top w:val="single" w:color="auto" w:sz="4" w:space="0"/>
              <w:bottom w:val="single" w:color="auto" w:sz="4" w:space="0"/>
            </w:tcBorders>
          </w:tcPr>
          <w:p w14:paraId="4EEC4CE3">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szCs w:val="21"/>
                <w:highlight w:val="none"/>
              </w:rPr>
              <w:t>竞标截止日竞标资格情况</w:t>
            </w:r>
          </w:p>
        </w:tc>
        <w:tc>
          <w:tcPr>
            <w:tcW w:w="5493" w:type="dxa"/>
            <w:vAlign w:val="center"/>
          </w:tcPr>
          <w:p w14:paraId="5A4E6D91">
            <w:pPr>
              <w:spacing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符合第二章“竞标人须知”第1.4.1项规定</w:t>
            </w:r>
          </w:p>
        </w:tc>
      </w:tr>
      <w:tr w14:paraId="379ABF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392DD8B4">
            <w:pPr>
              <w:spacing w:line="400" w:lineRule="exact"/>
              <w:rPr>
                <w:rFonts w:hint="eastAsia" w:asciiTheme="minorEastAsia" w:hAnsiTheme="minorEastAsia" w:eastAsiaTheme="minorEastAsia" w:cstheme="minorEastAsia"/>
                <w:color w:val="auto"/>
                <w:highlight w:val="none"/>
              </w:rPr>
            </w:pPr>
          </w:p>
        </w:tc>
        <w:tc>
          <w:tcPr>
            <w:tcW w:w="666" w:type="dxa"/>
            <w:vMerge w:val="continue"/>
          </w:tcPr>
          <w:p w14:paraId="2EDF4CA8">
            <w:pPr>
              <w:spacing w:line="400" w:lineRule="exact"/>
              <w:rPr>
                <w:rFonts w:hint="eastAsia" w:asciiTheme="minorEastAsia" w:hAnsiTheme="minorEastAsia" w:eastAsiaTheme="minorEastAsia" w:cstheme="minorEastAsia"/>
                <w:color w:val="auto"/>
                <w:highlight w:val="none"/>
              </w:rPr>
            </w:pPr>
          </w:p>
        </w:tc>
        <w:tc>
          <w:tcPr>
            <w:tcW w:w="2558" w:type="dxa"/>
            <w:gridSpan w:val="3"/>
            <w:tcBorders>
              <w:top w:val="single" w:color="auto" w:sz="4" w:space="0"/>
              <w:bottom w:val="single" w:color="auto" w:sz="4" w:space="0"/>
            </w:tcBorders>
          </w:tcPr>
          <w:p w14:paraId="478C85A6">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其他要求</w:t>
            </w:r>
          </w:p>
        </w:tc>
        <w:tc>
          <w:tcPr>
            <w:tcW w:w="5493" w:type="dxa"/>
            <w:vAlign w:val="center"/>
          </w:tcPr>
          <w:p w14:paraId="74F0091E">
            <w:pPr>
              <w:spacing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符合第二章“竞标人须知”第1.4.1项规定</w:t>
            </w:r>
          </w:p>
        </w:tc>
      </w:tr>
      <w:tr w14:paraId="71FBC2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vAlign w:val="center"/>
          </w:tcPr>
          <w:p w14:paraId="46B572F4">
            <w:pPr>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2.1.3</w:t>
            </w:r>
          </w:p>
        </w:tc>
        <w:tc>
          <w:tcPr>
            <w:tcW w:w="666" w:type="dxa"/>
            <w:vMerge w:val="restart"/>
            <w:vAlign w:val="center"/>
          </w:tcPr>
          <w:p w14:paraId="3A07C5B8">
            <w:pPr>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响应性评审标准</w:t>
            </w:r>
          </w:p>
        </w:tc>
        <w:tc>
          <w:tcPr>
            <w:tcW w:w="2558" w:type="dxa"/>
            <w:gridSpan w:val="3"/>
            <w:vAlign w:val="center"/>
          </w:tcPr>
          <w:p w14:paraId="5738FDD5">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投标总报价</w:t>
            </w:r>
          </w:p>
        </w:tc>
        <w:tc>
          <w:tcPr>
            <w:tcW w:w="5493" w:type="dxa"/>
            <w:vAlign w:val="center"/>
          </w:tcPr>
          <w:p w14:paraId="406EB3FD">
            <w:pPr>
              <w:spacing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投标总报价不得高于比选人公布的投标总报价最高限价。</w:t>
            </w:r>
          </w:p>
        </w:tc>
      </w:tr>
      <w:tr w14:paraId="131DF8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vAlign w:val="center"/>
          </w:tcPr>
          <w:p w14:paraId="6250886C">
            <w:pPr>
              <w:spacing w:line="400" w:lineRule="exact"/>
              <w:jc w:val="center"/>
              <w:rPr>
                <w:rFonts w:hint="eastAsia" w:asciiTheme="minorEastAsia" w:hAnsiTheme="minorEastAsia" w:eastAsiaTheme="minorEastAsia" w:cstheme="minorEastAsia"/>
                <w:color w:val="auto"/>
                <w:kern w:val="0"/>
                <w:highlight w:val="none"/>
              </w:rPr>
            </w:pPr>
          </w:p>
        </w:tc>
        <w:tc>
          <w:tcPr>
            <w:tcW w:w="666" w:type="dxa"/>
            <w:vMerge w:val="continue"/>
            <w:textDirection w:val="tbRlV"/>
            <w:vAlign w:val="center"/>
          </w:tcPr>
          <w:p w14:paraId="468E8275">
            <w:pPr>
              <w:spacing w:line="400" w:lineRule="exact"/>
              <w:jc w:val="center"/>
              <w:rPr>
                <w:rFonts w:hint="eastAsia" w:asciiTheme="minorEastAsia" w:hAnsiTheme="minorEastAsia" w:eastAsiaTheme="minorEastAsia" w:cstheme="minorEastAsia"/>
                <w:color w:val="auto"/>
                <w:kern w:val="0"/>
                <w:highlight w:val="none"/>
              </w:rPr>
            </w:pPr>
          </w:p>
        </w:tc>
        <w:tc>
          <w:tcPr>
            <w:tcW w:w="2558" w:type="dxa"/>
            <w:gridSpan w:val="3"/>
            <w:vAlign w:val="center"/>
          </w:tcPr>
          <w:p w14:paraId="642F9992">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竞标内容</w:t>
            </w:r>
          </w:p>
        </w:tc>
        <w:tc>
          <w:tcPr>
            <w:tcW w:w="5493" w:type="dxa"/>
            <w:vAlign w:val="center"/>
          </w:tcPr>
          <w:p w14:paraId="1123526E">
            <w:pPr>
              <w:spacing w:line="400" w:lineRule="exact"/>
              <w:ind w:firstLine="42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符合第二章“竞标人须知”第1.3.1项规定</w:t>
            </w:r>
          </w:p>
        </w:tc>
      </w:tr>
      <w:tr w14:paraId="0A5FFE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7FC071D0">
            <w:pPr>
              <w:spacing w:line="400" w:lineRule="exact"/>
              <w:jc w:val="center"/>
              <w:rPr>
                <w:rFonts w:hint="eastAsia" w:asciiTheme="minorEastAsia" w:hAnsiTheme="minorEastAsia" w:eastAsiaTheme="minorEastAsia" w:cstheme="minorEastAsia"/>
                <w:color w:val="auto"/>
                <w:highlight w:val="none"/>
              </w:rPr>
            </w:pPr>
          </w:p>
        </w:tc>
        <w:tc>
          <w:tcPr>
            <w:tcW w:w="666" w:type="dxa"/>
            <w:vMerge w:val="continue"/>
          </w:tcPr>
          <w:p w14:paraId="14DB39E4">
            <w:pPr>
              <w:spacing w:line="400" w:lineRule="exact"/>
              <w:jc w:val="center"/>
              <w:rPr>
                <w:rFonts w:hint="eastAsia" w:asciiTheme="minorEastAsia" w:hAnsiTheme="minorEastAsia" w:eastAsiaTheme="minorEastAsia" w:cstheme="minorEastAsia"/>
                <w:color w:val="auto"/>
                <w:highlight w:val="none"/>
              </w:rPr>
            </w:pPr>
          </w:p>
        </w:tc>
        <w:tc>
          <w:tcPr>
            <w:tcW w:w="2558" w:type="dxa"/>
            <w:gridSpan w:val="3"/>
            <w:vAlign w:val="center"/>
          </w:tcPr>
          <w:p w14:paraId="3948A716">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服务期</w:t>
            </w:r>
          </w:p>
        </w:tc>
        <w:tc>
          <w:tcPr>
            <w:tcW w:w="5493" w:type="dxa"/>
            <w:vAlign w:val="center"/>
          </w:tcPr>
          <w:p w14:paraId="333EC6DE">
            <w:pPr>
              <w:spacing w:line="400" w:lineRule="exact"/>
              <w:ind w:firstLine="42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符合第二章“竞标人须知”第1.3.2项规定</w:t>
            </w:r>
          </w:p>
        </w:tc>
      </w:tr>
      <w:tr w14:paraId="7F83A8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1FA9C1A8">
            <w:pPr>
              <w:spacing w:line="400" w:lineRule="exact"/>
              <w:jc w:val="center"/>
              <w:rPr>
                <w:rFonts w:hint="eastAsia" w:asciiTheme="minorEastAsia" w:hAnsiTheme="minorEastAsia" w:eastAsiaTheme="minorEastAsia" w:cstheme="minorEastAsia"/>
                <w:color w:val="auto"/>
                <w:highlight w:val="none"/>
              </w:rPr>
            </w:pPr>
          </w:p>
        </w:tc>
        <w:tc>
          <w:tcPr>
            <w:tcW w:w="666" w:type="dxa"/>
            <w:vMerge w:val="continue"/>
          </w:tcPr>
          <w:p w14:paraId="4E770CCB">
            <w:pPr>
              <w:spacing w:line="400" w:lineRule="exact"/>
              <w:jc w:val="center"/>
              <w:rPr>
                <w:rFonts w:hint="eastAsia" w:asciiTheme="minorEastAsia" w:hAnsiTheme="minorEastAsia" w:eastAsiaTheme="minorEastAsia" w:cstheme="minorEastAsia"/>
                <w:color w:val="auto"/>
                <w:highlight w:val="none"/>
              </w:rPr>
            </w:pPr>
          </w:p>
        </w:tc>
        <w:tc>
          <w:tcPr>
            <w:tcW w:w="2558" w:type="dxa"/>
            <w:gridSpan w:val="3"/>
            <w:vAlign w:val="center"/>
          </w:tcPr>
          <w:p w14:paraId="48329B84">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质量要求</w:t>
            </w:r>
          </w:p>
        </w:tc>
        <w:tc>
          <w:tcPr>
            <w:tcW w:w="5493" w:type="dxa"/>
            <w:vAlign w:val="center"/>
          </w:tcPr>
          <w:p w14:paraId="5884F3A3">
            <w:pPr>
              <w:spacing w:line="400" w:lineRule="exact"/>
              <w:ind w:firstLine="42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符合第二章“竞标人须知”第1.3.3项规定</w:t>
            </w:r>
          </w:p>
        </w:tc>
      </w:tr>
      <w:tr w14:paraId="6891BC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78E4331A">
            <w:pPr>
              <w:spacing w:line="400" w:lineRule="exact"/>
              <w:jc w:val="center"/>
              <w:rPr>
                <w:rFonts w:hint="eastAsia" w:asciiTheme="minorEastAsia" w:hAnsiTheme="minorEastAsia" w:eastAsiaTheme="minorEastAsia" w:cstheme="minorEastAsia"/>
                <w:color w:val="auto"/>
                <w:highlight w:val="none"/>
              </w:rPr>
            </w:pPr>
          </w:p>
        </w:tc>
        <w:tc>
          <w:tcPr>
            <w:tcW w:w="666" w:type="dxa"/>
            <w:vMerge w:val="continue"/>
          </w:tcPr>
          <w:p w14:paraId="65896F58">
            <w:pPr>
              <w:spacing w:line="400" w:lineRule="exact"/>
              <w:jc w:val="center"/>
              <w:rPr>
                <w:rFonts w:hint="eastAsia" w:asciiTheme="minorEastAsia" w:hAnsiTheme="minorEastAsia" w:eastAsiaTheme="minorEastAsia" w:cstheme="minorEastAsia"/>
                <w:color w:val="auto"/>
                <w:highlight w:val="none"/>
              </w:rPr>
            </w:pPr>
          </w:p>
        </w:tc>
        <w:tc>
          <w:tcPr>
            <w:tcW w:w="2558" w:type="dxa"/>
            <w:gridSpan w:val="3"/>
            <w:vAlign w:val="center"/>
          </w:tcPr>
          <w:p w14:paraId="64816965">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竞标有效期</w:t>
            </w:r>
          </w:p>
        </w:tc>
        <w:tc>
          <w:tcPr>
            <w:tcW w:w="5493" w:type="dxa"/>
            <w:vAlign w:val="center"/>
          </w:tcPr>
          <w:p w14:paraId="53B52D25">
            <w:pPr>
              <w:spacing w:line="400" w:lineRule="exact"/>
              <w:ind w:firstLine="42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符合第二章“竞标人须知”第3.3.1项规定</w:t>
            </w:r>
          </w:p>
        </w:tc>
      </w:tr>
      <w:tr w14:paraId="54FFE6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39E765B5">
            <w:pPr>
              <w:spacing w:line="400" w:lineRule="exact"/>
              <w:jc w:val="center"/>
              <w:rPr>
                <w:rFonts w:hint="eastAsia" w:asciiTheme="minorEastAsia" w:hAnsiTheme="minorEastAsia" w:eastAsiaTheme="minorEastAsia" w:cstheme="minorEastAsia"/>
                <w:color w:val="auto"/>
                <w:highlight w:val="none"/>
              </w:rPr>
            </w:pPr>
          </w:p>
        </w:tc>
        <w:tc>
          <w:tcPr>
            <w:tcW w:w="666" w:type="dxa"/>
            <w:vMerge w:val="continue"/>
          </w:tcPr>
          <w:p w14:paraId="7D35B2AF">
            <w:pPr>
              <w:spacing w:line="400" w:lineRule="exact"/>
              <w:jc w:val="center"/>
              <w:rPr>
                <w:rFonts w:hint="eastAsia" w:asciiTheme="minorEastAsia" w:hAnsiTheme="minorEastAsia" w:eastAsiaTheme="minorEastAsia" w:cstheme="minorEastAsia"/>
                <w:color w:val="auto"/>
                <w:highlight w:val="none"/>
              </w:rPr>
            </w:pPr>
          </w:p>
        </w:tc>
        <w:tc>
          <w:tcPr>
            <w:tcW w:w="2558" w:type="dxa"/>
            <w:gridSpan w:val="3"/>
            <w:vAlign w:val="center"/>
          </w:tcPr>
          <w:p w14:paraId="1014CCED">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投标保证金</w:t>
            </w:r>
          </w:p>
        </w:tc>
        <w:tc>
          <w:tcPr>
            <w:tcW w:w="5493" w:type="dxa"/>
            <w:vAlign w:val="center"/>
          </w:tcPr>
          <w:p w14:paraId="09066290">
            <w:pPr>
              <w:tabs>
                <w:tab w:val="left" w:pos="601"/>
                <w:tab w:val="left" w:pos="669"/>
              </w:tabs>
              <w:snapToGrid w:val="0"/>
              <w:spacing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szCs w:val="21"/>
                <w:highlight w:val="none"/>
              </w:rPr>
              <w:t>符合第二章竞标人须知前附表第3.4项</w:t>
            </w:r>
            <w:r>
              <w:rPr>
                <w:rFonts w:hint="eastAsia" w:asciiTheme="minorEastAsia" w:hAnsiTheme="minorEastAsia" w:eastAsiaTheme="minorEastAsia" w:cstheme="minorEastAsia"/>
                <w:color w:val="auto"/>
                <w:kern w:val="0"/>
                <w:highlight w:val="none"/>
              </w:rPr>
              <w:t>规定</w:t>
            </w:r>
          </w:p>
        </w:tc>
      </w:tr>
      <w:tr w14:paraId="68EDC0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782F6C6C">
            <w:pPr>
              <w:spacing w:line="400" w:lineRule="exact"/>
              <w:jc w:val="center"/>
              <w:rPr>
                <w:rFonts w:hint="eastAsia" w:asciiTheme="minorEastAsia" w:hAnsiTheme="minorEastAsia" w:eastAsiaTheme="minorEastAsia" w:cstheme="minorEastAsia"/>
                <w:color w:val="auto"/>
                <w:highlight w:val="none"/>
              </w:rPr>
            </w:pPr>
          </w:p>
        </w:tc>
        <w:tc>
          <w:tcPr>
            <w:tcW w:w="666" w:type="dxa"/>
            <w:vMerge w:val="continue"/>
          </w:tcPr>
          <w:p w14:paraId="4E5F5E06">
            <w:pPr>
              <w:spacing w:line="400" w:lineRule="exact"/>
              <w:jc w:val="center"/>
              <w:rPr>
                <w:rFonts w:hint="eastAsia" w:asciiTheme="minorEastAsia" w:hAnsiTheme="minorEastAsia" w:eastAsiaTheme="minorEastAsia" w:cstheme="minorEastAsia"/>
                <w:color w:val="auto"/>
                <w:highlight w:val="none"/>
              </w:rPr>
            </w:pPr>
          </w:p>
        </w:tc>
        <w:tc>
          <w:tcPr>
            <w:tcW w:w="2558" w:type="dxa"/>
            <w:gridSpan w:val="3"/>
            <w:vAlign w:val="center"/>
          </w:tcPr>
          <w:p w14:paraId="3BA6F082">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权利义务</w:t>
            </w:r>
          </w:p>
        </w:tc>
        <w:tc>
          <w:tcPr>
            <w:tcW w:w="5493" w:type="dxa"/>
            <w:vAlign w:val="center"/>
          </w:tcPr>
          <w:p w14:paraId="0E658D63">
            <w:pPr>
              <w:spacing w:after="62" w:afterLines="20"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符合第四章“合同条款及格式”规定，竞标文件不应附有比选人不能接受的条件。</w:t>
            </w:r>
          </w:p>
        </w:tc>
      </w:tr>
      <w:tr w14:paraId="1BAF28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03FE7E17">
            <w:pPr>
              <w:spacing w:line="400" w:lineRule="exact"/>
              <w:rPr>
                <w:rFonts w:hint="eastAsia" w:asciiTheme="minorEastAsia" w:hAnsiTheme="minorEastAsia" w:eastAsiaTheme="minorEastAsia" w:cstheme="minorEastAsia"/>
                <w:color w:val="auto"/>
                <w:highlight w:val="none"/>
              </w:rPr>
            </w:pPr>
          </w:p>
        </w:tc>
        <w:tc>
          <w:tcPr>
            <w:tcW w:w="666" w:type="dxa"/>
            <w:vMerge w:val="continue"/>
          </w:tcPr>
          <w:p w14:paraId="5537E370">
            <w:pPr>
              <w:spacing w:line="400" w:lineRule="exact"/>
              <w:rPr>
                <w:rFonts w:hint="eastAsia" w:asciiTheme="minorEastAsia" w:hAnsiTheme="minorEastAsia" w:eastAsiaTheme="minorEastAsia" w:cstheme="minorEastAsia"/>
                <w:color w:val="auto"/>
                <w:highlight w:val="none"/>
              </w:rPr>
            </w:pPr>
          </w:p>
        </w:tc>
        <w:tc>
          <w:tcPr>
            <w:tcW w:w="2558" w:type="dxa"/>
            <w:gridSpan w:val="3"/>
            <w:vAlign w:val="center"/>
          </w:tcPr>
          <w:p w14:paraId="5C1D2A89">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技术标准和要求</w:t>
            </w:r>
          </w:p>
        </w:tc>
        <w:tc>
          <w:tcPr>
            <w:tcW w:w="5493" w:type="dxa"/>
            <w:vAlign w:val="center"/>
          </w:tcPr>
          <w:p w14:paraId="65F5A45B">
            <w:pPr>
              <w:spacing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符合第五章“技术标准和要求”规定。</w:t>
            </w:r>
          </w:p>
        </w:tc>
      </w:tr>
      <w:tr w14:paraId="549A44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29A05144">
            <w:pPr>
              <w:spacing w:line="400" w:lineRule="exact"/>
              <w:rPr>
                <w:rFonts w:hint="eastAsia" w:asciiTheme="minorEastAsia" w:hAnsiTheme="minorEastAsia" w:eastAsiaTheme="minorEastAsia" w:cstheme="minorEastAsia"/>
                <w:color w:val="auto"/>
                <w:highlight w:val="none"/>
              </w:rPr>
            </w:pPr>
          </w:p>
        </w:tc>
        <w:tc>
          <w:tcPr>
            <w:tcW w:w="666" w:type="dxa"/>
            <w:vMerge w:val="continue"/>
          </w:tcPr>
          <w:p w14:paraId="065A6FAE">
            <w:pPr>
              <w:spacing w:line="400" w:lineRule="exact"/>
              <w:rPr>
                <w:rFonts w:hint="eastAsia" w:asciiTheme="minorEastAsia" w:hAnsiTheme="minorEastAsia" w:eastAsiaTheme="minorEastAsia" w:cstheme="minorEastAsia"/>
                <w:color w:val="auto"/>
                <w:highlight w:val="none"/>
              </w:rPr>
            </w:pPr>
          </w:p>
        </w:tc>
        <w:tc>
          <w:tcPr>
            <w:tcW w:w="2558" w:type="dxa"/>
            <w:gridSpan w:val="3"/>
            <w:vAlign w:val="center"/>
          </w:tcPr>
          <w:p w14:paraId="567B0EBF">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竞标报价算术错误修正</w:t>
            </w:r>
          </w:p>
        </w:tc>
        <w:tc>
          <w:tcPr>
            <w:tcW w:w="5493" w:type="dxa"/>
            <w:vAlign w:val="center"/>
          </w:tcPr>
          <w:p w14:paraId="49F1997E">
            <w:pPr>
              <w:spacing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符合第三章3.评标程序第3.1.3项规定。</w:t>
            </w:r>
          </w:p>
        </w:tc>
      </w:tr>
      <w:tr w14:paraId="2805FA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3D307E6F">
            <w:pPr>
              <w:spacing w:line="400" w:lineRule="exact"/>
              <w:rPr>
                <w:rFonts w:hint="eastAsia" w:asciiTheme="minorEastAsia" w:hAnsiTheme="minorEastAsia" w:eastAsiaTheme="minorEastAsia" w:cstheme="minorEastAsia"/>
                <w:color w:val="auto"/>
                <w:highlight w:val="none"/>
              </w:rPr>
            </w:pPr>
          </w:p>
        </w:tc>
        <w:tc>
          <w:tcPr>
            <w:tcW w:w="666" w:type="dxa"/>
            <w:vMerge w:val="continue"/>
          </w:tcPr>
          <w:p w14:paraId="086F4384">
            <w:pPr>
              <w:spacing w:line="400" w:lineRule="exact"/>
              <w:rPr>
                <w:rFonts w:hint="eastAsia" w:asciiTheme="minorEastAsia" w:hAnsiTheme="minorEastAsia" w:eastAsiaTheme="minorEastAsia" w:cstheme="minorEastAsia"/>
                <w:color w:val="auto"/>
                <w:highlight w:val="none"/>
              </w:rPr>
            </w:pPr>
          </w:p>
        </w:tc>
        <w:tc>
          <w:tcPr>
            <w:tcW w:w="2558" w:type="dxa"/>
            <w:gridSpan w:val="3"/>
            <w:vAlign w:val="center"/>
          </w:tcPr>
          <w:p w14:paraId="2F7DD49A">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实质性要求</w:t>
            </w:r>
          </w:p>
        </w:tc>
        <w:tc>
          <w:tcPr>
            <w:tcW w:w="5493" w:type="dxa"/>
            <w:vAlign w:val="center"/>
          </w:tcPr>
          <w:p w14:paraId="0951F3E3">
            <w:pPr>
              <w:spacing w:after="62" w:afterLines="20"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涉嫌串通投标、弄虚作假等其他违反招投标相关法律、法规行为的。</w:t>
            </w:r>
          </w:p>
        </w:tc>
      </w:tr>
      <w:bookmarkEnd w:id="367"/>
      <w:bookmarkEnd w:id="368"/>
      <w:bookmarkEnd w:id="369"/>
      <w:bookmarkEnd w:id="370"/>
      <w:bookmarkEnd w:id="371"/>
      <w:tr w14:paraId="327CF3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18" w:type="dxa"/>
            <w:gridSpan w:val="2"/>
            <w:vAlign w:val="center"/>
          </w:tcPr>
          <w:p w14:paraId="08575DA2">
            <w:pPr>
              <w:spacing w:line="400" w:lineRule="exact"/>
              <w:ind w:firstLine="210" w:firstLineChars="100"/>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2.2.1</w:t>
            </w:r>
          </w:p>
        </w:tc>
        <w:tc>
          <w:tcPr>
            <w:tcW w:w="2558" w:type="dxa"/>
            <w:gridSpan w:val="3"/>
            <w:vAlign w:val="center"/>
          </w:tcPr>
          <w:p w14:paraId="1AAFC235">
            <w:pPr>
              <w:tabs>
                <w:tab w:val="left" w:pos="1875"/>
              </w:tabs>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分值构成 （总分100分）</w:t>
            </w:r>
          </w:p>
        </w:tc>
        <w:tc>
          <w:tcPr>
            <w:tcW w:w="5493" w:type="dxa"/>
            <w:vAlign w:val="center"/>
          </w:tcPr>
          <w:p w14:paraId="63BA2120">
            <w:pPr>
              <w:snapToGrid w:val="0"/>
              <w:spacing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1.技术方案30分；</w:t>
            </w:r>
          </w:p>
          <w:p w14:paraId="7695B977">
            <w:pPr>
              <w:snapToGrid w:val="0"/>
              <w:spacing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2.商务部分20分；</w:t>
            </w:r>
          </w:p>
          <w:p w14:paraId="68F8F932">
            <w:pPr>
              <w:snapToGrid w:val="0"/>
              <w:spacing w:line="400" w:lineRule="exact"/>
              <w:ind w:firstLine="420" w:firstLineChars="200"/>
              <w:rPr>
                <w:rFonts w:hint="eastAsia" w:asciiTheme="minorEastAsia" w:hAnsiTheme="minorEastAsia" w:eastAsiaTheme="minorEastAsia" w:cstheme="minorEastAsia"/>
                <w:i/>
                <w:color w:val="auto"/>
                <w:kern w:val="0"/>
                <w:highlight w:val="none"/>
              </w:rPr>
            </w:pPr>
            <w:r>
              <w:rPr>
                <w:rFonts w:hint="eastAsia" w:asciiTheme="minorEastAsia" w:hAnsiTheme="minorEastAsia" w:eastAsiaTheme="minorEastAsia" w:cstheme="minorEastAsia"/>
                <w:color w:val="auto"/>
                <w:kern w:val="0"/>
                <w:highlight w:val="none"/>
              </w:rPr>
              <w:t>3.投标总报价50分.</w:t>
            </w:r>
          </w:p>
        </w:tc>
      </w:tr>
      <w:tr w14:paraId="5D6214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418" w:type="dxa"/>
            <w:gridSpan w:val="2"/>
            <w:vAlign w:val="center"/>
          </w:tcPr>
          <w:p w14:paraId="7EA26E0A">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2.2.2</w:t>
            </w:r>
          </w:p>
        </w:tc>
        <w:tc>
          <w:tcPr>
            <w:tcW w:w="1546" w:type="dxa"/>
            <w:gridSpan w:val="2"/>
            <w:vAlign w:val="center"/>
          </w:tcPr>
          <w:p w14:paraId="38648306">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评标基准价计算方法</w:t>
            </w:r>
          </w:p>
        </w:tc>
        <w:tc>
          <w:tcPr>
            <w:tcW w:w="1012" w:type="dxa"/>
            <w:vAlign w:val="center"/>
          </w:tcPr>
          <w:p w14:paraId="03034DBB">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投标总报价</w:t>
            </w:r>
          </w:p>
        </w:tc>
        <w:tc>
          <w:tcPr>
            <w:tcW w:w="5493" w:type="dxa"/>
          </w:tcPr>
          <w:p w14:paraId="30C9BC87">
            <w:pPr>
              <w:snapToGrid w:val="0"/>
              <w:spacing w:line="40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所有通过初步评审评审合格的投标人的投标总报价中去掉六分之一（不能整除的按小数点前整数取整，不足六家报价则不去掉）的最低价和相同家数的最高价后的算术平均值与本项目最高限价再取平均值，即为本项目投标总报价的评标基准价。</w:t>
            </w:r>
          </w:p>
          <w:p w14:paraId="4652465C">
            <w:pPr>
              <w:snapToGrid w:val="0"/>
              <w:spacing w:line="40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评标基准价计算的最终结果取小数点后两位，第三位四舍五入。</w:t>
            </w:r>
          </w:p>
        </w:tc>
      </w:tr>
      <w:tr w14:paraId="7BCD2E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Merge w:val="restart"/>
            <w:vAlign w:val="center"/>
          </w:tcPr>
          <w:p w14:paraId="16BB8353">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2.2.3 </w:t>
            </w:r>
          </w:p>
        </w:tc>
        <w:tc>
          <w:tcPr>
            <w:tcW w:w="2558" w:type="dxa"/>
            <w:gridSpan w:val="3"/>
            <w:vMerge w:val="restart"/>
            <w:vAlign w:val="center"/>
          </w:tcPr>
          <w:p w14:paraId="32A9C4AB">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允许偏差率</w:t>
            </w:r>
          </w:p>
        </w:tc>
        <w:tc>
          <w:tcPr>
            <w:tcW w:w="5493" w:type="dxa"/>
            <w:vAlign w:val="center"/>
          </w:tcPr>
          <w:p w14:paraId="35EAB2D5">
            <w:pPr>
              <w:spacing w:line="400" w:lineRule="exact"/>
              <w:ind w:firstLine="42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投标总报价的偏差率计算公式</w:t>
            </w:r>
          </w:p>
          <w:p w14:paraId="07DB5FA3">
            <w:pPr>
              <w:spacing w:line="400" w:lineRule="exact"/>
              <w:ind w:firstLine="42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偏差率</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kern w:val="0"/>
                <w:highlight w:val="none"/>
              </w:rPr>
              <w:t>100％×（竞标人报价一评标基准价）／评标基准价</w:t>
            </w:r>
          </w:p>
          <w:p w14:paraId="05F0A3EB">
            <w:pPr>
              <w:spacing w:line="400" w:lineRule="exact"/>
              <w:ind w:firstLine="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偏差率</w:t>
            </w:r>
            <w:r>
              <w:rPr>
                <w:rFonts w:hint="eastAsia" w:asciiTheme="minorEastAsia" w:hAnsiTheme="minorEastAsia" w:eastAsiaTheme="minorEastAsia" w:cstheme="minorEastAsia"/>
                <w:color w:val="auto"/>
                <w:kern w:val="0"/>
                <w:szCs w:val="21"/>
                <w:highlight w:val="none"/>
              </w:rPr>
              <w:t>计算保留小数点后两位，小数点后第三位“四舍五入”。</w:t>
            </w:r>
          </w:p>
        </w:tc>
      </w:tr>
      <w:tr w14:paraId="21DA44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Merge w:val="continue"/>
            <w:vAlign w:val="center"/>
          </w:tcPr>
          <w:p w14:paraId="0980FD86">
            <w:pPr>
              <w:spacing w:line="400" w:lineRule="exact"/>
              <w:jc w:val="center"/>
              <w:rPr>
                <w:rFonts w:hint="eastAsia" w:asciiTheme="minorEastAsia" w:hAnsiTheme="minorEastAsia" w:eastAsiaTheme="minorEastAsia" w:cstheme="minorEastAsia"/>
                <w:color w:val="auto"/>
                <w:kern w:val="0"/>
                <w:highlight w:val="none"/>
              </w:rPr>
            </w:pPr>
          </w:p>
        </w:tc>
        <w:tc>
          <w:tcPr>
            <w:tcW w:w="2558" w:type="dxa"/>
            <w:gridSpan w:val="3"/>
            <w:vMerge w:val="continue"/>
            <w:vAlign w:val="center"/>
          </w:tcPr>
          <w:p w14:paraId="348AA6AB">
            <w:pPr>
              <w:spacing w:line="400" w:lineRule="exact"/>
              <w:jc w:val="center"/>
              <w:rPr>
                <w:rFonts w:hint="eastAsia" w:asciiTheme="minorEastAsia" w:hAnsiTheme="minorEastAsia" w:eastAsiaTheme="minorEastAsia" w:cstheme="minorEastAsia"/>
                <w:color w:val="auto"/>
                <w:kern w:val="0"/>
                <w:highlight w:val="none"/>
              </w:rPr>
            </w:pPr>
          </w:p>
        </w:tc>
        <w:tc>
          <w:tcPr>
            <w:tcW w:w="5493" w:type="dxa"/>
            <w:vAlign w:val="center"/>
          </w:tcPr>
          <w:p w14:paraId="4628AF4F">
            <w:pPr>
              <w:snapToGrid w:val="0"/>
              <w:spacing w:line="400" w:lineRule="exact"/>
              <w:ind w:firstLine="420" w:firstLineChars="200"/>
              <w:jc w:val="left"/>
              <w:rPr>
                <w:rFonts w:hint="eastAsia" w:asciiTheme="minorEastAsia" w:hAnsiTheme="minorEastAsia" w:eastAsiaTheme="minorEastAsia" w:cstheme="minorEastAsia"/>
                <w:i/>
                <w:color w:val="auto"/>
                <w:kern w:val="0"/>
                <w:highlight w:val="none"/>
              </w:rPr>
            </w:pPr>
            <w:r>
              <w:rPr>
                <w:rFonts w:hint="eastAsia" w:asciiTheme="minorEastAsia" w:hAnsiTheme="minorEastAsia" w:eastAsiaTheme="minorEastAsia" w:cstheme="minorEastAsia"/>
                <w:color w:val="auto"/>
                <w:kern w:val="0"/>
                <w:highlight w:val="none"/>
              </w:rPr>
              <w:t>☑不设偏差范围。</w:t>
            </w:r>
          </w:p>
        </w:tc>
      </w:tr>
      <w:tr w14:paraId="672990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vAlign w:val="center"/>
          </w:tcPr>
          <w:p w14:paraId="4D8614FE">
            <w:pPr>
              <w:snapToGrid w:val="0"/>
              <w:spacing w:line="40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2.2.4（1） </w:t>
            </w:r>
          </w:p>
        </w:tc>
        <w:tc>
          <w:tcPr>
            <w:tcW w:w="666" w:type="dxa"/>
            <w:vMerge w:val="restart"/>
            <w:vAlign w:val="center"/>
          </w:tcPr>
          <w:p w14:paraId="2BE040B2">
            <w:pPr>
              <w:snapToGrid w:val="0"/>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技术方案评分标准</w:t>
            </w:r>
          </w:p>
        </w:tc>
        <w:tc>
          <w:tcPr>
            <w:tcW w:w="2558" w:type="dxa"/>
            <w:gridSpan w:val="3"/>
            <w:vAlign w:val="center"/>
          </w:tcPr>
          <w:p w14:paraId="551EC022">
            <w:pPr>
              <w:spacing w:before="1" w:line="216" w:lineRule="auto"/>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项目管理</w:t>
            </w:r>
          </w:p>
          <w:p w14:paraId="17BDBF88">
            <w:pPr>
              <w:spacing w:before="1" w:line="216" w:lineRule="auto"/>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（8分）</w:t>
            </w:r>
          </w:p>
        </w:tc>
        <w:tc>
          <w:tcPr>
            <w:tcW w:w="5493" w:type="dxa"/>
            <w:vAlign w:val="center"/>
          </w:tcPr>
          <w:p w14:paraId="65697C73">
            <w:pPr>
              <w:spacing w:before="1" w:line="216" w:lineRule="auto"/>
              <w:ind w:firstLine="42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对本项目和要求制定一套完整专业的项目管理方案，主要内容包括但不限于项目管理形式、管理人员资历、组成等情况。</w:t>
            </w:r>
          </w:p>
          <w:p w14:paraId="1AD842E3">
            <w:pPr>
              <w:spacing w:before="1" w:line="216" w:lineRule="auto"/>
              <w:ind w:firstLine="42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1.方案层次非常清楚，针对性很强，非常具有行业参考性、指导性、操作性、专业性，得7.2-8分；</w:t>
            </w:r>
          </w:p>
          <w:p w14:paraId="758AC2A6">
            <w:pPr>
              <w:spacing w:before="1" w:line="216" w:lineRule="auto"/>
              <w:ind w:firstLine="42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2.方案层次较为清楚，针对性较强，具有较强行业参考性、指导性、操作性、专业性得6.4-7.2分（不含）；</w:t>
            </w:r>
          </w:p>
          <w:p w14:paraId="675A3F62">
            <w:pPr>
              <w:spacing w:before="1" w:line="216" w:lineRule="auto"/>
              <w:ind w:firstLine="42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3.方案层次相对清楚，具有一定针对性、操作性、创新性、专业性，得4.8-6.4分（不含）；</w:t>
            </w:r>
          </w:p>
          <w:p w14:paraId="0C3E6DCB">
            <w:pPr>
              <w:spacing w:before="1" w:line="216" w:lineRule="auto"/>
              <w:ind w:firstLine="42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4.方案层次不清楚，缺乏针对性、操作性差、缺乏创新和创新性，得0-4.8分（不含）；</w:t>
            </w:r>
          </w:p>
          <w:p w14:paraId="5206BA65">
            <w:pPr>
              <w:spacing w:before="1" w:line="216" w:lineRule="auto"/>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5.未提供项目方案的不得分。</w:t>
            </w:r>
          </w:p>
        </w:tc>
      </w:tr>
      <w:tr w14:paraId="57F3E9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409E4575">
            <w:pPr>
              <w:snapToGrid w:val="0"/>
              <w:spacing w:line="400" w:lineRule="exact"/>
              <w:rPr>
                <w:rFonts w:hint="eastAsia" w:asciiTheme="minorEastAsia" w:hAnsiTheme="minorEastAsia" w:eastAsiaTheme="minorEastAsia" w:cstheme="minorEastAsia"/>
                <w:color w:val="auto"/>
                <w:highlight w:val="none"/>
              </w:rPr>
            </w:pPr>
          </w:p>
        </w:tc>
        <w:tc>
          <w:tcPr>
            <w:tcW w:w="666" w:type="dxa"/>
            <w:vMerge w:val="continue"/>
          </w:tcPr>
          <w:p w14:paraId="12DB7299">
            <w:pPr>
              <w:snapToGrid w:val="0"/>
              <w:spacing w:line="400" w:lineRule="exact"/>
              <w:rPr>
                <w:rFonts w:hint="eastAsia" w:asciiTheme="minorEastAsia" w:hAnsiTheme="minorEastAsia" w:eastAsiaTheme="minorEastAsia" w:cstheme="minorEastAsia"/>
                <w:color w:val="auto"/>
                <w:highlight w:val="none"/>
              </w:rPr>
            </w:pPr>
          </w:p>
        </w:tc>
        <w:tc>
          <w:tcPr>
            <w:tcW w:w="2558" w:type="dxa"/>
            <w:gridSpan w:val="3"/>
            <w:vAlign w:val="center"/>
          </w:tcPr>
          <w:p w14:paraId="07C809F0">
            <w:pPr>
              <w:spacing w:before="1" w:line="216" w:lineRule="auto"/>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日常管理制度</w:t>
            </w:r>
          </w:p>
          <w:p w14:paraId="2031F210">
            <w:pPr>
              <w:spacing w:before="1" w:line="216" w:lineRule="auto"/>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（6分）</w:t>
            </w:r>
          </w:p>
        </w:tc>
        <w:tc>
          <w:tcPr>
            <w:tcW w:w="5493" w:type="dxa"/>
            <w:vAlign w:val="center"/>
          </w:tcPr>
          <w:p w14:paraId="37201A4B">
            <w:pPr>
              <w:spacing w:before="1" w:line="216" w:lineRule="auto"/>
              <w:ind w:firstLine="42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针对本项目和要求制定的派遣人员日常管理办法、规章制度、管理目标、考核办法等情况。</w:t>
            </w:r>
          </w:p>
          <w:p w14:paraId="659D77DA">
            <w:pPr>
              <w:spacing w:before="1" w:line="216" w:lineRule="auto"/>
              <w:ind w:firstLine="42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1、各种制度层次非常清楚，针对性很强，非常具有行业参考性、指导性、操作性、专业性，得5.4-6分；</w:t>
            </w:r>
          </w:p>
          <w:p w14:paraId="650BC068">
            <w:pPr>
              <w:spacing w:before="1" w:line="216" w:lineRule="auto"/>
              <w:ind w:firstLine="42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2、各种制度层次较为清楚，针对性较强，具有较强行业参考性、指导性、操作性、专业性得4.8-5.4分（不含）；</w:t>
            </w:r>
          </w:p>
          <w:p w14:paraId="0EE14A4C">
            <w:pPr>
              <w:spacing w:before="1" w:line="216" w:lineRule="auto"/>
              <w:ind w:firstLine="42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3、各种制度层次相对清楚，具有一定针对性、操作性、创新性、专业性，得3.6-4.8分（不含）；</w:t>
            </w:r>
          </w:p>
          <w:p w14:paraId="73EC0A64">
            <w:pPr>
              <w:spacing w:before="1" w:line="216" w:lineRule="auto"/>
              <w:ind w:firstLine="42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4、各种制度层次不清楚，缺乏针对性、操作性差、缺乏创新和创新性，得0-3.6分（不含）；</w:t>
            </w:r>
          </w:p>
          <w:p w14:paraId="415794CA">
            <w:pPr>
              <w:spacing w:before="1" w:line="216" w:lineRule="auto"/>
              <w:ind w:firstLine="42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5、未提供项目方案的不得分。</w:t>
            </w:r>
          </w:p>
        </w:tc>
      </w:tr>
      <w:tr w14:paraId="56334D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436387BD">
            <w:pPr>
              <w:snapToGrid w:val="0"/>
              <w:spacing w:line="400" w:lineRule="exact"/>
              <w:rPr>
                <w:rFonts w:hint="eastAsia" w:asciiTheme="minorEastAsia" w:hAnsiTheme="minorEastAsia" w:eastAsiaTheme="minorEastAsia" w:cstheme="minorEastAsia"/>
                <w:color w:val="auto"/>
                <w:highlight w:val="none"/>
              </w:rPr>
            </w:pPr>
          </w:p>
        </w:tc>
        <w:tc>
          <w:tcPr>
            <w:tcW w:w="666" w:type="dxa"/>
            <w:vMerge w:val="continue"/>
          </w:tcPr>
          <w:p w14:paraId="5C5B43C9">
            <w:pPr>
              <w:snapToGrid w:val="0"/>
              <w:spacing w:line="400" w:lineRule="exact"/>
              <w:rPr>
                <w:rFonts w:hint="eastAsia" w:asciiTheme="minorEastAsia" w:hAnsiTheme="minorEastAsia" w:eastAsiaTheme="minorEastAsia" w:cstheme="minorEastAsia"/>
                <w:color w:val="auto"/>
                <w:highlight w:val="none"/>
              </w:rPr>
            </w:pPr>
          </w:p>
        </w:tc>
        <w:tc>
          <w:tcPr>
            <w:tcW w:w="2558" w:type="dxa"/>
            <w:gridSpan w:val="3"/>
            <w:vAlign w:val="center"/>
          </w:tcPr>
          <w:p w14:paraId="344465F7">
            <w:pPr>
              <w:spacing w:before="69" w:line="220" w:lineRule="auto"/>
              <w:jc w:val="center"/>
              <w:rPr>
                <w:rFonts w:hint="eastAsia" w:asciiTheme="minorEastAsia" w:hAnsiTheme="minorEastAsia" w:eastAsiaTheme="minorEastAsia" w:cstheme="minorEastAsia"/>
                <w:color w:val="auto"/>
                <w:spacing w:val="5"/>
                <w:szCs w:val="21"/>
                <w:highlight w:val="none"/>
              </w:rPr>
            </w:pPr>
            <w:r>
              <w:rPr>
                <w:rFonts w:hint="eastAsia" w:asciiTheme="minorEastAsia" w:hAnsiTheme="minorEastAsia" w:eastAsiaTheme="minorEastAsia" w:cstheme="minorEastAsia"/>
                <w:color w:val="auto"/>
                <w:spacing w:val="5"/>
                <w:szCs w:val="21"/>
                <w:highlight w:val="none"/>
              </w:rPr>
              <w:t>岗前培训（5）</w:t>
            </w:r>
          </w:p>
          <w:p w14:paraId="3F087671">
            <w:pPr>
              <w:spacing w:line="255" w:lineRule="auto"/>
              <w:jc w:val="center"/>
              <w:rPr>
                <w:rFonts w:hint="eastAsia" w:asciiTheme="minorEastAsia" w:hAnsiTheme="minorEastAsia" w:eastAsiaTheme="minorEastAsia" w:cstheme="minorEastAsia"/>
                <w:color w:val="auto"/>
                <w:highlight w:val="none"/>
              </w:rPr>
            </w:pPr>
          </w:p>
          <w:p w14:paraId="42B4B25B">
            <w:pPr>
              <w:spacing w:line="255" w:lineRule="auto"/>
              <w:jc w:val="center"/>
              <w:rPr>
                <w:rFonts w:hint="eastAsia" w:asciiTheme="minorEastAsia" w:hAnsiTheme="minorEastAsia" w:eastAsiaTheme="minorEastAsia" w:cstheme="minorEastAsia"/>
                <w:color w:val="auto"/>
                <w:highlight w:val="none"/>
              </w:rPr>
            </w:pPr>
          </w:p>
          <w:p w14:paraId="292B16B7">
            <w:pPr>
              <w:spacing w:before="188" w:line="221" w:lineRule="auto"/>
              <w:ind w:left="812"/>
              <w:jc w:val="center"/>
              <w:rPr>
                <w:rFonts w:hint="eastAsia" w:asciiTheme="minorEastAsia" w:hAnsiTheme="minorEastAsia" w:eastAsiaTheme="minorEastAsia" w:cstheme="minorEastAsia"/>
                <w:color w:val="auto"/>
                <w:kern w:val="0"/>
                <w:highlight w:val="none"/>
              </w:rPr>
            </w:pPr>
          </w:p>
        </w:tc>
        <w:tc>
          <w:tcPr>
            <w:tcW w:w="5493" w:type="dxa"/>
          </w:tcPr>
          <w:p w14:paraId="75133328">
            <w:pPr>
              <w:spacing w:before="1" w:line="216" w:lineRule="auto"/>
              <w:ind w:left="117" w:firstLine="416"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spacing w:val="-1"/>
                <w:szCs w:val="21"/>
                <w:highlight w:val="none"/>
              </w:rPr>
              <w:t>竞选人</w:t>
            </w:r>
            <w:r>
              <w:rPr>
                <w:rFonts w:hint="eastAsia" w:asciiTheme="minorEastAsia" w:hAnsiTheme="minorEastAsia" w:eastAsiaTheme="minorEastAsia" w:cstheme="minorEastAsia"/>
                <w:color w:val="auto"/>
                <w:kern w:val="0"/>
                <w:highlight w:val="none"/>
              </w:rPr>
              <w:t>配合用工单位的岗前培训，对新招录人员开展履职相关培训的方案</w:t>
            </w:r>
          </w:p>
          <w:p w14:paraId="7C9E8D13">
            <w:pPr>
              <w:numPr>
                <w:ilvl w:val="0"/>
                <w:numId w:val="2"/>
              </w:numPr>
              <w:spacing w:before="1" w:line="216" w:lineRule="auto"/>
              <w:ind w:left="117"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内容阐述详尽完整、措施完善、条理清晰、覆盖全面，得4.5-5分；</w:t>
            </w:r>
            <w:r>
              <w:rPr>
                <w:rFonts w:hint="eastAsia" w:asciiTheme="minorEastAsia" w:hAnsiTheme="minorEastAsia" w:eastAsiaTheme="minorEastAsia" w:cstheme="minorEastAsia"/>
                <w:color w:val="auto"/>
                <w:kern w:val="0"/>
                <w:highlight w:val="none"/>
              </w:rPr>
              <w:br w:type="textWrapping"/>
            </w:r>
            <w:r>
              <w:rPr>
                <w:rFonts w:hint="eastAsia" w:asciiTheme="minorEastAsia" w:hAnsiTheme="minorEastAsia" w:eastAsiaTheme="minorEastAsia" w:cstheme="minorEastAsia"/>
                <w:color w:val="auto"/>
                <w:kern w:val="0"/>
                <w:highlight w:val="none"/>
              </w:rPr>
              <w:t xml:space="preserve">    2.覆盖上述内容，但阐述较详尽，措施较完善，条理较清晰，得4-4.5分（不含）；</w:t>
            </w:r>
          </w:p>
          <w:p w14:paraId="6997025E">
            <w:pPr>
              <w:spacing w:before="1" w:line="216" w:lineRule="auto"/>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3.覆盖上述内容，但阐述简单，措施不够完善，条理不够清晰，得3-4分（不含）；</w:t>
            </w:r>
          </w:p>
          <w:p w14:paraId="6142C2B6">
            <w:pPr>
              <w:spacing w:before="1" w:line="216" w:lineRule="auto"/>
              <w:ind w:left="420" w:left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4.未覆盖上述内容，阐述严重缺乏条理性，措施极不完善，得0-3分（不含）；</w:t>
            </w:r>
          </w:p>
          <w:p w14:paraId="5934B5E7">
            <w:pPr>
              <w:spacing w:before="1" w:line="216" w:lineRule="auto"/>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5.未提供相应内容的不得分。</w:t>
            </w:r>
          </w:p>
        </w:tc>
      </w:tr>
      <w:tr w14:paraId="6EB209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329" w:hRule="atLeast"/>
          <w:jc w:val="center"/>
        </w:trPr>
        <w:tc>
          <w:tcPr>
            <w:tcW w:w="752" w:type="dxa"/>
            <w:vMerge w:val="continue"/>
          </w:tcPr>
          <w:p w14:paraId="092E9875">
            <w:pPr>
              <w:snapToGrid w:val="0"/>
              <w:spacing w:line="400" w:lineRule="exact"/>
              <w:rPr>
                <w:rFonts w:hint="eastAsia" w:asciiTheme="minorEastAsia" w:hAnsiTheme="minorEastAsia" w:eastAsiaTheme="minorEastAsia" w:cstheme="minorEastAsia"/>
                <w:color w:val="auto"/>
                <w:highlight w:val="none"/>
              </w:rPr>
            </w:pPr>
          </w:p>
        </w:tc>
        <w:tc>
          <w:tcPr>
            <w:tcW w:w="666" w:type="dxa"/>
            <w:vMerge w:val="continue"/>
          </w:tcPr>
          <w:p w14:paraId="5B9B8104">
            <w:pPr>
              <w:snapToGrid w:val="0"/>
              <w:spacing w:line="400" w:lineRule="exact"/>
              <w:rPr>
                <w:rFonts w:hint="eastAsia" w:asciiTheme="minorEastAsia" w:hAnsiTheme="minorEastAsia" w:eastAsiaTheme="minorEastAsia" w:cstheme="minorEastAsia"/>
                <w:color w:val="auto"/>
                <w:highlight w:val="none"/>
              </w:rPr>
            </w:pPr>
          </w:p>
        </w:tc>
        <w:tc>
          <w:tcPr>
            <w:tcW w:w="2558" w:type="dxa"/>
            <w:gridSpan w:val="3"/>
            <w:vAlign w:val="center"/>
          </w:tcPr>
          <w:p w14:paraId="77B15F5A">
            <w:pPr>
              <w:spacing w:before="1" w:line="216" w:lineRule="auto"/>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发生因公患病、工伤或工亡后做好善后工作的措施（5分）</w:t>
            </w:r>
          </w:p>
          <w:p w14:paraId="6AA3E4EC">
            <w:pPr>
              <w:spacing w:before="1" w:line="216" w:lineRule="auto"/>
              <w:ind w:left="117" w:firstLine="420" w:firstLineChars="200"/>
              <w:rPr>
                <w:rFonts w:hint="eastAsia" w:asciiTheme="minorEastAsia" w:hAnsiTheme="minorEastAsia" w:eastAsiaTheme="minorEastAsia" w:cstheme="minorEastAsia"/>
                <w:color w:val="auto"/>
                <w:kern w:val="0"/>
                <w:highlight w:val="none"/>
              </w:rPr>
            </w:pPr>
          </w:p>
        </w:tc>
        <w:tc>
          <w:tcPr>
            <w:tcW w:w="5493" w:type="dxa"/>
          </w:tcPr>
          <w:p w14:paraId="2C921ADC">
            <w:pPr>
              <w:spacing w:before="1" w:line="216" w:lineRule="auto"/>
              <w:ind w:left="117"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人员发生因公患病、工伤或工亡后做好善后工作的措施进行打分。</w:t>
            </w:r>
          </w:p>
          <w:p w14:paraId="7C1D3DB0">
            <w:pPr>
              <w:spacing w:before="1" w:line="216" w:lineRule="auto"/>
              <w:ind w:left="117"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1.措施和办法实施步骤思路清晰，实施方法、具体工作安排科学合理的，有很高的行业属性和实操性，得4.5-5分；</w:t>
            </w:r>
          </w:p>
          <w:p w14:paraId="08D48BFE">
            <w:pPr>
              <w:spacing w:before="1" w:line="216" w:lineRule="auto"/>
              <w:ind w:left="117"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2.措施和办法实施步骤思路较清晰，实施方法、具体工作安排较为科学合理，有较高的行业属性和实操性得4-4.5分（不含）；</w:t>
            </w:r>
          </w:p>
          <w:p w14:paraId="5D0B36E9">
            <w:pPr>
              <w:spacing w:before="1" w:line="216" w:lineRule="auto"/>
              <w:ind w:left="117"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3.措施和办法实施步骤思路欠缺，实施方法、具体工作安排不太合理，针对性一般，实施步骤安排基本满足项目要求但存在明显缺陷的得3-4分（不含）；</w:t>
            </w:r>
          </w:p>
          <w:p w14:paraId="124665DC">
            <w:pPr>
              <w:spacing w:before="1" w:line="216" w:lineRule="auto"/>
              <w:ind w:left="117"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4.措施和办法步骤安排明显不合理，且与项目要求存在明显差距的得0-3分（不含）；</w:t>
            </w:r>
          </w:p>
          <w:p w14:paraId="31BE5AE6">
            <w:pPr>
              <w:spacing w:before="1" w:line="216" w:lineRule="auto"/>
              <w:ind w:left="117"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5.未提供实施方案的不得分。</w:t>
            </w:r>
          </w:p>
        </w:tc>
      </w:tr>
      <w:tr w14:paraId="27B8C9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3F1C2126">
            <w:pPr>
              <w:snapToGrid w:val="0"/>
              <w:spacing w:line="400" w:lineRule="exact"/>
              <w:rPr>
                <w:rFonts w:hint="eastAsia" w:asciiTheme="minorEastAsia" w:hAnsiTheme="minorEastAsia" w:eastAsiaTheme="minorEastAsia" w:cstheme="minorEastAsia"/>
                <w:color w:val="auto"/>
                <w:highlight w:val="none"/>
              </w:rPr>
            </w:pPr>
          </w:p>
        </w:tc>
        <w:tc>
          <w:tcPr>
            <w:tcW w:w="666" w:type="dxa"/>
            <w:vMerge w:val="continue"/>
          </w:tcPr>
          <w:p w14:paraId="3530759D">
            <w:pPr>
              <w:snapToGrid w:val="0"/>
              <w:spacing w:line="400" w:lineRule="exact"/>
              <w:rPr>
                <w:rFonts w:hint="eastAsia" w:asciiTheme="minorEastAsia" w:hAnsiTheme="minorEastAsia" w:eastAsiaTheme="minorEastAsia" w:cstheme="minorEastAsia"/>
                <w:color w:val="auto"/>
                <w:highlight w:val="none"/>
              </w:rPr>
            </w:pPr>
          </w:p>
        </w:tc>
        <w:tc>
          <w:tcPr>
            <w:tcW w:w="2558" w:type="dxa"/>
            <w:gridSpan w:val="3"/>
            <w:vAlign w:val="center"/>
          </w:tcPr>
          <w:p w14:paraId="1F1CD477">
            <w:pPr>
              <w:spacing w:before="1" w:line="216" w:lineRule="auto"/>
              <w:ind w:left="117"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应急预案（6分）</w:t>
            </w:r>
          </w:p>
        </w:tc>
        <w:tc>
          <w:tcPr>
            <w:tcW w:w="5493" w:type="dxa"/>
          </w:tcPr>
          <w:p w14:paraId="300F9733">
            <w:pPr>
              <w:spacing w:before="1" w:line="216" w:lineRule="auto"/>
              <w:ind w:left="117"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应急预案进行评分。</w:t>
            </w:r>
          </w:p>
          <w:p w14:paraId="61283B52">
            <w:pPr>
              <w:spacing w:before="1" w:line="216" w:lineRule="auto"/>
              <w:ind w:left="117"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1.内容阐述详尽完整、措施完善、条理清晰、覆盖全面，得5.4-6分；</w:t>
            </w:r>
            <w:r>
              <w:rPr>
                <w:rFonts w:hint="eastAsia" w:asciiTheme="minorEastAsia" w:hAnsiTheme="minorEastAsia" w:eastAsiaTheme="minorEastAsia" w:cstheme="minorEastAsia"/>
                <w:color w:val="auto"/>
                <w:kern w:val="0"/>
                <w:highlight w:val="none"/>
              </w:rPr>
              <w:br w:type="textWrapping"/>
            </w:r>
            <w:r>
              <w:rPr>
                <w:rFonts w:hint="eastAsia" w:asciiTheme="minorEastAsia" w:hAnsiTheme="minorEastAsia" w:eastAsiaTheme="minorEastAsia" w:cstheme="minorEastAsia"/>
                <w:color w:val="auto"/>
                <w:kern w:val="0"/>
                <w:highlight w:val="none"/>
              </w:rPr>
              <w:t xml:space="preserve">    2.覆盖上述内容，但阐述较详尽，措施较完善，条理较清晰，得4.8-5.4分（不含）；</w:t>
            </w:r>
          </w:p>
          <w:p w14:paraId="5F7890AE">
            <w:pPr>
              <w:spacing w:before="1" w:line="216" w:lineRule="auto"/>
              <w:ind w:left="117"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3.覆盖上述内容，但阐述不详尽，措施不完善，条理不够清晰，得3.6-4.8分（不含）；</w:t>
            </w:r>
            <w:r>
              <w:rPr>
                <w:rFonts w:hint="eastAsia" w:asciiTheme="minorEastAsia" w:hAnsiTheme="minorEastAsia" w:eastAsiaTheme="minorEastAsia" w:cstheme="minorEastAsia"/>
                <w:color w:val="auto"/>
                <w:kern w:val="0"/>
                <w:highlight w:val="none"/>
              </w:rPr>
              <w:br w:type="textWrapping"/>
            </w:r>
            <w:r>
              <w:rPr>
                <w:rFonts w:hint="eastAsia" w:asciiTheme="minorEastAsia" w:hAnsiTheme="minorEastAsia" w:eastAsiaTheme="minorEastAsia" w:cstheme="minorEastAsia"/>
                <w:color w:val="auto"/>
                <w:kern w:val="0"/>
                <w:highlight w:val="none"/>
              </w:rPr>
              <w:t xml:space="preserve">    4.未覆盖上述内容，阐述严重缺乏条理性，措施极不完善，得0-3.6分（不含）；</w:t>
            </w:r>
          </w:p>
          <w:p w14:paraId="2F533F86">
            <w:pPr>
              <w:spacing w:before="1" w:line="216" w:lineRule="auto"/>
              <w:ind w:left="117"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5.未提供相应内容的不得分。</w:t>
            </w:r>
          </w:p>
        </w:tc>
      </w:tr>
      <w:tr w14:paraId="376CCD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875" w:hRule="atLeast"/>
          <w:jc w:val="center"/>
        </w:trPr>
        <w:tc>
          <w:tcPr>
            <w:tcW w:w="752" w:type="dxa"/>
          </w:tcPr>
          <w:p w14:paraId="7708BB78">
            <w:pPr>
              <w:snapToGrid w:val="0"/>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1"/>
                <w:highlight w:val="none"/>
              </w:rPr>
              <w:t>2.2.4（2）</w:t>
            </w:r>
          </w:p>
        </w:tc>
        <w:tc>
          <w:tcPr>
            <w:tcW w:w="666" w:type="dxa"/>
          </w:tcPr>
          <w:p w14:paraId="250CEB8C">
            <w:pPr>
              <w:snapToGrid w:val="0"/>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商务部分评审标准</w:t>
            </w:r>
          </w:p>
        </w:tc>
        <w:tc>
          <w:tcPr>
            <w:tcW w:w="2558" w:type="dxa"/>
            <w:gridSpan w:val="3"/>
            <w:vAlign w:val="center"/>
          </w:tcPr>
          <w:p w14:paraId="7BB5248F">
            <w:pPr>
              <w:snapToGrid w:val="0"/>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业绩（20分）</w:t>
            </w:r>
          </w:p>
        </w:tc>
        <w:tc>
          <w:tcPr>
            <w:tcW w:w="5493" w:type="dxa"/>
            <w:vAlign w:val="center"/>
          </w:tcPr>
          <w:p w14:paraId="6F4885D2">
            <w:pPr>
              <w:snapToGrid w:val="0"/>
              <w:ind w:firstLine="416" w:firstLineChars="200"/>
              <w:rPr>
                <w:rFonts w:hint="eastAsia" w:asciiTheme="minorEastAsia" w:hAnsiTheme="minorEastAsia" w:eastAsiaTheme="minorEastAsia" w:cstheme="minorEastAsia"/>
                <w:color w:val="auto"/>
                <w:spacing w:val="-1"/>
                <w:szCs w:val="21"/>
                <w:highlight w:val="none"/>
              </w:rPr>
            </w:pPr>
            <w:r>
              <w:rPr>
                <w:rFonts w:hint="eastAsia" w:asciiTheme="minorEastAsia" w:hAnsiTheme="minorEastAsia" w:eastAsiaTheme="minorEastAsia" w:cstheme="minorEastAsia"/>
                <w:color w:val="auto"/>
                <w:spacing w:val="-1"/>
                <w:szCs w:val="21"/>
                <w:highlight w:val="none"/>
              </w:rPr>
              <w:t>2022年1月1日至今（以合同签订服务时间为准），竞标人具有类似保洁、管理服务等业绩的得10分，此项最多得20分。</w:t>
            </w:r>
          </w:p>
          <w:p w14:paraId="4C42BD81">
            <w:pPr>
              <w:snapToGrid w:val="0"/>
              <w:ind w:firstLine="416"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spacing w:val="-1"/>
                <w:szCs w:val="21"/>
                <w:highlight w:val="none"/>
              </w:rPr>
              <w:t>注：提供合同（协议）复印件并加盖供应商公章。</w:t>
            </w:r>
          </w:p>
        </w:tc>
      </w:tr>
      <w:tr w14:paraId="61DEB5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Align w:val="center"/>
          </w:tcPr>
          <w:p w14:paraId="6409782B">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3</w:t>
            </w:r>
          </w:p>
        </w:tc>
        <w:tc>
          <w:tcPr>
            <w:tcW w:w="1375" w:type="dxa"/>
            <w:gridSpan w:val="2"/>
            <w:vAlign w:val="center"/>
          </w:tcPr>
          <w:p w14:paraId="5A53E482">
            <w:pPr>
              <w:spacing w:line="40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评标程序</w:t>
            </w:r>
          </w:p>
        </w:tc>
        <w:tc>
          <w:tcPr>
            <w:tcW w:w="7342" w:type="dxa"/>
            <w:gridSpan w:val="3"/>
          </w:tcPr>
          <w:p w14:paraId="5F7235BA">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1.按本章评标办法第3.1款进行初步评审。</w:t>
            </w:r>
          </w:p>
          <w:p w14:paraId="3B840CFE">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2.按本章评标办法前附表2.2.4（1）及3.2.1（1）项的规定对技术方案进行明标评审。</w:t>
            </w:r>
          </w:p>
          <w:p w14:paraId="53F33FBE">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3.按本章评标办法前附表第2.2.4（2）目及第3.2.1（2）目的规定对商务部分进行评审。</w:t>
            </w:r>
          </w:p>
          <w:p w14:paraId="35E14333">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4.对初步评审合格的竞标人按照本章2.2.2项计算方法计算评标基准价，并按本附表3.2.1（3）规定的评分方法对投标总报价进行评分。</w:t>
            </w:r>
          </w:p>
          <w:p w14:paraId="1DDBD9F0">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5.对技术方案、商务部分、投标总报价得分进行汇总，确定得分由高至低前三名竞标人为中标候选人。</w:t>
            </w:r>
          </w:p>
          <w:p w14:paraId="1644A0EF">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因评审小组作否决投标处理导致有效竞标人不足三个的，评审小组应当否决所有投标。但是有效竞标人的经济、技术等指标仍然具有市场竞争力，能够满足招标文件要求的，评审小组可以继续评标并确定中标候选人。</w:t>
            </w:r>
          </w:p>
        </w:tc>
      </w:tr>
      <w:tr w14:paraId="00623D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752" w:type="dxa"/>
            <w:vMerge w:val="restart"/>
            <w:vAlign w:val="center"/>
          </w:tcPr>
          <w:p w14:paraId="37D2F2CE">
            <w:pPr>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3.2.1</w:t>
            </w:r>
          </w:p>
          <w:p w14:paraId="32B9A3F3">
            <w:pPr>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375" w:type="dxa"/>
            <w:gridSpan w:val="2"/>
            <w:vMerge w:val="restart"/>
            <w:vAlign w:val="center"/>
          </w:tcPr>
          <w:p w14:paraId="16D37653">
            <w:pPr>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技术方案</w:t>
            </w:r>
            <w:r>
              <w:rPr>
                <w:rFonts w:hint="eastAsia" w:asciiTheme="minorEastAsia" w:hAnsiTheme="minorEastAsia" w:eastAsiaTheme="minorEastAsia" w:cstheme="minorEastAsia"/>
                <w:color w:val="auto"/>
                <w:kern w:val="0"/>
                <w:highlight w:val="none"/>
              </w:rPr>
              <w:t>得分</w:t>
            </w:r>
            <w:r>
              <w:rPr>
                <w:rFonts w:hint="eastAsia" w:asciiTheme="minorEastAsia" w:hAnsiTheme="minorEastAsia" w:eastAsiaTheme="minorEastAsia" w:cstheme="minorEastAsia"/>
                <w:color w:val="auto"/>
                <w:spacing w:val="-4"/>
                <w:highlight w:val="none"/>
              </w:rPr>
              <w:t>（A）</w:t>
            </w:r>
          </w:p>
        </w:tc>
        <w:tc>
          <w:tcPr>
            <w:tcW w:w="1849" w:type="dxa"/>
            <w:gridSpan w:val="2"/>
            <w:tcBorders>
              <w:bottom w:val="single" w:color="auto" w:sz="4" w:space="0"/>
            </w:tcBorders>
            <w:vAlign w:val="center"/>
          </w:tcPr>
          <w:p w14:paraId="496F07D9">
            <w:pPr>
              <w:spacing w:before="1" w:line="216" w:lineRule="auto"/>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项目管理</w:t>
            </w:r>
          </w:p>
        </w:tc>
        <w:tc>
          <w:tcPr>
            <w:tcW w:w="5493" w:type="dxa"/>
            <w:vMerge w:val="restart"/>
            <w:vAlign w:val="center"/>
          </w:tcPr>
          <w:p w14:paraId="438CE46D">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评审小组按2.2.4（1）项各评审因素设定的分值评分。</w:t>
            </w:r>
          </w:p>
          <w:p w14:paraId="0F240636">
            <w:pPr>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招标文件中设有技术方案评审的，评审小组全体成员对技术方案进行评审，评委打分取算术平均值为该竞标人技术方案得分。</w:t>
            </w:r>
          </w:p>
          <w:p w14:paraId="740F0C92">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以上计算取小数点后两位，第三位四舍五入。</w:t>
            </w:r>
          </w:p>
        </w:tc>
      </w:tr>
      <w:tr w14:paraId="78491D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752" w:type="dxa"/>
            <w:vMerge w:val="continue"/>
            <w:vAlign w:val="center"/>
          </w:tcPr>
          <w:p w14:paraId="53E86470">
            <w:pPr>
              <w:spacing w:line="400" w:lineRule="exact"/>
              <w:jc w:val="center"/>
              <w:rPr>
                <w:rFonts w:hint="eastAsia" w:asciiTheme="minorEastAsia" w:hAnsiTheme="minorEastAsia" w:eastAsiaTheme="minorEastAsia" w:cstheme="minorEastAsia"/>
                <w:color w:val="auto"/>
                <w:highlight w:val="none"/>
              </w:rPr>
            </w:pPr>
          </w:p>
        </w:tc>
        <w:tc>
          <w:tcPr>
            <w:tcW w:w="1375" w:type="dxa"/>
            <w:gridSpan w:val="2"/>
            <w:vMerge w:val="continue"/>
            <w:vAlign w:val="center"/>
          </w:tcPr>
          <w:p w14:paraId="15620D89">
            <w:pPr>
              <w:spacing w:line="400" w:lineRule="exact"/>
              <w:jc w:val="center"/>
              <w:rPr>
                <w:rFonts w:hint="eastAsia" w:asciiTheme="minorEastAsia" w:hAnsiTheme="minorEastAsia" w:eastAsiaTheme="minorEastAsia" w:cstheme="minorEastAsia"/>
                <w:color w:val="auto"/>
                <w:highlight w:val="none"/>
              </w:rPr>
            </w:pPr>
          </w:p>
        </w:tc>
        <w:tc>
          <w:tcPr>
            <w:tcW w:w="1849" w:type="dxa"/>
            <w:gridSpan w:val="2"/>
            <w:tcBorders>
              <w:bottom w:val="single" w:color="auto" w:sz="4" w:space="0"/>
            </w:tcBorders>
            <w:vAlign w:val="center"/>
          </w:tcPr>
          <w:p w14:paraId="6DADF165">
            <w:pPr>
              <w:spacing w:before="1" w:line="216" w:lineRule="auto"/>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日常管理制度</w:t>
            </w:r>
          </w:p>
        </w:tc>
        <w:tc>
          <w:tcPr>
            <w:tcW w:w="5493" w:type="dxa"/>
            <w:vMerge w:val="continue"/>
            <w:vAlign w:val="center"/>
          </w:tcPr>
          <w:p w14:paraId="4512AB79">
            <w:pPr>
              <w:spacing w:line="400" w:lineRule="exact"/>
              <w:ind w:firstLine="420" w:firstLineChars="200"/>
              <w:rPr>
                <w:rFonts w:hint="eastAsia" w:asciiTheme="minorEastAsia" w:hAnsiTheme="minorEastAsia" w:eastAsiaTheme="minorEastAsia" w:cstheme="minorEastAsia"/>
                <w:color w:val="auto"/>
                <w:kern w:val="0"/>
                <w:szCs w:val="21"/>
                <w:highlight w:val="none"/>
              </w:rPr>
            </w:pPr>
          </w:p>
        </w:tc>
      </w:tr>
      <w:tr w14:paraId="20599C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752" w:type="dxa"/>
            <w:vMerge w:val="continue"/>
            <w:vAlign w:val="center"/>
          </w:tcPr>
          <w:p w14:paraId="27FD5121">
            <w:pPr>
              <w:spacing w:line="400" w:lineRule="exact"/>
              <w:jc w:val="center"/>
              <w:rPr>
                <w:rFonts w:hint="eastAsia" w:asciiTheme="minorEastAsia" w:hAnsiTheme="minorEastAsia" w:eastAsiaTheme="minorEastAsia" w:cstheme="minorEastAsia"/>
                <w:color w:val="auto"/>
                <w:highlight w:val="none"/>
              </w:rPr>
            </w:pPr>
          </w:p>
        </w:tc>
        <w:tc>
          <w:tcPr>
            <w:tcW w:w="1375" w:type="dxa"/>
            <w:gridSpan w:val="2"/>
            <w:vMerge w:val="continue"/>
            <w:vAlign w:val="center"/>
          </w:tcPr>
          <w:p w14:paraId="3C1E1743">
            <w:pPr>
              <w:spacing w:line="400" w:lineRule="exact"/>
              <w:jc w:val="center"/>
              <w:rPr>
                <w:rFonts w:hint="eastAsia" w:asciiTheme="minorEastAsia" w:hAnsiTheme="minorEastAsia" w:eastAsiaTheme="minorEastAsia" w:cstheme="minorEastAsia"/>
                <w:color w:val="auto"/>
                <w:highlight w:val="none"/>
              </w:rPr>
            </w:pPr>
          </w:p>
        </w:tc>
        <w:tc>
          <w:tcPr>
            <w:tcW w:w="1849" w:type="dxa"/>
            <w:gridSpan w:val="2"/>
            <w:tcBorders>
              <w:bottom w:val="single" w:color="auto" w:sz="4" w:space="0"/>
            </w:tcBorders>
            <w:vAlign w:val="center"/>
          </w:tcPr>
          <w:p w14:paraId="696F28A0">
            <w:pPr>
              <w:spacing w:before="69" w:line="220" w:lineRule="auto"/>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spacing w:val="5"/>
                <w:szCs w:val="21"/>
                <w:highlight w:val="none"/>
              </w:rPr>
              <w:t>岗前培训</w:t>
            </w:r>
          </w:p>
        </w:tc>
        <w:tc>
          <w:tcPr>
            <w:tcW w:w="5493" w:type="dxa"/>
            <w:vMerge w:val="continue"/>
            <w:vAlign w:val="center"/>
          </w:tcPr>
          <w:p w14:paraId="6876604F">
            <w:pPr>
              <w:spacing w:line="400" w:lineRule="exact"/>
              <w:ind w:firstLine="420" w:firstLineChars="200"/>
              <w:rPr>
                <w:rFonts w:hint="eastAsia" w:asciiTheme="minorEastAsia" w:hAnsiTheme="minorEastAsia" w:eastAsiaTheme="minorEastAsia" w:cstheme="minorEastAsia"/>
                <w:color w:val="auto"/>
                <w:kern w:val="0"/>
                <w:szCs w:val="21"/>
                <w:highlight w:val="none"/>
              </w:rPr>
            </w:pPr>
          </w:p>
        </w:tc>
      </w:tr>
      <w:tr w14:paraId="6C5A89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752" w:type="dxa"/>
            <w:vMerge w:val="continue"/>
            <w:vAlign w:val="center"/>
          </w:tcPr>
          <w:p w14:paraId="28E51A78">
            <w:pPr>
              <w:spacing w:line="400" w:lineRule="exact"/>
              <w:jc w:val="center"/>
              <w:rPr>
                <w:rFonts w:hint="eastAsia" w:asciiTheme="minorEastAsia" w:hAnsiTheme="minorEastAsia" w:eastAsiaTheme="minorEastAsia" w:cstheme="minorEastAsia"/>
                <w:color w:val="auto"/>
                <w:highlight w:val="none"/>
              </w:rPr>
            </w:pPr>
          </w:p>
        </w:tc>
        <w:tc>
          <w:tcPr>
            <w:tcW w:w="1375" w:type="dxa"/>
            <w:gridSpan w:val="2"/>
            <w:vMerge w:val="continue"/>
            <w:vAlign w:val="center"/>
          </w:tcPr>
          <w:p w14:paraId="78352B2F">
            <w:pPr>
              <w:spacing w:line="400" w:lineRule="exact"/>
              <w:jc w:val="center"/>
              <w:rPr>
                <w:rFonts w:hint="eastAsia" w:asciiTheme="minorEastAsia" w:hAnsiTheme="minorEastAsia" w:eastAsiaTheme="minorEastAsia" w:cstheme="minorEastAsia"/>
                <w:color w:val="auto"/>
                <w:highlight w:val="none"/>
              </w:rPr>
            </w:pPr>
          </w:p>
        </w:tc>
        <w:tc>
          <w:tcPr>
            <w:tcW w:w="1849" w:type="dxa"/>
            <w:gridSpan w:val="2"/>
            <w:tcBorders>
              <w:bottom w:val="single" w:color="auto" w:sz="4" w:space="0"/>
            </w:tcBorders>
            <w:vAlign w:val="center"/>
          </w:tcPr>
          <w:p w14:paraId="2AC68FC1">
            <w:pPr>
              <w:spacing w:before="1" w:line="216" w:lineRule="auto"/>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发生因公患病、工伤或工亡后做好善后工作的措施</w:t>
            </w:r>
          </w:p>
          <w:p w14:paraId="1E85A553">
            <w:pPr>
              <w:spacing w:before="1" w:line="216" w:lineRule="auto"/>
              <w:ind w:left="117" w:firstLine="420" w:firstLineChars="200"/>
              <w:rPr>
                <w:rFonts w:hint="eastAsia" w:asciiTheme="minorEastAsia" w:hAnsiTheme="minorEastAsia" w:eastAsiaTheme="minorEastAsia" w:cstheme="minorEastAsia"/>
                <w:color w:val="auto"/>
                <w:kern w:val="0"/>
                <w:highlight w:val="none"/>
              </w:rPr>
            </w:pPr>
          </w:p>
        </w:tc>
        <w:tc>
          <w:tcPr>
            <w:tcW w:w="5493" w:type="dxa"/>
            <w:vMerge w:val="continue"/>
            <w:vAlign w:val="center"/>
          </w:tcPr>
          <w:p w14:paraId="08241C33">
            <w:pPr>
              <w:spacing w:line="400" w:lineRule="exact"/>
              <w:ind w:firstLine="420" w:firstLineChars="200"/>
              <w:rPr>
                <w:rFonts w:hint="eastAsia" w:asciiTheme="minorEastAsia" w:hAnsiTheme="minorEastAsia" w:eastAsiaTheme="minorEastAsia" w:cstheme="minorEastAsia"/>
                <w:color w:val="auto"/>
                <w:kern w:val="0"/>
                <w:szCs w:val="21"/>
                <w:highlight w:val="none"/>
              </w:rPr>
            </w:pPr>
          </w:p>
        </w:tc>
      </w:tr>
      <w:tr w14:paraId="61894B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752" w:type="dxa"/>
            <w:vMerge w:val="continue"/>
            <w:vAlign w:val="center"/>
          </w:tcPr>
          <w:p w14:paraId="684A633D">
            <w:pPr>
              <w:spacing w:line="400" w:lineRule="exact"/>
              <w:jc w:val="center"/>
              <w:rPr>
                <w:rFonts w:hint="eastAsia" w:asciiTheme="minorEastAsia" w:hAnsiTheme="minorEastAsia" w:eastAsiaTheme="minorEastAsia" w:cstheme="minorEastAsia"/>
                <w:color w:val="auto"/>
                <w:highlight w:val="none"/>
              </w:rPr>
            </w:pPr>
          </w:p>
        </w:tc>
        <w:tc>
          <w:tcPr>
            <w:tcW w:w="1375" w:type="dxa"/>
            <w:gridSpan w:val="2"/>
            <w:vMerge w:val="continue"/>
            <w:vAlign w:val="center"/>
          </w:tcPr>
          <w:p w14:paraId="08CE0F61">
            <w:pPr>
              <w:spacing w:line="400" w:lineRule="exact"/>
              <w:jc w:val="center"/>
              <w:rPr>
                <w:rFonts w:hint="eastAsia" w:asciiTheme="minorEastAsia" w:hAnsiTheme="minorEastAsia" w:eastAsiaTheme="minorEastAsia" w:cstheme="minorEastAsia"/>
                <w:color w:val="auto"/>
                <w:highlight w:val="none"/>
              </w:rPr>
            </w:pPr>
          </w:p>
        </w:tc>
        <w:tc>
          <w:tcPr>
            <w:tcW w:w="1849" w:type="dxa"/>
            <w:gridSpan w:val="2"/>
            <w:tcBorders>
              <w:bottom w:val="single" w:color="auto" w:sz="4" w:space="0"/>
            </w:tcBorders>
            <w:vAlign w:val="center"/>
          </w:tcPr>
          <w:p w14:paraId="6430A526">
            <w:pPr>
              <w:spacing w:before="1" w:line="216" w:lineRule="auto"/>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应急预案</w:t>
            </w:r>
          </w:p>
        </w:tc>
        <w:tc>
          <w:tcPr>
            <w:tcW w:w="5493" w:type="dxa"/>
            <w:vMerge w:val="continue"/>
            <w:vAlign w:val="center"/>
          </w:tcPr>
          <w:p w14:paraId="393C8363">
            <w:pPr>
              <w:spacing w:line="400" w:lineRule="exact"/>
              <w:ind w:firstLine="420" w:firstLineChars="200"/>
              <w:rPr>
                <w:rFonts w:hint="eastAsia" w:asciiTheme="minorEastAsia" w:hAnsiTheme="minorEastAsia" w:eastAsiaTheme="minorEastAsia" w:cstheme="minorEastAsia"/>
                <w:color w:val="auto"/>
                <w:kern w:val="0"/>
                <w:szCs w:val="21"/>
                <w:highlight w:val="none"/>
              </w:rPr>
            </w:pPr>
          </w:p>
        </w:tc>
      </w:tr>
      <w:tr w14:paraId="4792A6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Align w:val="center"/>
          </w:tcPr>
          <w:p w14:paraId="6B347595">
            <w:pPr>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3.2.1（2）</w:t>
            </w:r>
          </w:p>
        </w:tc>
        <w:tc>
          <w:tcPr>
            <w:tcW w:w="1375" w:type="dxa"/>
            <w:gridSpan w:val="2"/>
            <w:vAlign w:val="center"/>
          </w:tcPr>
          <w:p w14:paraId="568FC512">
            <w:pPr>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商务部分得分（B）</w:t>
            </w:r>
          </w:p>
        </w:tc>
        <w:tc>
          <w:tcPr>
            <w:tcW w:w="1849" w:type="dxa"/>
            <w:gridSpan w:val="2"/>
            <w:vAlign w:val="center"/>
          </w:tcPr>
          <w:p w14:paraId="64882BC3">
            <w:pPr>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业绩</w:t>
            </w:r>
          </w:p>
        </w:tc>
        <w:tc>
          <w:tcPr>
            <w:tcW w:w="5493" w:type="dxa"/>
            <w:vAlign w:val="center"/>
          </w:tcPr>
          <w:p w14:paraId="5703CB14">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商务部分评分为客观评分，评审小组按第2.2.4（2）项各评审因素设定的分值统一进行评分。商务评分的最终结果取小数点后两位，第三位四舍五入。</w:t>
            </w:r>
          </w:p>
        </w:tc>
      </w:tr>
      <w:tr w14:paraId="7B752B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Align w:val="center"/>
          </w:tcPr>
          <w:p w14:paraId="5FF8BD6D">
            <w:pPr>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3.2.1（3）</w:t>
            </w:r>
          </w:p>
        </w:tc>
        <w:tc>
          <w:tcPr>
            <w:tcW w:w="1375" w:type="dxa"/>
            <w:gridSpan w:val="2"/>
            <w:vAlign w:val="center"/>
          </w:tcPr>
          <w:p w14:paraId="6487D8BC">
            <w:pPr>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竞标报价</w:t>
            </w:r>
            <w:r>
              <w:rPr>
                <w:rFonts w:hint="eastAsia" w:asciiTheme="minorEastAsia" w:hAnsiTheme="minorEastAsia" w:eastAsiaTheme="minorEastAsia" w:cstheme="minorEastAsia"/>
                <w:color w:val="auto"/>
                <w:kern w:val="0"/>
                <w:highlight w:val="none"/>
              </w:rPr>
              <w:t>得分</w:t>
            </w:r>
            <w:r>
              <w:rPr>
                <w:rFonts w:hint="eastAsia" w:asciiTheme="minorEastAsia" w:hAnsiTheme="minorEastAsia" w:eastAsiaTheme="minorEastAsia" w:cstheme="minorEastAsia"/>
                <w:color w:val="auto"/>
                <w:spacing w:val="-8"/>
                <w:highlight w:val="none"/>
              </w:rPr>
              <w:t>（C）</w:t>
            </w:r>
          </w:p>
        </w:tc>
        <w:tc>
          <w:tcPr>
            <w:tcW w:w="1849" w:type="dxa"/>
            <w:gridSpan w:val="2"/>
            <w:vAlign w:val="center"/>
          </w:tcPr>
          <w:p w14:paraId="4A9291D7">
            <w:pPr>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投标总报价</w:t>
            </w:r>
          </w:p>
        </w:tc>
        <w:tc>
          <w:tcPr>
            <w:tcW w:w="5493" w:type="dxa"/>
            <w:vAlign w:val="center"/>
          </w:tcPr>
          <w:p w14:paraId="73F1D45F">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设置允许偏差范围的，</w:t>
            </w:r>
            <w:r>
              <w:rPr>
                <w:rFonts w:hint="eastAsia" w:asciiTheme="minorEastAsia" w:hAnsiTheme="minorEastAsia" w:eastAsiaTheme="minorEastAsia" w:cstheme="minorEastAsia"/>
                <w:color w:val="auto"/>
                <w:kern w:val="0"/>
                <w:highlight w:val="none"/>
              </w:rPr>
              <w:t>投标总报价的偏差在</w:t>
            </w:r>
            <w:r>
              <w:rPr>
                <w:rFonts w:hint="eastAsia" w:asciiTheme="minorEastAsia" w:hAnsiTheme="minorEastAsia" w:eastAsiaTheme="minorEastAsia" w:cstheme="minorEastAsia"/>
                <w:color w:val="auto"/>
                <w:szCs w:val="21"/>
                <w:highlight w:val="none"/>
              </w:rPr>
              <w:t>允许偏差范围外，</w:t>
            </w:r>
            <w:r>
              <w:rPr>
                <w:rFonts w:hint="eastAsia" w:asciiTheme="minorEastAsia" w:hAnsiTheme="minorEastAsia" w:eastAsiaTheme="minorEastAsia" w:cstheme="minorEastAsia"/>
                <w:bCs/>
                <w:color w:val="auto"/>
                <w:szCs w:val="28"/>
                <w:highlight w:val="none"/>
              </w:rPr>
              <w:t>得零分</w:t>
            </w:r>
            <w:r>
              <w:rPr>
                <w:rFonts w:hint="eastAsia" w:asciiTheme="minorEastAsia" w:hAnsiTheme="minorEastAsia" w:eastAsiaTheme="minorEastAsia" w:cstheme="minorEastAsia"/>
                <w:color w:val="auto"/>
                <w:kern w:val="0"/>
                <w:highlight w:val="none"/>
              </w:rPr>
              <w:t>；不设置允许偏差范围或</w:t>
            </w:r>
            <w:r>
              <w:rPr>
                <w:rFonts w:hint="eastAsia" w:asciiTheme="minorEastAsia" w:hAnsiTheme="minorEastAsia" w:eastAsiaTheme="minorEastAsia" w:cstheme="minorEastAsia"/>
                <w:color w:val="auto"/>
                <w:szCs w:val="21"/>
                <w:highlight w:val="none"/>
              </w:rPr>
              <w:t>投标总报价偏差在允许范围内的（含上、下限值），得</w:t>
            </w:r>
            <w:r>
              <w:rPr>
                <w:rFonts w:hint="eastAsia" w:asciiTheme="minorEastAsia" w:hAnsiTheme="minorEastAsia" w:eastAsiaTheme="minorEastAsia" w:cstheme="minorEastAsia"/>
                <w:bCs/>
                <w:color w:val="auto"/>
                <w:szCs w:val="28"/>
                <w:highlight w:val="none"/>
              </w:rPr>
              <w:t>本附表第2.2.1项规定分值的满分 50</w:t>
            </w:r>
            <w:r>
              <w:rPr>
                <w:rFonts w:hint="eastAsia" w:asciiTheme="minorEastAsia" w:hAnsiTheme="minorEastAsia" w:eastAsiaTheme="minorEastAsia" w:cstheme="minorEastAsia"/>
                <w:color w:val="auto"/>
                <w:szCs w:val="21"/>
                <w:highlight w:val="none"/>
              </w:rPr>
              <w:t>分。在此基础上，投标总报价与评标基准价相比，每增加1%扣　0.5　分，每减少1%扣0.25 分，扣完为止。</w:t>
            </w:r>
          </w:p>
          <w:p w14:paraId="1F6D369A">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按插入法计算得分。</w:t>
            </w:r>
          </w:p>
          <w:p w14:paraId="3BD46F9D">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在偏差范围内，未参与评标基准价计算的竞标报价，仍应参加计算相应分值。</w:t>
            </w:r>
          </w:p>
          <w:p w14:paraId="5FCAA051">
            <w:pPr>
              <w:spacing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szCs w:val="21"/>
                <w:highlight w:val="none"/>
              </w:rPr>
              <w:t>投标总报价得分最终结果取小数点后两位，第三位四舍五入。</w:t>
            </w:r>
          </w:p>
        </w:tc>
      </w:tr>
      <w:tr w14:paraId="3A1AC4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2127" w:type="dxa"/>
            <w:gridSpan w:val="3"/>
            <w:vAlign w:val="center"/>
          </w:tcPr>
          <w:p w14:paraId="591E3249">
            <w:pPr>
              <w:spacing w:line="400" w:lineRule="exact"/>
              <w:ind w:firstLine="18" w:firstLineChars="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3.2.3</w:t>
            </w:r>
          </w:p>
        </w:tc>
        <w:tc>
          <w:tcPr>
            <w:tcW w:w="1849" w:type="dxa"/>
            <w:gridSpan w:val="2"/>
            <w:vAlign w:val="center"/>
          </w:tcPr>
          <w:p w14:paraId="767BFA0D">
            <w:pPr>
              <w:spacing w:line="400" w:lineRule="exact"/>
              <w:ind w:firstLine="18" w:firstLineChars="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竞标人得分</w:t>
            </w:r>
          </w:p>
        </w:tc>
        <w:tc>
          <w:tcPr>
            <w:tcW w:w="5493" w:type="dxa"/>
            <w:vAlign w:val="center"/>
          </w:tcPr>
          <w:p w14:paraId="0D34B545">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竞标人得分=A+B+C</w:t>
            </w:r>
          </w:p>
        </w:tc>
      </w:tr>
    </w:tbl>
    <w:p w14:paraId="3002708D">
      <w:pPr>
        <w:keepNext/>
        <w:keepLines/>
        <w:spacing w:line="360" w:lineRule="auto"/>
        <w:outlineLvl w:val="1"/>
        <w:rPr>
          <w:rFonts w:hint="eastAsia" w:asciiTheme="minorEastAsia" w:hAnsiTheme="minorEastAsia" w:eastAsiaTheme="minorEastAsia" w:cstheme="minorEastAsia"/>
          <w:bCs/>
          <w:snapToGrid w:val="0"/>
          <w:color w:val="auto"/>
          <w:sz w:val="32"/>
          <w:szCs w:val="32"/>
          <w:highlight w:val="none"/>
        </w:rPr>
      </w:pPr>
      <w:bookmarkStart w:id="375" w:name="_Toc509218776"/>
      <w:r>
        <w:rPr>
          <w:rFonts w:hint="eastAsia" w:asciiTheme="minorEastAsia" w:hAnsiTheme="minorEastAsia" w:eastAsiaTheme="minorEastAsia" w:cstheme="minorEastAsia"/>
          <w:bCs/>
          <w:snapToGrid w:val="0"/>
          <w:color w:val="auto"/>
          <w:sz w:val="32"/>
          <w:szCs w:val="32"/>
          <w:highlight w:val="none"/>
        </w:rPr>
        <w:br w:type="page"/>
      </w:r>
      <w:bookmarkEnd w:id="375"/>
      <w:r>
        <w:rPr>
          <w:rFonts w:hint="eastAsia" w:asciiTheme="minorEastAsia" w:hAnsiTheme="minorEastAsia" w:eastAsiaTheme="minorEastAsia" w:cstheme="minorEastAsia"/>
          <w:bCs/>
          <w:snapToGrid w:val="0"/>
          <w:color w:val="auto"/>
          <w:sz w:val="32"/>
          <w:szCs w:val="32"/>
          <w:highlight w:val="none"/>
        </w:rPr>
        <w:t>1.  评标方法</w:t>
      </w:r>
    </w:p>
    <w:p w14:paraId="68A495A1">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本次评标采用综合评估法</w:t>
      </w:r>
      <w:r>
        <w:rPr>
          <w:rFonts w:hint="eastAsia" w:asciiTheme="minorEastAsia" w:hAnsiTheme="minorEastAsia" w:eastAsiaTheme="minorEastAsia" w:cstheme="minorEastAsia"/>
          <w:color w:val="auto"/>
          <w:spacing w:val="-47"/>
          <w:kern w:val="0"/>
          <w:szCs w:val="21"/>
          <w:highlight w:val="none"/>
        </w:rPr>
        <w:t>。</w:t>
      </w:r>
      <w:r>
        <w:rPr>
          <w:rFonts w:hint="eastAsia" w:asciiTheme="minorEastAsia" w:hAnsiTheme="minorEastAsia" w:eastAsiaTheme="minorEastAsia" w:cstheme="minorEastAsia"/>
          <w:color w:val="auto"/>
          <w:kern w:val="0"/>
          <w:szCs w:val="21"/>
          <w:highlight w:val="none"/>
        </w:rPr>
        <w:t xml:space="preserve">评审小组按照本章第 </w:t>
      </w:r>
      <w:r>
        <w:rPr>
          <w:rFonts w:hint="eastAsia" w:asciiTheme="minorEastAsia" w:hAnsiTheme="minorEastAsia" w:eastAsiaTheme="minorEastAsia" w:cstheme="minorEastAsia"/>
          <w:color w:val="auto"/>
          <w:spacing w:val="1"/>
          <w:kern w:val="0"/>
          <w:szCs w:val="21"/>
          <w:highlight w:val="none"/>
        </w:rPr>
        <w:t>2</w:t>
      </w:r>
      <w:r>
        <w:rPr>
          <w:rFonts w:hint="eastAsia" w:asciiTheme="minorEastAsia" w:hAnsiTheme="minorEastAsia" w:eastAsiaTheme="minorEastAsia" w:cstheme="minorEastAsia"/>
          <w:color w:val="auto"/>
          <w:spacing w:val="-1"/>
          <w:kern w:val="0"/>
          <w:szCs w:val="21"/>
          <w:highlight w:val="none"/>
        </w:rPr>
        <w:t>.</w:t>
      </w: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spacing w:val="1"/>
          <w:kern w:val="0"/>
          <w:szCs w:val="21"/>
          <w:highlight w:val="none"/>
        </w:rPr>
        <w:t xml:space="preserve"> </w:t>
      </w:r>
      <w:r>
        <w:rPr>
          <w:rFonts w:hint="eastAsia" w:asciiTheme="minorEastAsia" w:hAnsiTheme="minorEastAsia" w:eastAsiaTheme="minorEastAsia" w:cstheme="minorEastAsia"/>
          <w:color w:val="auto"/>
          <w:kern w:val="0"/>
          <w:szCs w:val="21"/>
          <w:highlight w:val="none"/>
        </w:rPr>
        <w:t>款</w:t>
      </w:r>
      <w:r>
        <w:rPr>
          <w:rFonts w:hint="eastAsia" w:asciiTheme="minorEastAsia" w:hAnsiTheme="minorEastAsia" w:eastAsiaTheme="minorEastAsia" w:cstheme="minorEastAsia"/>
          <w:color w:val="auto"/>
          <w:spacing w:val="-1"/>
          <w:kern w:val="0"/>
          <w:szCs w:val="21"/>
          <w:highlight w:val="none"/>
        </w:rPr>
        <w:t>规</w:t>
      </w:r>
      <w:r>
        <w:rPr>
          <w:rFonts w:hint="eastAsia" w:asciiTheme="minorEastAsia" w:hAnsiTheme="minorEastAsia" w:eastAsiaTheme="minorEastAsia" w:cstheme="minorEastAsia"/>
          <w:color w:val="auto"/>
          <w:kern w:val="0"/>
          <w:szCs w:val="21"/>
          <w:highlight w:val="none"/>
        </w:rPr>
        <w:t>定的评分标准进行评分，按得分由高到低顺序推荐中标候选人</w:t>
      </w:r>
      <w:r>
        <w:rPr>
          <w:rFonts w:hint="eastAsia" w:asciiTheme="minorEastAsia" w:hAnsiTheme="minorEastAsia" w:eastAsiaTheme="minorEastAsia" w:cstheme="minorEastAsia"/>
          <w:color w:val="auto"/>
          <w:spacing w:val="-20"/>
          <w:kern w:val="0"/>
          <w:szCs w:val="21"/>
          <w:highlight w:val="none"/>
        </w:rPr>
        <w:t>，</w:t>
      </w:r>
      <w:r>
        <w:rPr>
          <w:rFonts w:hint="eastAsia" w:asciiTheme="minorEastAsia" w:hAnsiTheme="minorEastAsia" w:eastAsiaTheme="minorEastAsia" w:cstheme="minorEastAsia"/>
          <w:color w:val="auto"/>
          <w:kern w:val="0"/>
          <w:szCs w:val="21"/>
          <w:highlight w:val="none"/>
        </w:rPr>
        <w:t>或根据比选人授权直接确定中标人，若出现竞标人竞标报价相同的，以评标办法前附表约定的原则确定排序</w:t>
      </w:r>
      <w:r>
        <w:rPr>
          <w:rFonts w:hint="eastAsia" w:asciiTheme="minorEastAsia" w:hAnsiTheme="minorEastAsia" w:eastAsiaTheme="minorEastAsia" w:cstheme="minorEastAsia"/>
          <w:color w:val="auto"/>
          <w:spacing w:val="-31"/>
          <w:kern w:val="0"/>
          <w:szCs w:val="21"/>
          <w:highlight w:val="none"/>
        </w:rPr>
        <w:t>。</w:t>
      </w:r>
    </w:p>
    <w:p w14:paraId="0D0D3B7A">
      <w:pPr>
        <w:keepNext/>
        <w:keepLines/>
        <w:spacing w:line="360" w:lineRule="auto"/>
        <w:outlineLvl w:val="1"/>
        <w:rPr>
          <w:rFonts w:hint="eastAsia" w:asciiTheme="minorEastAsia" w:hAnsiTheme="minorEastAsia" w:eastAsiaTheme="minorEastAsia" w:cstheme="minorEastAsia"/>
          <w:bCs/>
          <w:snapToGrid w:val="0"/>
          <w:color w:val="auto"/>
          <w:sz w:val="32"/>
          <w:szCs w:val="32"/>
          <w:highlight w:val="none"/>
        </w:rPr>
      </w:pPr>
      <w:bookmarkStart w:id="376" w:name="_Toc277082619"/>
      <w:bookmarkStart w:id="377" w:name="_Toc362"/>
      <w:bookmarkStart w:id="378" w:name="_Toc287620752"/>
      <w:bookmarkStart w:id="379" w:name="_Toc200513199"/>
      <w:bookmarkStart w:id="380" w:name="_Toc509218777"/>
      <w:bookmarkStart w:id="381" w:name="_Toc287607813"/>
      <w:bookmarkStart w:id="382" w:name="_Toc430530501"/>
      <w:bookmarkStart w:id="383" w:name="_Toc224103385"/>
      <w:bookmarkStart w:id="384" w:name="_Toc7"/>
      <w:bookmarkStart w:id="385" w:name="_Toc28040"/>
      <w:r>
        <w:rPr>
          <w:rFonts w:hint="eastAsia" w:asciiTheme="minorEastAsia" w:hAnsiTheme="minorEastAsia" w:eastAsiaTheme="minorEastAsia" w:cstheme="minorEastAsia"/>
          <w:bCs/>
          <w:snapToGrid w:val="0"/>
          <w:color w:val="auto"/>
          <w:sz w:val="32"/>
          <w:szCs w:val="32"/>
          <w:highlight w:val="none"/>
        </w:rPr>
        <w:t>2.  评审标准</w:t>
      </w:r>
      <w:bookmarkEnd w:id="376"/>
      <w:bookmarkEnd w:id="377"/>
      <w:bookmarkEnd w:id="378"/>
      <w:bookmarkEnd w:id="379"/>
      <w:bookmarkEnd w:id="380"/>
      <w:bookmarkEnd w:id="381"/>
      <w:bookmarkEnd w:id="382"/>
      <w:bookmarkEnd w:id="383"/>
      <w:bookmarkEnd w:id="384"/>
      <w:bookmarkEnd w:id="385"/>
    </w:p>
    <w:p w14:paraId="4FAF5FB5">
      <w:pPr>
        <w:keepNext/>
        <w:keepLines/>
        <w:snapToGrid w:val="0"/>
        <w:spacing w:line="360" w:lineRule="auto"/>
        <w:outlineLvl w:val="2"/>
        <w:rPr>
          <w:rFonts w:hint="eastAsia" w:asciiTheme="minorEastAsia" w:hAnsiTheme="minorEastAsia" w:eastAsiaTheme="minorEastAsia" w:cstheme="minorEastAsia"/>
          <w:bCs/>
          <w:snapToGrid w:val="0"/>
          <w:color w:val="auto"/>
          <w:sz w:val="24"/>
          <w:highlight w:val="none"/>
        </w:rPr>
      </w:pPr>
      <w:bookmarkStart w:id="386" w:name="_Toc430530502"/>
      <w:bookmarkStart w:id="387" w:name="_Toc287607814"/>
      <w:bookmarkStart w:id="388" w:name="_Toc23562"/>
      <w:bookmarkStart w:id="389" w:name="_Toc287620753"/>
      <w:bookmarkStart w:id="390" w:name="_Toc14911"/>
      <w:bookmarkStart w:id="391" w:name="_Toc2588"/>
      <w:bookmarkStart w:id="392" w:name="_Toc224103386"/>
      <w:bookmarkStart w:id="393" w:name="_Toc200513200"/>
      <w:bookmarkStart w:id="394" w:name="_Toc509218778"/>
      <w:bookmarkStart w:id="395" w:name="_Toc277082620"/>
      <w:r>
        <w:rPr>
          <w:rFonts w:hint="eastAsia" w:asciiTheme="minorEastAsia" w:hAnsiTheme="minorEastAsia" w:eastAsiaTheme="minorEastAsia" w:cstheme="minorEastAsia"/>
          <w:bCs/>
          <w:snapToGrid w:val="0"/>
          <w:color w:val="auto"/>
          <w:sz w:val="24"/>
          <w:highlight w:val="none"/>
        </w:rPr>
        <w:t>2.1  初步评审标准</w:t>
      </w:r>
      <w:bookmarkEnd w:id="386"/>
      <w:bookmarkEnd w:id="387"/>
      <w:bookmarkEnd w:id="388"/>
      <w:bookmarkEnd w:id="389"/>
      <w:bookmarkEnd w:id="390"/>
      <w:bookmarkEnd w:id="391"/>
      <w:bookmarkEnd w:id="392"/>
      <w:bookmarkEnd w:id="393"/>
      <w:bookmarkEnd w:id="394"/>
      <w:bookmarkEnd w:id="395"/>
    </w:p>
    <w:p w14:paraId="15F778ED">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2.1.1  资格评审标准：见评标办法前附表。</w:t>
      </w:r>
    </w:p>
    <w:p w14:paraId="51E6CB3A">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2.1.2  形式评审标准：见评标办法前附表。</w:t>
      </w:r>
    </w:p>
    <w:p w14:paraId="1E0F5394">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2.1.3  响应性评审标准：见评标办法前附表。</w:t>
      </w:r>
    </w:p>
    <w:p w14:paraId="4D0610A2">
      <w:pPr>
        <w:keepNext/>
        <w:keepLines/>
        <w:snapToGrid w:val="0"/>
        <w:spacing w:line="360" w:lineRule="auto"/>
        <w:outlineLvl w:val="2"/>
        <w:rPr>
          <w:rFonts w:hint="eastAsia" w:asciiTheme="minorEastAsia" w:hAnsiTheme="minorEastAsia" w:eastAsiaTheme="minorEastAsia" w:cstheme="minorEastAsia"/>
          <w:bCs/>
          <w:snapToGrid w:val="0"/>
          <w:color w:val="auto"/>
          <w:sz w:val="24"/>
          <w:highlight w:val="none"/>
        </w:rPr>
      </w:pPr>
      <w:bookmarkStart w:id="396" w:name="_Toc16859"/>
      <w:bookmarkStart w:id="397" w:name="_Toc17923"/>
      <w:bookmarkStart w:id="398" w:name="_Toc287607815"/>
      <w:bookmarkStart w:id="399" w:name="_Toc287620754"/>
      <w:bookmarkStart w:id="400" w:name="_Toc200513201"/>
      <w:bookmarkStart w:id="401" w:name="_Toc277082621"/>
      <w:bookmarkStart w:id="402" w:name="_Toc224103387"/>
      <w:bookmarkStart w:id="403" w:name="_Toc430530503"/>
      <w:bookmarkStart w:id="404" w:name="_Toc2"/>
      <w:bookmarkStart w:id="405" w:name="_Toc509218779"/>
      <w:r>
        <w:rPr>
          <w:rFonts w:hint="eastAsia" w:asciiTheme="minorEastAsia" w:hAnsiTheme="minorEastAsia" w:eastAsiaTheme="minorEastAsia" w:cstheme="minorEastAsia"/>
          <w:bCs/>
          <w:snapToGrid w:val="0"/>
          <w:color w:val="auto"/>
          <w:sz w:val="24"/>
          <w:highlight w:val="none"/>
        </w:rPr>
        <w:t>2.2  分值构成与评分标准</w:t>
      </w:r>
      <w:bookmarkEnd w:id="396"/>
      <w:bookmarkEnd w:id="397"/>
      <w:bookmarkEnd w:id="398"/>
      <w:bookmarkEnd w:id="399"/>
      <w:bookmarkEnd w:id="400"/>
      <w:bookmarkEnd w:id="401"/>
      <w:bookmarkEnd w:id="402"/>
      <w:bookmarkEnd w:id="403"/>
      <w:bookmarkEnd w:id="404"/>
      <w:bookmarkEnd w:id="405"/>
    </w:p>
    <w:p w14:paraId="7CB8F5B5">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2.2.1  分值构成</w:t>
      </w:r>
    </w:p>
    <w:p w14:paraId="5EB71F4E">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pacing w:val="1"/>
          <w:kern w:val="0"/>
          <w:szCs w:val="21"/>
          <w:highlight w:val="none"/>
        </w:rPr>
        <w:t>1</w:t>
      </w:r>
      <w:r>
        <w:rPr>
          <w:rFonts w:hint="eastAsia" w:asciiTheme="minorEastAsia" w:hAnsiTheme="minorEastAsia" w:eastAsiaTheme="minorEastAsia" w:cstheme="minorEastAsia"/>
          <w:color w:val="auto"/>
          <w:kern w:val="0"/>
          <w:szCs w:val="21"/>
          <w:highlight w:val="none"/>
        </w:rPr>
        <w:t>）技术部分：见评标办法前附表；</w:t>
      </w:r>
    </w:p>
    <w:p w14:paraId="3238EB99">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pacing w:val="1"/>
          <w:kern w:val="0"/>
          <w:szCs w:val="21"/>
          <w:highlight w:val="none"/>
        </w:rPr>
        <w:t>2</w:t>
      </w:r>
      <w:r>
        <w:rPr>
          <w:rFonts w:hint="eastAsia" w:asciiTheme="minorEastAsia" w:hAnsiTheme="minorEastAsia" w:eastAsiaTheme="minorEastAsia" w:cstheme="minorEastAsia"/>
          <w:color w:val="auto"/>
          <w:kern w:val="0"/>
          <w:szCs w:val="21"/>
          <w:highlight w:val="none"/>
        </w:rPr>
        <w:t>）商务部分：见评标办法前附表；</w:t>
      </w:r>
    </w:p>
    <w:p w14:paraId="4CB31483">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pacing w:val="1"/>
          <w:kern w:val="0"/>
          <w:szCs w:val="21"/>
          <w:highlight w:val="none"/>
        </w:rPr>
        <w:t>3</w:t>
      </w:r>
      <w:r>
        <w:rPr>
          <w:rFonts w:hint="eastAsia" w:asciiTheme="minorEastAsia" w:hAnsiTheme="minorEastAsia" w:eastAsiaTheme="minorEastAsia" w:cstheme="minorEastAsia"/>
          <w:color w:val="auto"/>
          <w:kern w:val="0"/>
          <w:szCs w:val="21"/>
          <w:highlight w:val="none"/>
        </w:rPr>
        <w:t>）投标总</w:t>
      </w:r>
      <w:r>
        <w:rPr>
          <w:rFonts w:hint="eastAsia" w:asciiTheme="minorEastAsia" w:hAnsiTheme="minorEastAsia" w:eastAsiaTheme="minorEastAsia" w:cstheme="minorEastAsia"/>
          <w:color w:val="auto"/>
          <w:spacing w:val="-1"/>
          <w:kern w:val="0"/>
          <w:szCs w:val="21"/>
          <w:highlight w:val="none"/>
        </w:rPr>
        <w:t>报</w:t>
      </w:r>
      <w:r>
        <w:rPr>
          <w:rFonts w:hint="eastAsia" w:asciiTheme="minorEastAsia" w:hAnsiTheme="minorEastAsia" w:eastAsiaTheme="minorEastAsia" w:cstheme="minorEastAsia"/>
          <w:color w:val="auto"/>
          <w:kern w:val="0"/>
          <w:szCs w:val="21"/>
          <w:highlight w:val="none"/>
        </w:rPr>
        <w:t>价：见评标办法前附表。</w:t>
      </w:r>
    </w:p>
    <w:p w14:paraId="0D26CDD2">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2.2.2  评分标准</w:t>
      </w:r>
    </w:p>
    <w:p w14:paraId="24B297CE">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技术部分评分标准：见评标办法前附表。</w:t>
      </w:r>
    </w:p>
    <w:p w14:paraId="72767B3F">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2.2.3  评标基准价计算</w:t>
      </w:r>
      <w:r>
        <w:rPr>
          <w:rFonts w:hint="eastAsia" w:asciiTheme="minorEastAsia" w:hAnsiTheme="minorEastAsia" w:eastAsiaTheme="minorEastAsia" w:cstheme="minorEastAsia"/>
          <w:color w:val="auto"/>
          <w:kern w:val="0"/>
          <w:szCs w:val="21"/>
          <w:highlight w:val="none"/>
        </w:rPr>
        <w:tab/>
      </w:r>
      <w:r>
        <w:rPr>
          <w:rFonts w:hint="eastAsia" w:asciiTheme="minorEastAsia" w:hAnsiTheme="minorEastAsia" w:eastAsiaTheme="minorEastAsia" w:cstheme="minorEastAsia"/>
          <w:color w:val="auto"/>
          <w:kern w:val="0"/>
          <w:szCs w:val="21"/>
          <w:highlight w:val="none"/>
        </w:rPr>
        <w:tab/>
      </w:r>
    </w:p>
    <w:p w14:paraId="46630FAE">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评标基准价计算方法：见评标办法前附表。</w:t>
      </w:r>
    </w:p>
    <w:p w14:paraId="615D6059">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2.2.4  竞标报价的偏差率计算和允许偏差范围</w:t>
      </w:r>
    </w:p>
    <w:p w14:paraId="564623E0">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（1）竞标报价的偏差率计算公式：见评标办法前附表；</w:t>
      </w:r>
    </w:p>
    <w:p w14:paraId="5BDB37A4">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（2）竞标报价的允许偏差范围：见评标办法前附表。</w:t>
      </w:r>
    </w:p>
    <w:p w14:paraId="03F284AB">
      <w:pPr>
        <w:keepNext/>
        <w:keepLines/>
        <w:spacing w:line="360" w:lineRule="auto"/>
        <w:outlineLvl w:val="1"/>
        <w:rPr>
          <w:rFonts w:hint="eastAsia" w:asciiTheme="minorEastAsia" w:hAnsiTheme="minorEastAsia" w:eastAsiaTheme="minorEastAsia" w:cstheme="minorEastAsia"/>
          <w:bCs/>
          <w:snapToGrid w:val="0"/>
          <w:color w:val="auto"/>
          <w:sz w:val="32"/>
          <w:szCs w:val="32"/>
          <w:highlight w:val="none"/>
        </w:rPr>
      </w:pPr>
      <w:bookmarkStart w:id="406" w:name="_Toc277082622"/>
      <w:bookmarkStart w:id="407" w:name="_Toc224103388"/>
      <w:bookmarkStart w:id="408" w:name="_Toc430530504"/>
      <w:bookmarkStart w:id="409" w:name="_Toc200513202"/>
      <w:bookmarkStart w:id="410" w:name="_Toc4568"/>
      <w:bookmarkStart w:id="411" w:name="_Toc8138"/>
      <w:bookmarkStart w:id="412" w:name="_Toc509218780"/>
      <w:bookmarkStart w:id="413" w:name="_Toc287620755"/>
      <w:bookmarkStart w:id="414" w:name="_Toc23399"/>
      <w:bookmarkStart w:id="415" w:name="_Toc287607816"/>
      <w:r>
        <w:rPr>
          <w:rFonts w:hint="eastAsia" w:asciiTheme="minorEastAsia" w:hAnsiTheme="minorEastAsia" w:eastAsiaTheme="minorEastAsia" w:cstheme="minorEastAsia"/>
          <w:bCs/>
          <w:snapToGrid w:val="0"/>
          <w:color w:val="auto"/>
          <w:sz w:val="32"/>
          <w:szCs w:val="32"/>
          <w:highlight w:val="none"/>
        </w:rPr>
        <w:t>3.  评标程序</w:t>
      </w:r>
      <w:bookmarkEnd w:id="406"/>
      <w:bookmarkEnd w:id="407"/>
      <w:bookmarkEnd w:id="408"/>
      <w:bookmarkEnd w:id="409"/>
      <w:bookmarkEnd w:id="410"/>
      <w:bookmarkEnd w:id="411"/>
      <w:bookmarkEnd w:id="412"/>
      <w:bookmarkEnd w:id="413"/>
      <w:bookmarkEnd w:id="414"/>
      <w:bookmarkEnd w:id="415"/>
    </w:p>
    <w:p w14:paraId="09D851CA">
      <w:pPr>
        <w:keepNext/>
        <w:keepLines/>
        <w:snapToGrid w:val="0"/>
        <w:spacing w:line="360" w:lineRule="auto"/>
        <w:outlineLvl w:val="2"/>
        <w:rPr>
          <w:rFonts w:hint="eastAsia" w:asciiTheme="minorEastAsia" w:hAnsiTheme="minorEastAsia" w:eastAsiaTheme="minorEastAsia" w:cstheme="minorEastAsia"/>
          <w:bCs/>
          <w:snapToGrid w:val="0"/>
          <w:color w:val="auto"/>
          <w:sz w:val="24"/>
          <w:highlight w:val="none"/>
        </w:rPr>
      </w:pPr>
      <w:bookmarkStart w:id="416" w:name="_Toc287620756"/>
      <w:bookmarkStart w:id="417" w:name="_Toc200513203"/>
      <w:bookmarkStart w:id="418" w:name="_Toc21102"/>
      <w:bookmarkStart w:id="419" w:name="_Toc277082623"/>
      <w:bookmarkStart w:id="420" w:name="_Toc509218781"/>
      <w:bookmarkStart w:id="421" w:name="_Toc287607817"/>
      <w:bookmarkStart w:id="422" w:name="_Toc8458"/>
      <w:bookmarkStart w:id="423" w:name="_Toc2782"/>
      <w:bookmarkStart w:id="424" w:name="_Toc430530505"/>
      <w:bookmarkStart w:id="425" w:name="_Toc224103389"/>
      <w:r>
        <w:rPr>
          <w:rFonts w:hint="eastAsia" w:asciiTheme="minorEastAsia" w:hAnsiTheme="minorEastAsia" w:eastAsiaTheme="minorEastAsia" w:cstheme="minorEastAsia"/>
          <w:bCs/>
          <w:snapToGrid w:val="0"/>
          <w:color w:val="auto"/>
          <w:sz w:val="24"/>
          <w:highlight w:val="none"/>
        </w:rPr>
        <w:t>3.1  初步评审</w:t>
      </w:r>
      <w:bookmarkEnd w:id="416"/>
      <w:bookmarkEnd w:id="417"/>
      <w:bookmarkEnd w:id="418"/>
      <w:bookmarkEnd w:id="419"/>
      <w:bookmarkEnd w:id="420"/>
      <w:bookmarkEnd w:id="421"/>
      <w:bookmarkEnd w:id="422"/>
      <w:bookmarkEnd w:id="423"/>
      <w:bookmarkEnd w:id="424"/>
      <w:bookmarkEnd w:id="425"/>
    </w:p>
    <w:p w14:paraId="4AC678AA">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3.1.1  评审小组依据本章第 2.1 款规定的标准对竞标文件进行初步评审。有一项不符合评审标准的，作否决投标处理。</w:t>
      </w:r>
    </w:p>
    <w:p w14:paraId="3B0FFA22">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3.1.2  竞标人有以下情形之一的，其投标作否决投标处理：</w:t>
      </w:r>
    </w:p>
    <w:p w14:paraId="6EFBC52A">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pacing w:val="1"/>
          <w:kern w:val="0"/>
          <w:szCs w:val="21"/>
          <w:highlight w:val="none"/>
        </w:rPr>
        <w:t>1</w:t>
      </w:r>
      <w:r>
        <w:rPr>
          <w:rFonts w:hint="eastAsia" w:asciiTheme="minorEastAsia" w:hAnsiTheme="minorEastAsia" w:eastAsiaTheme="minorEastAsia" w:cstheme="minorEastAsia"/>
          <w:color w:val="auto"/>
          <w:kern w:val="0"/>
          <w:szCs w:val="21"/>
          <w:highlight w:val="none"/>
        </w:rPr>
        <w:t>）第二</w:t>
      </w:r>
      <w:r>
        <w:rPr>
          <w:rFonts w:hint="eastAsia" w:asciiTheme="minorEastAsia" w:hAnsiTheme="minorEastAsia" w:eastAsiaTheme="minorEastAsia" w:cstheme="minorEastAsia"/>
          <w:color w:val="auto"/>
          <w:spacing w:val="-1"/>
          <w:kern w:val="0"/>
          <w:szCs w:val="21"/>
          <w:highlight w:val="none"/>
        </w:rPr>
        <w:t>章</w:t>
      </w:r>
      <w:r>
        <w:rPr>
          <w:rFonts w:hint="eastAsia" w:asciiTheme="minorEastAsia" w:hAnsiTheme="minorEastAsia" w:eastAsiaTheme="minorEastAsia" w:cstheme="minorEastAsia"/>
          <w:color w:val="auto"/>
          <w:kern w:val="0"/>
          <w:szCs w:val="21"/>
          <w:highlight w:val="none"/>
        </w:rPr>
        <w:t>“竞标人须知”第</w:t>
      </w:r>
      <w:r>
        <w:rPr>
          <w:rFonts w:hint="eastAsia" w:asciiTheme="minorEastAsia" w:hAnsiTheme="minorEastAsia" w:eastAsiaTheme="minorEastAsia" w:cstheme="minorEastAsia"/>
          <w:color w:val="auto"/>
          <w:spacing w:val="1"/>
          <w:kern w:val="0"/>
          <w:szCs w:val="21"/>
          <w:highlight w:val="none"/>
        </w:rPr>
        <w:t>1</w:t>
      </w:r>
      <w:r>
        <w:rPr>
          <w:rFonts w:hint="eastAsia" w:asciiTheme="minorEastAsia" w:hAnsiTheme="minorEastAsia" w:eastAsiaTheme="minorEastAsia" w:cstheme="minorEastAsia"/>
          <w:color w:val="auto"/>
          <w:spacing w:val="-1"/>
          <w:kern w:val="0"/>
          <w:szCs w:val="21"/>
          <w:highlight w:val="none"/>
        </w:rPr>
        <w:t>.</w:t>
      </w:r>
      <w:r>
        <w:rPr>
          <w:rFonts w:hint="eastAsia" w:asciiTheme="minorEastAsia" w:hAnsiTheme="minorEastAsia" w:eastAsiaTheme="minorEastAsia" w:cstheme="minorEastAsia"/>
          <w:color w:val="auto"/>
          <w:spacing w:val="1"/>
          <w:kern w:val="0"/>
          <w:szCs w:val="21"/>
          <w:highlight w:val="none"/>
        </w:rPr>
        <w:t>4</w:t>
      </w:r>
      <w:r>
        <w:rPr>
          <w:rFonts w:hint="eastAsia" w:asciiTheme="minorEastAsia" w:hAnsiTheme="minorEastAsia" w:eastAsiaTheme="minorEastAsia" w:cstheme="minorEastAsia"/>
          <w:color w:val="auto"/>
          <w:spacing w:val="-1"/>
          <w:kern w:val="0"/>
          <w:szCs w:val="21"/>
          <w:highlight w:val="none"/>
        </w:rPr>
        <w:t>.</w:t>
      </w:r>
      <w:r>
        <w:rPr>
          <w:rFonts w:hint="eastAsia" w:asciiTheme="minorEastAsia" w:hAnsiTheme="minorEastAsia" w:eastAsiaTheme="minorEastAsia" w:cstheme="minorEastAsia"/>
          <w:color w:val="auto"/>
          <w:kern w:val="0"/>
          <w:szCs w:val="21"/>
          <w:highlight w:val="none"/>
        </w:rPr>
        <w:t>3项规定的任何一种情形的；</w:t>
      </w:r>
    </w:p>
    <w:p w14:paraId="4BC7BBCA">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pacing w:val="1"/>
          <w:kern w:val="0"/>
          <w:szCs w:val="21"/>
          <w:highlight w:val="none"/>
        </w:rPr>
        <w:t>2</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zCs w:val="21"/>
          <w:highlight w:val="none"/>
        </w:rPr>
        <w:t>本次投标有串通投标、弄虚作假等其他违反招投标相关法律、法规行为的</w:t>
      </w:r>
      <w:r>
        <w:rPr>
          <w:rFonts w:hint="eastAsia" w:asciiTheme="minorEastAsia" w:hAnsiTheme="minorEastAsia" w:eastAsiaTheme="minorEastAsia" w:cstheme="minorEastAsia"/>
          <w:color w:val="auto"/>
          <w:kern w:val="0"/>
          <w:szCs w:val="21"/>
          <w:highlight w:val="none"/>
        </w:rPr>
        <w:t>；</w:t>
      </w:r>
    </w:p>
    <w:p w14:paraId="487C2500">
      <w:pPr>
        <w:autoSpaceDE w:val="0"/>
        <w:autoSpaceDN w:val="0"/>
        <w:adjustRightInd w:val="0"/>
        <w:snapToGrid w:val="0"/>
        <w:spacing w:line="360" w:lineRule="auto"/>
        <w:ind w:firstLine="422" w:firstLineChars="200"/>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弄虚作假行为的界定：</w:t>
      </w:r>
    </w:p>
    <w:p w14:paraId="5DA44B10">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（1）利用伪造、变造或者无效的资质证书、印鉴参加投标的；</w:t>
      </w:r>
    </w:p>
    <w:p w14:paraId="02E08B65">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（2）伪造或者虚报业绩的；</w:t>
      </w:r>
    </w:p>
    <w:p w14:paraId="7B50485A">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（3）伪造主要技术人员简历、劳动关系证明；或者中标后不按承诺配备负责人或者主要技术人员的；</w:t>
      </w:r>
    </w:p>
    <w:p w14:paraId="51F49A69">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（4）伪造或者虚报财务状况的；</w:t>
      </w:r>
    </w:p>
    <w:p w14:paraId="2FD48656">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（5）提交虚假的信用状况信息的；</w:t>
      </w:r>
    </w:p>
    <w:p w14:paraId="07326311">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（6）隐瞒招标文件要求提供的信息，或者提供虚假、引人误解的其他信息；</w:t>
      </w:r>
    </w:p>
    <w:p w14:paraId="330F4424">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（7）法律、法规、规章规定的其他弄虚作假行为。</w:t>
      </w:r>
    </w:p>
    <w:p w14:paraId="6BB5DF0F">
      <w:pPr>
        <w:spacing w:after="120"/>
        <w:ind w:firstLine="420"/>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围标串标的认定：</w:t>
      </w:r>
    </w:p>
    <w:p w14:paraId="3B3B3551">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有下列情形之一的，经评审小组集体认定为串通投标后，作废标处理。</w:t>
      </w:r>
    </w:p>
    <w:p w14:paraId="6979296F">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（1）不同竞标人的竞标文件内容存在非正常一致有5处及以上的；</w:t>
      </w:r>
    </w:p>
    <w:p w14:paraId="68376C53">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（2）不同竞标人的竞标文件错漏之处一致有3处及以上的；</w:t>
      </w:r>
    </w:p>
    <w:p w14:paraId="3143A6A9">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（3）不同竞标人的竞标文件错漏之处一致有1处且非正常处3处及以上的；</w:t>
      </w:r>
    </w:p>
    <w:p w14:paraId="0B5D7A90">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（4）不同竞标人的竞标报价或者报价组成异常，且一致或者呈规律性变化的；</w:t>
      </w:r>
    </w:p>
    <w:p w14:paraId="1C339FA3">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（5）不同竞标人的竞标文件由同一单位或者同一个人编制的；</w:t>
      </w:r>
    </w:p>
    <w:p w14:paraId="037FE1F9">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（6）不同竞标人的竞标文件载明的项目管理班子成员出现同一人的；</w:t>
      </w:r>
    </w:p>
    <w:p w14:paraId="5C0CB1F2">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（7）不同竞标人的竞标文件相互混装的；</w:t>
      </w:r>
    </w:p>
    <w:p w14:paraId="6E137C5C">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（8）不同竞标人的竞标文件由同一台电脑编制的；</w:t>
      </w:r>
    </w:p>
    <w:p w14:paraId="7C96C164">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（9）不同竞标人委托同一人投标的；</w:t>
      </w:r>
    </w:p>
    <w:p w14:paraId="3E860FCA">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（10）不同竞标人使用同一个企业资金交纳投标保证金的；</w:t>
      </w:r>
    </w:p>
    <w:p w14:paraId="381898F7">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（11）不同竞标人聘请同一人为其投标提供技术或者经济咨询服务的，但招标服务本身要求采用专有技术的除外；</w:t>
      </w:r>
    </w:p>
    <w:p w14:paraId="22B11ABE">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（12）评审小组认定的其他串通投标情形。</w:t>
      </w:r>
    </w:p>
    <w:p w14:paraId="7F5BAAC9">
      <w:pPr>
        <w:ind w:firstLine="420"/>
        <w:rPr>
          <w:rFonts w:hint="eastAsia" w:asciiTheme="minorEastAsia" w:hAnsiTheme="minorEastAsia" w:eastAsiaTheme="minorEastAsia" w:cstheme="minorEastAsia"/>
          <w:color w:val="auto"/>
          <w:highlight w:val="none"/>
        </w:rPr>
      </w:pPr>
    </w:p>
    <w:p w14:paraId="7AB3D0F6">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pacing w:val="1"/>
          <w:kern w:val="0"/>
          <w:szCs w:val="21"/>
          <w:highlight w:val="none"/>
        </w:rPr>
        <w:t>3</w:t>
      </w:r>
      <w:r>
        <w:rPr>
          <w:rFonts w:hint="eastAsia" w:asciiTheme="minorEastAsia" w:hAnsiTheme="minorEastAsia" w:eastAsiaTheme="minorEastAsia" w:cstheme="minorEastAsia"/>
          <w:color w:val="auto"/>
          <w:kern w:val="0"/>
          <w:szCs w:val="21"/>
          <w:highlight w:val="none"/>
        </w:rPr>
        <w:t>）拒绝按</w:t>
      </w:r>
      <w:r>
        <w:rPr>
          <w:rFonts w:hint="eastAsia" w:asciiTheme="minorEastAsia" w:hAnsiTheme="minorEastAsia" w:eastAsiaTheme="minorEastAsia" w:cstheme="minorEastAsia"/>
          <w:color w:val="auto"/>
          <w:spacing w:val="-1"/>
          <w:kern w:val="0"/>
          <w:szCs w:val="21"/>
          <w:highlight w:val="none"/>
        </w:rPr>
        <w:t>评审小组</w:t>
      </w:r>
      <w:r>
        <w:rPr>
          <w:rFonts w:hint="eastAsia" w:asciiTheme="minorEastAsia" w:hAnsiTheme="minorEastAsia" w:eastAsiaTheme="minorEastAsia" w:cstheme="minorEastAsia"/>
          <w:color w:val="auto"/>
          <w:kern w:val="0"/>
          <w:szCs w:val="21"/>
          <w:highlight w:val="none"/>
        </w:rPr>
        <w:t>要求澄清、说明或补正的。</w:t>
      </w:r>
    </w:p>
    <w:p w14:paraId="5F645597">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3.1.3  竞标报价有算术错误的，评审小组按以下原则对竞标报价进行修正，修正的价格经竞标人书面确认后具有约束力，修正原则如下：</w:t>
      </w:r>
    </w:p>
    <w:p w14:paraId="2734752C">
      <w:pPr>
        <w:autoSpaceDE w:val="0"/>
        <w:autoSpaceDN w:val="0"/>
        <w:adjustRightInd w:val="0"/>
        <w:snapToGrid w:val="0"/>
        <w:spacing w:line="360" w:lineRule="auto"/>
        <w:ind w:firstLine="532"/>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pacing w:val="-1"/>
          <w:kern w:val="0"/>
          <w:szCs w:val="21"/>
          <w:highlight w:val="none"/>
        </w:rPr>
        <w:t>（1）竞标文件中的大写金额与小写金额不一致的，以大写金</w:t>
      </w:r>
      <w:r>
        <w:rPr>
          <w:rFonts w:hint="eastAsia" w:asciiTheme="minorEastAsia" w:hAnsiTheme="minorEastAsia" w:eastAsiaTheme="minorEastAsia" w:cstheme="minorEastAsia"/>
          <w:color w:val="auto"/>
          <w:kern w:val="0"/>
          <w:szCs w:val="21"/>
          <w:highlight w:val="none"/>
        </w:rPr>
        <w:t>额为准；</w:t>
      </w:r>
    </w:p>
    <w:p w14:paraId="227FE15E">
      <w:pPr>
        <w:keepNext/>
        <w:keepLines/>
        <w:snapToGrid w:val="0"/>
        <w:spacing w:line="360" w:lineRule="auto"/>
        <w:outlineLvl w:val="2"/>
        <w:rPr>
          <w:rFonts w:hint="eastAsia" w:asciiTheme="minorEastAsia" w:hAnsiTheme="minorEastAsia" w:eastAsiaTheme="minorEastAsia" w:cstheme="minorEastAsia"/>
          <w:bCs/>
          <w:snapToGrid w:val="0"/>
          <w:color w:val="auto"/>
          <w:sz w:val="24"/>
          <w:highlight w:val="none"/>
        </w:rPr>
      </w:pPr>
      <w:bookmarkStart w:id="426" w:name="_Toc509218782"/>
      <w:bookmarkStart w:id="427" w:name="_Toc430530506"/>
      <w:bookmarkStart w:id="428" w:name="_Toc287620757"/>
      <w:bookmarkStart w:id="429" w:name="_Toc8312"/>
      <w:bookmarkStart w:id="430" w:name="_Toc12430"/>
      <w:bookmarkStart w:id="431" w:name="_Toc31837"/>
      <w:bookmarkStart w:id="432" w:name="_Toc200513204"/>
      <w:bookmarkStart w:id="433" w:name="_Toc287607818"/>
      <w:bookmarkStart w:id="434" w:name="_Toc277082624"/>
      <w:bookmarkStart w:id="435" w:name="_Toc224103390"/>
      <w:r>
        <w:rPr>
          <w:rFonts w:hint="eastAsia" w:asciiTheme="minorEastAsia" w:hAnsiTheme="minorEastAsia" w:eastAsiaTheme="minorEastAsia" w:cstheme="minorEastAsia"/>
          <w:bCs/>
          <w:snapToGrid w:val="0"/>
          <w:color w:val="auto"/>
          <w:sz w:val="24"/>
          <w:highlight w:val="none"/>
        </w:rPr>
        <w:t>3.2  详细评审</w:t>
      </w:r>
      <w:bookmarkEnd w:id="426"/>
      <w:bookmarkEnd w:id="427"/>
      <w:bookmarkEnd w:id="428"/>
      <w:bookmarkEnd w:id="429"/>
      <w:bookmarkEnd w:id="430"/>
      <w:bookmarkEnd w:id="431"/>
      <w:bookmarkEnd w:id="432"/>
      <w:bookmarkEnd w:id="433"/>
      <w:bookmarkEnd w:id="434"/>
      <w:bookmarkEnd w:id="435"/>
    </w:p>
    <w:p w14:paraId="1EF59876">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3.2.1  评审小组按本章第2.2款规定的量化因素和分值进行评分，并计算出综合评估得分。</w:t>
      </w:r>
    </w:p>
    <w:p w14:paraId="4EE69B04">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（1）按本章第3.2.1（1）目规定的评审因素和分值对技术方案计算出得分A</w:t>
      </w:r>
    </w:p>
    <w:p w14:paraId="7FD5D279">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（2）按本章第3.2.1（2）目规定的评审因素和分值对商务部分计算出得分B。</w:t>
      </w:r>
    </w:p>
    <w:p w14:paraId="48F86CFC">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（3）按本章第3.2.1（3）目规定的评审因素和分值对投标总报价计算出得分C。</w:t>
      </w:r>
    </w:p>
    <w:p w14:paraId="7D79D14A">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3.2.2  各类评分分值的最终计算结果保留小数点后两位，小数点后第三位“四舍五入”。</w:t>
      </w:r>
    </w:p>
    <w:p w14:paraId="455F0A9B">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3.2.3  竞标人得分=A+B+C。</w:t>
      </w:r>
    </w:p>
    <w:p w14:paraId="6A26A68F">
      <w:pPr>
        <w:keepNext/>
        <w:keepLines/>
        <w:snapToGrid w:val="0"/>
        <w:spacing w:line="360" w:lineRule="auto"/>
        <w:outlineLvl w:val="2"/>
        <w:rPr>
          <w:rFonts w:hint="eastAsia" w:asciiTheme="minorEastAsia" w:hAnsiTheme="minorEastAsia" w:eastAsiaTheme="minorEastAsia" w:cstheme="minorEastAsia"/>
          <w:bCs/>
          <w:snapToGrid w:val="0"/>
          <w:color w:val="auto"/>
          <w:sz w:val="24"/>
          <w:highlight w:val="none"/>
        </w:rPr>
      </w:pPr>
      <w:bookmarkStart w:id="436" w:name="_Toc509218783"/>
      <w:bookmarkStart w:id="437" w:name="_Toc224103391"/>
      <w:bookmarkStart w:id="438" w:name="_Toc277082625"/>
      <w:bookmarkStart w:id="439" w:name="_Toc430530507"/>
      <w:bookmarkStart w:id="440" w:name="_Toc200513205"/>
      <w:bookmarkStart w:id="441" w:name="_Toc287607819"/>
      <w:bookmarkStart w:id="442" w:name="_Toc30938"/>
      <w:bookmarkStart w:id="443" w:name="_Toc29615"/>
      <w:bookmarkStart w:id="444" w:name="_Toc23268"/>
      <w:bookmarkStart w:id="445" w:name="_Toc287620758"/>
      <w:r>
        <w:rPr>
          <w:rFonts w:hint="eastAsia" w:asciiTheme="minorEastAsia" w:hAnsiTheme="minorEastAsia" w:eastAsiaTheme="minorEastAsia" w:cstheme="minorEastAsia"/>
          <w:bCs/>
          <w:snapToGrid w:val="0"/>
          <w:color w:val="auto"/>
          <w:sz w:val="24"/>
          <w:highlight w:val="none"/>
        </w:rPr>
        <w:t>3.3  竞标文件的澄清和补正</w:t>
      </w:r>
      <w:bookmarkEnd w:id="436"/>
      <w:bookmarkEnd w:id="437"/>
      <w:bookmarkEnd w:id="438"/>
      <w:bookmarkEnd w:id="439"/>
      <w:bookmarkEnd w:id="440"/>
      <w:bookmarkEnd w:id="441"/>
      <w:bookmarkEnd w:id="442"/>
      <w:bookmarkEnd w:id="443"/>
      <w:bookmarkEnd w:id="444"/>
      <w:bookmarkEnd w:id="445"/>
    </w:p>
    <w:p w14:paraId="67D0BC60">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3.3.1  在评标过程中，评审小组可以书面形式要求竞标人对所提交竞标文件中不明确的内容进行书面澄清或说明，或者对细微偏差进行补正。评审小组不接受竞标人主动提出的澄清、说明或补正。</w:t>
      </w:r>
    </w:p>
    <w:p w14:paraId="4DD79574">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3.3.2  澄清、说明和补正不得改变竞标文件的实质性内容（算术性错误修正的除外）。竞标人的书面澄清、说明和补正属于竞标文件的组成部分。</w:t>
      </w:r>
    </w:p>
    <w:p w14:paraId="628D502A">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3.3.3  评审小组对竞标人提交的澄清、说明或补正有疑问的，可以要求竞标人进一步澄清、说明或补正，直至满足评审小组的要求。</w:t>
      </w:r>
    </w:p>
    <w:p w14:paraId="624950F8">
      <w:pPr>
        <w:keepNext/>
        <w:keepLines/>
        <w:snapToGrid w:val="0"/>
        <w:spacing w:line="360" w:lineRule="auto"/>
        <w:outlineLvl w:val="2"/>
        <w:rPr>
          <w:rFonts w:hint="eastAsia" w:asciiTheme="minorEastAsia" w:hAnsiTheme="minorEastAsia" w:eastAsiaTheme="minorEastAsia" w:cstheme="minorEastAsia"/>
          <w:bCs/>
          <w:snapToGrid w:val="0"/>
          <w:color w:val="auto"/>
          <w:sz w:val="24"/>
          <w:highlight w:val="none"/>
        </w:rPr>
      </w:pPr>
      <w:bookmarkStart w:id="446" w:name="_Toc287607820"/>
      <w:bookmarkStart w:id="447" w:name="_Toc200513206"/>
      <w:bookmarkStart w:id="448" w:name="_Toc17868"/>
      <w:bookmarkStart w:id="449" w:name="_Toc287620759"/>
      <w:bookmarkStart w:id="450" w:name="_Toc509218784"/>
      <w:bookmarkStart w:id="451" w:name="_Toc430530508"/>
      <w:bookmarkStart w:id="452" w:name="_Toc21649"/>
      <w:bookmarkStart w:id="453" w:name="_Toc277082626"/>
      <w:bookmarkStart w:id="454" w:name="_Toc224103392"/>
      <w:bookmarkStart w:id="455" w:name="_Toc22832"/>
      <w:r>
        <w:rPr>
          <w:rFonts w:hint="eastAsia" w:asciiTheme="minorEastAsia" w:hAnsiTheme="minorEastAsia" w:eastAsiaTheme="minorEastAsia" w:cstheme="minorEastAsia"/>
          <w:bCs/>
          <w:snapToGrid w:val="0"/>
          <w:color w:val="auto"/>
          <w:sz w:val="24"/>
          <w:highlight w:val="none"/>
        </w:rPr>
        <w:t>3.4  评标结果</w:t>
      </w:r>
      <w:bookmarkEnd w:id="446"/>
      <w:bookmarkEnd w:id="447"/>
      <w:bookmarkEnd w:id="448"/>
      <w:bookmarkEnd w:id="449"/>
      <w:bookmarkEnd w:id="450"/>
      <w:bookmarkEnd w:id="451"/>
      <w:bookmarkEnd w:id="452"/>
      <w:bookmarkEnd w:id="453"/>
      <w:bookmarkEnd w:id="454"/>
      <w:bookmarkEnd w:id="455"/>
    </w:p>
    <w:p w14:paraId="31B421A5">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spacing w:val="-1"/>
          <w:kern w:val="0"/>
          <w:szCs w:val="21"/>
          <w:highlight w:val="none"/>
        </w:rPr>
        <w:t>4</w:t>
      </w:r>
      <w:r>
        <w:rPr>
          <w:rFonts w:hint="eastAsia" w:asciiTheme="minorEastAsia" w:hAnsiTheme="minorEastAsia" w:eastAsiaTheme="minorEastAsia" w:cstheme="minorEastAsia"/>
          <w:color w:val="auto"/>
          <w:kern w:val="0"/>
          <w:szCs w:val="21"/>
          <w:highlight w:val="none"/>
        </w:rPr>
        <w:t xml:space="preserve">.1 </w:t>
      </w:r>
      <w:r>
        <w:rPr>
          <w:rFonts w:hint="eastAsia" w:asciiTheme="minorEastAsia" w:hAnsiTheme="minorEastAsia" w:eastAsiaTheme="minorEastAsia" w:cstheme="minorEastAsia"/>
          <w:color w:val="auto"/>
          <w:spacing w:val="1"/>
          <w:kern w:val="0"/>
          <w:szCs w:val="21"/>
          <w:highlight w:val="none"/>
        </w:rPr>
        <w:t xml:space="preserve"> </w:t>
      </w:r>
      <w:r>
        <w:rPr>
          <w:rFonts w:hint="eastAsia" w:asciiTheme="minorEastAsia" w:hAnsiTheme="minorEastAsia" w:eastAsiaTheme="minorEastAsia" w:cstheme="minorEastAsia"/>
          <w:color w:val="auto"/>
          <w:kern w:val="0"/>
          <w:szCs w:val="21"/>
          <w:highlight w:val="none"/>
        </w:rPr>
        <w:t>除第二章“竞标人须知”前</w:t>
      </w:r>
      <w:r>
        <w:rPr>
          <w:rFonts w:hint="eastAsia" w:asciiTheme="minorEastAsia" w:hAnsiTheme="minorEastAsia" w:eastAsiaTheme="minorEastAsia" w:cstheme="minorEastAsia"/>
          <w:color w:val="auto"/>
          <w:spacing w:val="1"/>
          <w:kern w:val="0"/>
          <w:szCs w:val="21"/>
          <w:highlight w:val="none"/>
        </w:rPr>
        <w:t>附</w:t>
      </w:r>
      <w:r>
        <w:rPr>
          <w:rFonts w:hint="eastAsia" w:asciiTheme="minorEastAsia" w:hAnsiTheme="minorEastAsia" w:eastAsiaTheme="minorEastAsia" w:cstheme="minorEastAsia"/>
          <w:color w:val="auto"/>
          <w:kern w:val="0"/>
          <w:szCs w:val="21"/>
          <w:highlight w:val="none"/>
        </w:rPr>
        <w:t>表授权直</w:t>
      </w:r>
      <w:r>
        <w:rPr>
          <w:rFonts w:hint="eastAsia" w:asciiTheme="minorEastAsia" w:hAnsiTheme="minorEastAsia" w:eastAsiaTheme="minorEastAsia" w:cstheme="minorEastAsia"/>
          <w:color w:val="auto"/>
          <w:spacing w:val="1"/>
          <w:kern w:val="0"/>
          <w:szCs w:val="21"/>
          <w:highlight w:val="none"/>
        </w:rPr>
        <w:t>接</w:t>
      </w:r>
      <w:r>
        <w:rPr>
          <w:rFonts w:hint="eastAsia" w:asciiTheme="minorEastAsia" w:hAnsiTheme="minorEastAsia" w:eastAsiaTheme="minorEastAsia" w:cstheme="minorEastAsia"/>
          <w:color w:val="auto"/>
          <w:kern w:val="0"/>
          <w:szCs w:val="21"/>
          <w:highlight w:val="none"/>
        </w:rPr>
        <w:t>确定中标</w:t>
      </w:r>
      <w:r>
        <w:rPr>
          <w:rFonts w:hint="eastAsia" w:asciiTheme="minorEastAsia" w:hAnsiTheme="minorEastAsia" w:eastAsiaTheme="minorEastAsia" w:cstheme="minorEastAsia"/>
          <w:color w:val="auto"/>
          <w:spacing w:val="1"/>
          <w:kern w:val="0"/>
          <w:szCs w:val="21"/>
          <w:highlight w:val="none"/>
        </w:rPr>
        <w:t>人</w:t>
      </w:r>
      <w:r>
        <w:rPr>
          <w:rFonts w:hint="eastAsia" w:asciiTheme="minorEastAsia" w:hAnsiTheme="minorEastAsia" w:eastAsiaTheme="minorEastAsia" w:cstheme="minorEastAsia"/>
          <w:color w:val="auto"/>
          <w:kern w:val="0"/>
          <w:szCs w:val="21"/>
          <w:highlight w:val="none"/>
        </w:rPr>
        <w:t>外，评审小组按照</w:t>
      </w:r>
      <w:r>
        <w:rPr>
          <w:rFonts w:hint="eastAsia" w:asciiTheme="minorEastAsia" w:hAnsiTheme="minorEastAsia" w:eastAsiaTheme="minorEastAsia" w:cstheme="minorEastAsia"/>
          <w:color w:val="auto"/>
          <w:spacing w:val="1"/>
          <w:kern w:val="0"/>
          <w:szCs w:val="21"/>
          <w:highlight w:val="none"/>
        </w:rPr>
        <w:t>得分</w:t>
      </w:r>
      <w:r>
        <w:rPr>
          <w:rFonts w:hint="eastAsia" w:asciiTheme="minorEastAsia" w:hAnsiTheme="minorEastAsia" w:eastAsiaTheme="minorEastAsia" w:cstheme="minorEastAsia"/>
          <w:color w:val="auto"/>
          <w:kern w:val="0"/>
          <w:szCs w:val="21"/>
          <w:highlight w:val="none"/>
        </w:rPr>
        <w:t>由高到低的顺序推荐中标候选人。</w:t>
      </w:r>
    </w:p>
    <w:p w14:paraId="667B91D4">
      <w:pPr>
        <w:autoSpaceDE w:val="0"/>
        <w:autoSpaceDN w:val="0"/>
        <w:adjustRightInd w:val="0"/>
        <w:snapToGrid w:val="0"/>
        <w:spacing w:line="360" w:lineRule="auto"/>
        <w:ind w:firstLine="424"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pacing w:val="1"/>
          <w:kern w:val="0"/>
          <w:szCs w:val="21"/>
          <w:highlight w:val="none"/>
        </w:rPr>
        <w:t>3</w:t>
      </w:r>
      <w:r>
        <w:rPr>
          <w:rFonts w:hint="eastAsia" w:asciiTheme="minorEastAsia" w:hAnsiTheme="minorEastAsia" w:eastAsiaTheme="minorEastAsia" w:cstheme="minorEastAsia"/>
          <w:color w:val="auto"/>
          <w:kern w:val="0"/>
          <w:szCs w:val="21"/>
          <w:highlight w:val="none"/>
        </w:rPr>
        <w:t>.4.2  评审小组完成评标后，应当向比选人提交书面评标报告。</w:t>
      </w:r>
    </w:p>
    <w:p w14:paraId="2D965885">
      <w:pPr>
        <w:spacing w:line="360" w:lineRule="auto"/>
        <w:rPr>
          <w:rFonts w:hint="eastAsia" w:asciiTheme="minorEastAsia" w:hAnsiTheme="minorEastAsia" w:eastAsiaTheme="minorEastAsia" w:cstheme="minorEastAsia"/>
          <w:b/>
          <w:color w:val="auto"/>
          <w:szCs w:val="20"/>
          <w:highlight w:val="none"/>
        </w:rPr>
      </w:pPr>
    </w:p>
    <w:p w14:paraId="7BCEAC5F">
      <w:pPr>
        <w:rPr>
          <w:rFonts w:hint="eastAsia" w:asciiTheme="minorEastAsia" w:hAnsiTheme="minorEastAsia" w:eastAsiaTheme="minorEastAsia" w:cstheme="minorEastAsia"/>
          <w:b/>
          <w:color w:val="auto"/>
          <w:kern w:val="0"/>
          <w:sz w:val="28"/>
          <w:szCs w:val="28"/>
          <w:highlight w:val="none"/>
        </w:rPr>
      </w:pPr>
      <w:bookmarkStart w:id="456" w:name="招标文件04章合同条款及格式"/>
      <w:bookmarkEnd w:id="456"/>
      <w:bookmarkStart w:id="457" w:name="招标文件03章02评标办法综合评估法02附件02"/>
      <w:bookmarkEnd w:id="457"/>
      <w:bookmarkStart w:id="458" w:name="_Toc230410480"/>
      <w:bookmarkStart w:id="459" w:name="_Toc277082627"/>
      <w:r>
        <w:rPr>
          <w:rFonts w:hint="eastAsia" w:asciiTheme="minorEastAsia" w:hAnsiTheme="minorEastAsia" w:eastAsiaTheme="minorEastAsia" w:cstheme="minorEastAsia"/>
          <w:b/>
          <w:color w:val="auto"/>
          <w:kern w:val="0"/>
          <w:sz w:val="28"/>
          <w:szCs w:val="28"/>
          <w:highlight w:val="none"/>
        </w:rPr>
        <w:br w:type="page"/>
      </w:r>
    </w:p>
    <w:p w14:paraId="42B7B258">
      <w:pPr>
        <w:widowControl/>
        <w:spacing w:line="360" w:lineRule="auto"/>
        <w:jc w:val="center"/>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附件A：综合评估法否决投标情况一览表</w:t>
      </w:r>
      <w:bookmarkEnd w:id="458"/>
    </w:p>
    <w:bookmarkEnd w:id="459"/>
    <w:p w14:paraId="1C41C14C">
      <w:pPr>
        <w:widowControl/>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竞标文件存在本一览表下列情形之一的，竞标文件视为重大偏差并作否决投标处理，否则，评审小组不得视为重大偏差而否决竞标人的竞标文件。</w:t>
      </w:r>
    </w:p>
    <w:tbl>
      <w:tblPr>
        <w:tblStyle w:val="48"/>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13C7D2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21A14698">
            <w:pPr>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章节号</w:t>
            </w:r>
          </w:p>
        </w:tc>
        <w:tc>
          <w:tcPr>
            <w:tcW w:w="1899" w:type="dxa"/>
            <w:vAlign w:val="center"/>
          </w:tcPr>
          <w:p w14:paraId="431E01B8">
            <w:pPr>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条款名称</w:t>
            </w:r>
          </w:p>
        </w:tc>
        <w:tc>
          <w:tcPr>
            <w:tcW w:w="6333" w:type="dxa"/>
            <w:vAlign w:val="center"/>
          </w:tcPr>
          <w:p w14:paraId="7134DB23">
            <w:pPr>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否决投标条件</w:t>
            </w:r>
          </w:p>
        </w:tc>
      </w:tr>
      <w:tr w14:paraId="5BAE25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9" w:hRule="atLeast"/>
          <w:tblHeader/>
          <w:jc w:val="center"/>
        </w:trPr>
        <w:tc>
          <w:tcPr>
            <w:tcW w:w="1237" w:type="dxa"/>
            <w:vMerge w:val="restart"/>
            <w:vAlign w:val="center"/>
          </w:tcPr>
          <w:p w14:paraId="73D47ADF">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restart"/>
            <w:vAlign w:val="center"/>
          </w:tcPr>
          <w:p w14:paraId="397AC322">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资格评审</w:t>
            </w:r>
          </w:p>
        </w:tc>
        <w:tc>
          <w:tcPr>
            <w:tcW w:w="6333" w:type="dxa"/>
            <w:vAlign w:val="center"/>
          </w:tcPr>
          <w:p w14:paraId="359CCE96">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A-1竞标人的营业执照须满足竞标人须知前附表1.4.1项的要求，否则由评审小组作否决投标处理。</w:t>
            </w:r>
          </w:p>
        </w:tc>
      </w:tr>
      <w:tr w14:paraId="305304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2D47979">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6C450027">
            <w:pPr>
              <w:spacing w:line="400" w:lineRule="exact"/>
              <w:jc w:val="center"/>
              <w:rPr>
                <w:rFonts w:hint="eastAsia" w:asciiTheme="minorEastAsia" w:hAnsiTheme="minorEastAsia" w:eastAsiaTheme="minorEastAsia" w:cstheme="minorEastAsia"/>
                <w:color w:val="auto"/>
                <w:szCs w:val="21"/>
                <w:highlight w:val="none"/>
              </w:rPr>
            </w:pPr>
          </w:p>
        </w:tc>
        <w:tc>
          <w:tcPr>
            <w:tcW w:w="6333" w:type="dxa"/>
            <w:vAlign w:val="center"/>
          </w:tcPr>
          <w:p w14:paraId="2E23D945">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A-2竞标人的投标截止日投标资格情况须满足竞标人须知前附表第1.4.1项的要求，否则由评审小组作否决投标处理。</w:t>
            </w:r>
          </w:p>
        </w:tc>
      </w:tr>
      <w:tr w14:paraId="0271E3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tblHeader/>
          <w:jc w:val="center"/>
        </w:trPr>
        <w:tc>
          <w:tcPr>
            <w:tcW w:w="1237" w:type="dxa"/>
            <w:vMerge w:val="continue"/>
            <w:vAlign w:val="center"/>
          </w:tcPr>
          <w:p w14:paraId="7BE86905">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1E11D9C8">
            <w:pPr>
              <w:spacing w:line="400" w:lineRule="exact"/>
              <w:jc w:val="center"/>
              <w:rPr>
                <w:rFonts w:hint="eastAsia" w:asciiTheme="minorEastAsia" w:hAnsiTheme="minorEastAsia" w:eastAsiaTheme="minorEastAsia" w:cstheme="minorEastAsia"/>
                <w:color w:val="auto"/>
                <w:szCs w:val="21"/>
                <w:highlight w:val="none"/>
              </w:rPr>
            </w:pPr>
          </w:p>
        </w:tc>
        <w:tc>
          <w:tcPr>
            <w:tcW w:w="6333" w:type="dxa"/>
            <w:vAlign w:val="center"/>
          </w:tcPr>
          <w:p w14:paraId="2DDC95F7">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A-3竞标人的其他要求须满足竞标人须知前附表第1.4.1项的要求，否则由评审小组作否决投标处理。</w:t>
            </w:r>
          </w:p>
        </w:tc>
      </w:tr>
      <w:tr w14:paraId="4AEF99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621082C">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restart"/>
            <w:vAlign w:val="center"/>
          </w:tcPr>
          <w:p w14:paraId="1C4369A3">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形式评审</w:t>
            </w:r>
          </w:p>
        </w:tc>
        <w:tc>
          <w:tcPr>
            <w:tcW w:w="6333" w:type="dxa"/>
          </w:tcPr>
          <w:p w14:paraId="6138610A">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A-4竞标人名称必须与营业执照一致，依法变更名称的应提交相应证明材料，否则由评审小组作否决投标处理。</w:t>
            </w:r>
          </w:p>
        </w:tc>
      </w:tr>
      <w:tr w14:paraId="3ABDDA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4EAEBF0">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236A3A12">
            <w:pPr>
              <w:spacing w:line="400" w:lineRule="exact"/>
              <w:jc w:val="center"/>
              <w:rPr>
                <w:rFonts w:hint="eastAsia" w:asciiTheme="minorEastAsia" w:hAnsiTheme="minorEastAsia" w:eastAsiaTheme="minorEastAsia" w:cstheme="minorEastAsia"/>
                <w:color w:val="auto"/>
                <w:szCs w:val="21"/>
                <w:highlight w:val="none"/>
              </w:rPr>
            </w:pPr>
          </w:p>
        </w:tc>
        <w:tc>
          <w:tcPr>
            <w:tcW w:w="6333" w:type="dxa"/>
          </w:tcPr>
          <w:p w14:paraId="3D427CE3">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A-5竞标函格式规定签名、盖章的位置有法定代表人或其委托代理人签名（或盖章）、加盖单位法人章，否则由评审小组作否决投标处理。</w:t>
            </w:r>
          </w:p>
        </w:tc>
      </w:tr>
      <w:tr w14:paraId="732CCA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07C9EE9">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67E910DB">
            <w:pPr>
              <w:spacing w:line="400" w:lineRule="exact"/>
              <w:jc w:val="center"/>
              <w:rPr>
                <w:rFonts w:hint="eastAsia" w:asciiTheme="minorEastAsia" w:hAnsiTheme="minorEastAsia" w:eastAsiaTheme="minorEastAsia" w:cstheme="minorEastAsia"/>
                <w:color w:val="auto"/>
                <w:szCs w:val="21"/>
                <w:highlight w:val="none"/>
              </w:rPr>
            </w:pPr>
          </w:p>
        </w:tc>
        <w:tc>
          <w:tcPr>
            <w:tcW w:w="6333" w:type="dxa"/>
          </w:tcPr>
          <w:p w14:paraId="733894F2">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A-6竞标文件格式符合第二章“竞标人须知”第3.7款的要求，否则由评审小组作否决投标处理。</w:t>
            </w:r>
          </w:p>
          <w:p w14:paraId="5CB6FDA0">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编制竞标文件时不得对第六章“竞标文件格式”的相应要素作实质性修改，否则由评审小组作否决投标处理。</w:t>
            </w:r>
          </w:p>
        </w:tc>
      </w:tr>
      <w:tr w14:paraId="0A6995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86B099C">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5D5C61D6">
            <w:pPr>
              <w:spacing w:line="400" w:lineRule="exact"/>
              <w:jc w:val="center"/>
              <w:rPr>
                <w:rFonts w:hint="eastAsia" w:asciiTheme="minorEastAsia" w:hAnsiTheme="minorEastAsia" w:eastAsiaTheme="minorEastAsia" w:cstheme="minorEastAsia"/>
                <w:color w:val="auto"/>
                <w:szCs w:val="21"/>
                <w:highlight w:val="none"/>
              </w:rPr>
            </w:pPr>
          </w:p>
        </w:tc>
        <w:tc>
          <w:tcPr>
            <w:tcW w:w="6333" w:type="dxa"/>
          </w:tcPr>
          <w:p w14:paraId="3C22497A">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i/>
                <w:color w:val="auto"/>
                <w:szCs w:val="21"/>
                <w:highlight w:val="none"/>
              </w:rPr>
            </w:pPr>
            <w:r>
              <w:rPr>
                <w:rFonts w:hint="eastAsia" w:asciiTheme="minorEastAsia" w:hAnsiTheme="minorEastAsia" w:eastAsiaTheme="minorEastAsia" w:cstheme="minorEastAsia"/>
                <w:color w:val="auto"/>
                <w:szCs w:val="21"/>
                <w:highlight w:val="none"/>
              </w:rPr>
              <w:t>A-7竞标文件份数符合第二章“竞标人须知”第3.7.4项的规定，</w:t>
            </w:r>
            <w:r>
              <w:rPr>
                <w:rFonts w:hint="eastAsia" w:asciiTheme="minorEastAsia" w:hAnsiTheme="minorEastAsia" w:eastAsiaTheme="minorEastAsia" w:cstheme="minorEastAsia"/>
                <w:color w:val="auto"/>
                <w:kern w:val="0"/>
                <w:szCs w:val="21"/>
                <w:highlight w:val="none"/>
              </w:rPr>
              <w:t>否则由评审小组作否决投标处理。</w:t>
            </w:r>
          </w:p>
        </w:tc>
      </w:tr>
      <w:tr w14:paraId="306BAE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F8700DE">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4938F786">
            <w:pPr>
              <w:spacing w:line="400" w:lineRule="exact"/>
              <w:jc w:val="center"/>
              <w:rPr>
                <w:rFonts w:hint="eastAsia" w:asciiTheme="minorEastAsia" w:hAnsiTheme="minorEastAsia" w:eastAsiaTheme="minorEastAsia" w:cstheme="minorEastAsia"/>
                <w:color w:val="auto"/>
                <w:szCs w:val="21"/>
                <w:highlight w:val="none"/>
              </w:rPr>
            </w:pPr>
          </w:p>
        </w:tc>
        <w:tc>
          <w:tcPr>
            <w:tcW w:w="6333" w:type="dxa"/>
          </w:tcPr>
          <w:p w14:paraId="297CB655">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A-8只能有一个有效报价。在招标文件没有规定的情况下，不得提交选择性报价，否则由评审小组作否决投标处理。</w:t>
            </w:r>
          </w:p>
        </w:tc>
      </w:tr>
      <w:tr w14:paraId="2BF742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E20929B">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32A505DF">
            <w:pPr>
              <w:spacing w:line="400" w:lineRule="exact"/>
              <w:jc w:val="center"/>
              <w:rPr>
                <w:rFonts w:hint="eastAsia" w:asciiTheme="minorEastAsia" w:hAnsiTheme="minorEastAsia" w:eastAsiaTheme="minorEastAsia" w:cstheme="minorEastAsia"/>
                <w:color w:val="auto"/>
                <w:szCs w:val="21"/>
                <w:highlight w:val="none"/>
              </w:rPr>
            </w:pPr>
          </w:p>
        </w:tc>
        <w:tc>
          <w:tcPr>
            <w:tcW w:w="6333" w:type="dxa"/>
          </w:tcPr>
          <w:p w14:paraId="7FDF1360">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A-9</w:t>
            </w:r>
            <w:r>
              <w:rPr>
                <w:rFonts w:hint="eastAsia" w:asciiTheme="minorEastAsia" w:hAnsiTheme="minorEastAsia" w:eastAsiaTheme="minorEastAsia" w:cstheme="minorEastAsia"/>
                <w:color w:val="auto"/>
                <w:kern w:val="0"/>
                <w:highlight w:val="none"/>
              </w:rPr>
              <w:t>第六章 竞标文件格式要求法定代表人或其委托代理人签名（或盖章）的须齐全。</w:t>
            </w:r>
          </w:p>
        </w:tc>
      </w:tr>
      <w:tr w14:paraId="7538F8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7B100B9">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6C758209">
            <w:pPr>
              <w:spacing w:line="400" w:lineRule="exact"/>
              <w:jc w:val="center"/>
              <w:rPr>
                <w:rFonts w:hint="eastAsia" w:asciiTheme="minorEastAsia" w:hAnsiTheme="minorEastAsia" w:eastAsiaTheme="minorEastAsia" w:cstheme="minorEastAsia"/>
                <w:color w:val="auto"/>
                <w:szCs w:val="21"/>
                <w:highlight w:val="none"/>
              </w:rPr>
            </w:pPr>
          </w:p>
        </w:tc>
        <w:tc>
          <w:tcPr>
            <w:tcW w:w="6333" w:type="dxa"/>
          </w:tcPr>
          <w:p w14:paraId="730A8263">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A-10竞标人法定代表人的委托代理人有法定代表人签署的授权委托书，否则由评审小组作否决投标处理。</w:t>
            </w:r>
          </w:p>
        </w:tc>
      </w:tr>
      <w:tr w14:paraId="14D152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25963CC1">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restart"/>
            <w:vAlign w:val="center"/>
          </w:tcPr>
          <w:p w14:paraId="0FA58092">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响应性评审</w:t>
            </w:r>
          </w:p>
        </w:tc>
        <w:tc>
          <w:tcPr>
            <w:tcW w:w="6333" w:type="dxa"/>
            <w:vAlign w:val="center"/>
          </w:tcPr>
          <w:p w14:paraId="5B422D51">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A-11投标总报价不得高于比选人公布的投标总报价最高限价，否则由评审小组作否决投标处理。</w:t>
            </w:r>
          </w:p>
        </w:tc>
      </w:tr>
      <w:tr w14:paraId="728A65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237" w:type="dxa"/>
            <w:vMerge w:val="continue"/>
            <w:vAlign w:val="center"/>
          </w:tcPr>
          <w:p w14:paraId="3D630653">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1AF6754C">
            <w:pPr>
              <w:spacing w:line="400" w:lineRule="exact"/>
              <w:jc w:val="center"/>
              <w:rPr>
                <w:rFonts w:hint="eastAsia" w:asciiTheme="minorEastAsia" w:hAnsiTheme="minorEastAsia" w:eastAsiaTheme="minorEastAsia" w:cstheme="minorEastAsia"/>
                <w:color w:val="auto"/>
                <w:szCs w:val="21"/>
                <w:highlight w:val="none"/>
              </w:rPr>
            </w:pPr>
          </w:p>
        </w:tc>
        <w:tc>
          <w:tcPr>
            <w:tcW w:w="6333" w:type="dxa"/>
            <w:vAlign w:val="center"/>
          </w:tcPr>
          <w:p w14:paraId="7BFEA199">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A-12投标内容符合第二章“竞标人须知”第1.3.1项规定，否则由评审小组作否决投标处理。</w:t>
            </w:r>
          </w:p>
        </w:tc>
      </w:tr>
      <w:tr w14:paraId="7100D4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25ABC56">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2DF80DBA">
            <w:pPr>
              <w:spacing w:line="400" w:lineRule="exact"/>
              <w:jc w:val="center"/>
              <w:rPr>
                <w:rFonts w:hint="eastAsia" w:asciiTheme="minorEastAsia" w:hAnsiTheme="minorEastAsia" w:eastAsiaTheme="minorEastAsia" w:cstheme="minorEastAsia"/>
                <w:color w:val="auto"/>
                <w:szCs w:val="21"/>
                <w:highlight w:val="none"/>
              </w:rPr>
            </w:pPr>
          </w:p>
        </w:tc>
        <w:tc>
          <w:tcPr>
            <w:tcW w:w="6333" w:type="dxa"/>
            <w:vAlign w:val="center"/>
          </w:tcPr>
          <w:p w14:paraId="20337449">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A-13工期符合第二章“竞标人须知”第1.3.2项规定，否则由评审小组作否决投标处理。</w:t>
            </w:r>
          </w:p>
        </w:tc>
      </w:tr>
      <w:tr w14:paraId="4FE958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7E83D95">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338F54DF">
            <w:pPr>
              <w:spacing w:line="400" w:lineRule="exact"/>
              <w:jc w:val="center"/>
              <w:rPr>
                <w:rFonts w:hint="eastAsia" w:asciiTheme="minorEastAsia" w:hAnsiTheme="minorEastAsia" w:eastAsiaTheme="minorEastAsia" w:cstheme="minorEastAsia"/>
                <w:color w:val="auto"/>
                <w:szCs w:val="21"/>
                <w:highlight w:val="none"/>
              </w:rPr>
            </w:pPr>
          </w:p>
        </w:tc>
        <w:tc>
          <w:tcPr>
            <w:tcW w:w="6333" w:type="dxa"/>
            <w:vAlign w:val="center"/>
          </w:tcPr>
          <w:p w14:paraId="1CB7BD64">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A-14工程质量符合第二章“竞标人须知”第1.3.3项规定，否则由评审小组作否决投标处理。</w:t>
            </w:r>
          </w:p>
        </w:tc>
      </w:tr>
      <w:tr w14:paraId="040F02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5FAE8C4">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45C088D6">
            <w:pPr>
              <w:spacing w:line="400" w:lineRule="exact"/>
              <w:jc w:val="center"/>
              <w:rPr>
                <w:rFonts w:hint="eastAsia" w:asciiTheme="minorEastAsia" w:hAnsiTheme="minorEastAsia" w:eastAsiaTheme="minorEastAsia" w:cstheme="minorEastAsia"/>
                <w:color w:val="auto"/>
                <w:szCs w:val="21"/>
                <w:highlight w:val="none"/>
              </w:rPr>
            </w:pPr>
          </w:p>
        </w:tc>
        <w:tc>
          <w:tcPr>
            <w:tcW w:w="6333" w:type="dxa"/>
            <w:vAlign w:val="center"/>
          </w:tcPr>
          <w:p w14:paraId="064E4739">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A-15投标有效期符合第二章“竞标人须知”第3.3.1项规定，否则由评审小组作否决投标处理。</w:t>
            </w:r>
          </w:p>
        </w:tc>
      </w:tr>
      <w:tr w14:paraId="339DA2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ED1EDE7">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66A0940D">
            <w:pPr>
              <w:spacing w:line="400" w:lineRule="exact"/>
              <w:jc w:val="center"/>
              <w:rPr>
                <w:rFonts w:hint="eastAsia" w:asciiTheme="minorEastAsia" w:hAnsiTheme="minorEastAsia" w:eastAsiaTheme="minorEastAsia" w:cstheme="minorEastAsia"/>
                <w:color w:val="auto"/>
                <w:szCs w:val="21"/>
                <w:highlight w:val="none"/>
              </w:rPr>
            </w:pPr>
          </w:p>
        </w:tc>
        <w:tc>
          <w:tcPr>
            <w:tcW w:w="6333" w:type="dxa"/>
            <w:vAlign w:val="center"/>
          </w:tcPr>
          <w:p w14:paraId="395CAE75">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A-16竞标人应按竞标人须知前附表第3.4款的规定递交投标保证金，并作为其竞标文件的组成部分，否则由评审小组作否决投标处理。</w:t>
            </w:r>
          </w:p>
        </w:tc>
      </w:tr>
      <w:tr w14:paraId="1B79D1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16B6850">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508D8F51">
            <w:pPr>
              <w:spacing w:line="400" w:lineRule="exact"/>
              <w:jc w:val="center"/>
              <w:rPr>
                <w:rFonts w:hint="eastAsia" w:asciiTheme="minorEastAsia" w:hAnsiTheme="minorEastAsia" w:eastAsiaTheme="minorEastAsia" w:cstheme="minorEastAsia"/>
                <w:color w:val="auto"/>
                <w:szCs w:val="21"/>
                <w:highlight w:val="none"/>
              </w:rPr>
            </w:pPr>
          </w:p>
        </w:tc>
        <w:tc>
          <w:tcPr>
            <w:tcW w:w="6333" w:type="dxa"/>
            <w:vAlign w:val="center"/>
          </w:tcPr>
          <w:p w14:paraId="61BFF07D">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A-17符合第四章“合同条款及格式”规定，竞标文件不应附有比选人不能接受的条件，否则由评审小组作否决投标处理。（由竞标人承诺，承诺书格式详见第六章竞标文件格式。）</w:t>
            </w:r>
          </w:p>
        </w:tc>
      </w:tr>
      <w:tr w14:paraId="3BEA1C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B79A3F0">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7492FD89">
            <w:pPr>
              <w:spacing w:line="400" w:lineRule="exact"/>
              <w:jc w:val="center"/>
              <w:rPr>
                <w:rFonts w:hint="eastAsia" w:asciiTheme="minorEastAsia" w:hAnsiTheme="minorEastAsia" w:eastAsiaTheme="minorEastAsia" w:cstheme="minorEastAsia"/>
                <w:color w:val="auto"/>
                <w:szCs w:val="21"/>
                <w:highlight w:val="none"/>
              </w:rPr>
            </w:pPr>
          </w:p>
        </w:tc>
        <w:tc>
          <w:tcPr>
            <w:tcW w:w="6333" w:type="dxa"/>
            <w:vAlign w:val="center"/>
          </w:tcPr>
          <w:p w14:paraId="46155852">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A-18符合第五章“技术标准和要求”规定。否则由评审小组作否决投标处理（如有）。（由竞标人承诺，承诺书格式详见第六章竞标文件格式。）</w:t>
            </w:r>
          </w:p>
        </w:tc>
      </w:tr>
      <w:tr w14:paraId="02401A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1F60BF18">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5D8FB988">
            <w:pPr>
              <w:spacing w:line="400" w:lineRule="exact"/>
              <w:jc w:val="center"/>
              <w:rPr>
                <w:rFonts w:hint="eastAsia" w:asciiTheme="minorEastAsia" w:hAnsiTheme="minorEastAsia" w:eastAsiaTheme="minorEastAsia" w:cstheme="minorEastAsia"/>
                <w:color w:val="auto"/>
                <w:szCs w:val="21"/>
                <w:highlight w:val="none"/>
              </w:rPr>
            </w:pPr>
          </w:p>
        </w:tc>
        <w:tc>
          <w:tcPr>
            <w:tcW w:w="6333" w:type="dxa"/>
            <w:vAlign w:val="center"/>
          </w:tcPr>
          <w:p w14:paraId="6DCD90FD">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A-29竞标报价有算术错误的，按照第三章“评标办法”第3.1.3项规定执行，否则由评审小组作否决投标处理。</w:t>
            </w:r>
          </w:p>
        </w:tc>
      </w:tr>
      <w:tr w14:paraId="0506A7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033F3A1">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14166D51">
            <w:pPr>
              <w:spacing w:line="400" w:lineRule="exact"/>
              <w:jc w:val="center"/>
              <w:rPr>
                <w:rFonts w:hint="eastAsia" w:asciiTheme="minorEastAsia" w:hAnsiTheme="minorEastAsia" w:eastAsiaTheme="minorEastAsia" w:cstheme="minorEastAsia"/>
                <w:color w:val="auto"/>
                <w:szCs w:val="21"/>
                <w:highlight w:val="none"/>
              </w:rPr>
            </w:pPr>
          </w:p>
        </w:tc>
        <w:tc>
          <w:tcPr>
            <w:tcW w:w="6333" w:type="dxa"/>
            <w:vAlign w:val="center"/>
          </w:tcPr>
          <w:p w14:paraId="3B6C705A">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A-20竞标人有以下情形之一的，其竞标文件由评审小组作否决投标处理：</w:t>
            </w:r>
          </w:p>
          <w:p w14:paraId="4A1F01D0">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1.第二章“竞标人须知”第1.4.3项规定的任何一种情形的；</w:t>
            </w:r>
          </w:p>
          <w:p w14:paraId="22956F97">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2.本次投标有串通投标、弄虚作假等违反招投标相关法律、法规的行为的；</w:t>
            </w:r>
          </w:p>
          <w:p w14:paraId="59E6C454">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3.拒绝按评审小组要求澄清、说明或补正的。</w:t>
            </w:r>
          </w:p>
        </w:tc>
      </w:tr>
      <w:tr w14:paraId="3E274F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6B54C34C">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w:t>
            </w:r>
          </w:p>
        </w:tc>
        <w:tc>
          <w:tcPr>
            <w:tcW w:w="1899" w:type="dxa"/>
            <w:vAlign w:val="center"/>
          </w:tcPr>
          <w:p w14:paraId="2DD526BB">
            <w:pPr>
              <w:spacing w:line="400" w:lineRule="exact"/>
              <w:jc w:val="center"/>
              <w:rPr>
                <w:rFonts w:hint="eastAsia" w:asciiTheme="minorEastAsia" w:hAnsiTheme="minorEastAsia" w:eastAsiaTheme="minorEastAsia" w:cstheme="minorEastAsia"/>
                <w:color w:val="auto"/>
                <w:szCs w:val="21"/>
                <w:highlight w:val="none"/>
              </w:rPr>
            </w:pPr>
          </w:p>
        </w:tc>
        <w:tc>
          <w:tcPr>
            <w:tcW w:w="6333" w:type="dxa"/>
          </w:tcPr>
          <w:p w14:paraId="653BB1F7">
            <w:pPr>
              <w:spacing w:line="400" w:lineRule="exact"/>
              <w:ind w:firstLine="420" w:firstLineChars="200"/>
              <w:rPr>
                <w:rFonts w:hint="eastAsia" w:asciiTheme="minorEastAsia" w:hAnsiTheme="minorEastAsia" w:eastAsiaTheme="minorEastAsia" w:cstheme="minorEastAsia"/>
                <w:i/>
                <w:color w:val="auto"/>
                <w:szCs w:val="21"/>
                <w:highlight w:val="none"/>
              </w:rPr>
            </w:pPr>
            <w:r>
              <w:rPr>
                <w:rFonts w:hint="eastAsia" w:asciiTheme="minorEastAsia" w:hAnsiTheme="minorEastAsia" w:eastAsiaTheme="minorEastAsia" w:cstheme="minorEastAsia"/>
                <w:iCs/>
                <w:color w:val="auto"/>
                <w:szCs w:val="21"/>
                <w:highlight w:val="none"/>
              </w:rPr>
              <w:t>无</w:t>
            </w:r>
          </w:p>
        </w:tc>
      </w:tr>
    </w:tbl>
    <w:p w14:paraId="051C5537">
      <w:pP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br w:type="page"/>
      </w:r>
    </w:p>
    <w:p w14:paraId="2AFDDBD3">
      <w:pPr>
        <w:pStyle w:val="3"/>
        <w:spacing w:line="360" w:lineRule="auto"/>
        <w:jc w:val="center"/>
        <w:rPr>
          <w:rFonts w:hint="eastAsia" w:asciiTheme="minorEastAsia" w:hAnsiTheme="minorEastAsia" w:eastAsiaTheme="minorEastAsia" w:cstheme="minorEastAsia"/>
          <w:color w:val="auto"/>
          <w:kern w:val="0"/>
          <w:highlight w:val="none"/>
        </w:rPr>
      </w:pPr>
      <w:bookmarkStart w:id="460" w:name="_Toc16777"/>
      <w:r>
        <w:rPr>
          <w:rFonts w:hint="eastAsia" w:asciiTheme="minorEastAsia" w:hAnsiTheme="minorEastAsia" w:eastAsiaTheme="minorEastAsia" w:cstheme="minorEastAsia"/>
          <w:color w:val="auto"/>
          <w:kern w:val="0"/>
          <w:highlight w:val="none"/>
        </w:rPr>
        <w:t>第四章  合同条款及格式</w:t>
      </w:r>
      <w:bookmarkEnd w:id="364"/>
      <w:bookmarkEnd w:id="365"/>
      <w:bookmarkEnd w:id="366"/>
      <w:bookmarkEnd w:id="460"/>
    </w:p>
    <w:p w14:paraId="67E6F402">
      <w:pPr>
        <w:widowControl/>
        <w:spacing w:line="360" w:lineRule="auto"/>
        <w:ind w:firstLine="640"/>
        <w:jc w:val="center"/>
        <w:rPr>
          <w:rFonts w:hint="eastAsia" w:asciiTheme="minorEastAsia" w:hAnsiTheme="minorEastAsia" w:eastAsiaTheme="minorEastAsia" w:cstheme="minorEastAsia"/>
          <w:b/>
          <w:bCs/>
          <w:color w:val="auto"/>
          <w:kern w:val="0"/>
          <w:sz w:val="32"/>
          <w:szCs w:val="32"/>
          <w:highlight w:val="none"/>
          <w:lang w:bidi="ar"/>
        </w:rPr>
      </w:pPr>
      <w:r>
        <w:rPr>
          <w:rFonts w:hint="eastAsia" w:asciiTheme="minorEastAsia" w:hAnsiTheme="minorEastAsia" w:eastAsiaTheme="minorEastAsia" w:cstheme="minorEastAsia"/>
          <w:color w:val="auto"/>
          <w:highlight w:val="none"/>
        </w:rPr>
        <w:br w:type="page"/>
      </w:r>
      <w:bookmarkStart w:id="461" w:name="招标文件06章图纸01"/>
      <w:bookmarkEnd w:id="461"/>
      <w:bookmarkStart w:id="462" w:name="_Toc287620804"/>
      <w:bookmarkStart w:id="463" w:name="_Toc430530520"/>
      <w:bookmarkStart w:id="464" w:name="_Toc296503025"/>
      <w:bookmarkStart w:id="465" w:name="_Toc351203480"/>
      <w:bookmarkStart w:id="466" w:name="_Toc296890982"/>
      <w:r>
        <w:rPr>
          <w:rFonts w:hint="eastAsia" w:asciiTheme="minorEastAsia" w:hAnsiTheme="minorEastAsia" w:eastAsiaTheme="minorEastAsia" w:cstheme="minorEastAsia"/>
          <w:b/>
          <w:bCs/>
          <w:color w:val="auto"/>
          <w:kern w:val="0"/>
          <w:sz w:val="32"/>
          <w:szCs w:val="32"/>
          <w:highlight w:val="none"/>
          <w:lang w:bidi="ar"/>
        </w:rPr>
        <w:t>重庆人工智能学院及重庆通用人工智能研究院</w:t>
      </w:r>
    </w:p>
    <w:p w14:paraId="222BE012">
      <w:pPr>
        <w:widowControl/>
        <w:spacing w:line="360" w:lineRule="auto"/>
        <w:ind w:firstLine="640"/>
        <w:jc w:val="center"/>
        <w:rPr>
          <w:rFonts w:hint="eastAsia" w:asciiTheme="minorEastAsia" w:hAnsiTheme="minorEastAsia" w:eastAsiaTheme="minorEastAsia" w:cstheme="minorEastAsia"/>
          <w:b/>
          <w:bCs/>
          <w:color w:val="auto"/>
          <w:kern w:val="0"/>
          <w:sz w:val="32"/>
          <w:szCs w:val="32"/>
          <w:highlight w:val="none"/>
          <w:lang w:bidi="ar"/>
        </w:rPr>
      </w:pPr>
      <w:r>
        <w:rPr>
          <w:rFonts w:hint="eastAsia" w:asciiTheme="minorEastAsia" w:hAnsiTheme="minorEastAsia" w:eastAsiaTheme="minorEastAsia" w:cstheme="minorEastAsia"/>
          <w:b/>
          <w:bCs/>
          <w:color w:val="auto"/>
          <w:kern w:val="0"/>
          <w:sz w:val="32"/>
          <w:szCs w:val="32"/>
          <w:highlight w:val="none"/>
          <w:lang w:bidi="ar"/>
        </w:rPr>
        <w:t>筹备期过渡物业服务合同</w:t>
      </w:r>
    </w:p>
    <w:p w14:paraId="083FE93C">
      <w:pPr>
        <w:pStyle w:val="2"/>
        <w:spacing w:line="360" w:lineRule="auto"/>
        <w:rPr>
          <w:rFonts w:hint="eastAsia" w:asciiTheme="minorEastAsia" w:hAnsiTheme="minorEastAsia" w:eastAsiaTheme="minorEastAsia" w:cstheme="minorEastAsia"/>
          <w:color w:val="auto"/>
          <w:sz w:val="24"/>
          <w:highlight w:val="none"/>
        </w:rPr>
      </w:pPr>
    </w:p>
    <w:p w14:paraId="16E35C58">
      <w:pPr>
        <w:widowControl/>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甲方（需方）：重庆广阳岛生态城实业发展有限公司 </w:t>
      </w:r>
    </w:p>
    <w:p w14:paraId="2B5A62A1">
      <w:pPr>
        <w:widowControl/>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乙方（供方）：**** </w:t>
      </w:r>
    </w:p>
    <w:p w14:paraId="458678FA">
      <w:pPr>
        <w:spacing w:line="360" w:lineRule="auto"/>
        <w:ind w:firstLine="480" w:firstLineChars="200"/>
        <w:rPr>
          <w:rFonts w:hint="eastAsia" w:asciiTheme="minorEastAsia" w:hAnsiTheme="minorEastAsia" w:eastAsiaTheme="minorEastAsia" w:cstheme="minorEastAsia"/>
          <w:color w:val="auto"/>
          <w:sz w:val="24"/>
          <w:highlight w:val="none"/>
        </w:rPr>
      </w:pPr>
    </w:p>
    <w:p w14:paraId="52DBFB64">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根据《中华人民共和国民法典》和《高等学校物业服务规范》</w:t>
      </w:r>
      <w:bookmarkStart w:id="467" w:name="_Hlk217984413"/>
      <w:r>
        <w:rPr>
          <w:rFonts w:hint="eastAsia" w:asciiTheme="minorEastAsia" w:hAnsiTheme="minorEastAsia" w:eastAsiaTheme="minorEastAsia" w:cstheme="minorEastAsia"/>
          <w:color w:val="auto"/>
          <w:sz w:val="24"/>
          <w:highlight w:val="none"/>
        </w:rPr>
        <w:t>（中后协[2021]2号）</w:t>
      </w:r>
      <w:bookmarkEnd w:id="467"/>
      <w:r>
        <w:rPr>
          <w:rFonts w:hint="eastAsia" w:asciiTheme="minorEastAsia" w:hAnsiTheme="minorEastAsia" w:eastAsiaTheme="minorEastAsia" w:cstheme="minorEastAsia"/>
          <w:color w:val="auto"/>
          <w:sz w:val="24"/>
          <w:highlight w:val="none"/>
        </w:rPr>
        <w:t>等文件材料精神，经甲乙双方平等协商一致，甲、乙双方同意签订本合同。详细服务要求和商务要求及其他有关合同项目的特定信息见合同附件，合同附件为本合同不可分割的部分。双方同意共同遵守如下条款：</w:t>
      </w:r>
    </w:p>
    <w:p w14:paraId="5C480CBC">
      <w:pPr>
        <w:pStyle w:val="2"/>
        <w:numPr>
          <w:ilvl w:val="0"/>
          <w:numId w:val="3"/>
        </w:numPr>
        <w:adjustRightInd w:val="0"/>
        <w:snapToGrid w:val="0"/>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项目名称：重庆人工智能学院及重庆通用人工智能研究院筹备期过渡物业服务</w:t>
      </w:r>
    </w:p>
    <w:p w14:paraId="531D673B">
      <w:pPr>
        <w:numPr>
          <w:ilvl w:val="0"/>
          <w:numId w:val="3"/>
        </w:numPr>
        <w:adjustRightInd w:val="0"/>
        <w:snapToGrid w:val="0"/>
        <w:spacing w:line="360" w:lineRule="auto"/>
        <w:ind w:firstLine="4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服务地址：重庆市南岸区广阳湾路169号。</w:t>
      </w:r>
    </w:p>
    <w:p w14:paraId="2A0E2198">
      <w:pPr>
        <w:pStyle w:val="2"/>
        <w:numPr>
          <w:ilvl w:val="0"/>
          <w:numId w:val="3"/>
        </w:numPr>
        <w:adjustRightInd w:val="0"/>
        <w:snapToGrid w:val="0"/>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基本信息：</w:t>
      </w:r>
      <w:bookmarkStart w:id="468" w:name="OLE_LINK88"/>
      <w:r>
        <w:rPr>
          <w:rFonts w:hint="eastAsia" w:asciiTheme="minorEastAsia" w:hAnsiTheme="minorEastAsia" w:eastAsiaTheme="minorEastAsia" w:cstheme="minorEastAsia"/>
          <w:b/>
          <w:bCs/>
          <w:color w:val="auto"/>
          <w:sz w:val="24"/>
          <w:highlight w:val="none"/>
        </w:rPr>
        <w:t>总建筑面积约11.78平方米。</w:t>
      </w:r>
    </w:p>
    <w:bookmarkEnd w:id="468"/>
    <w:p w14:paraId="7B2B91EB">
      <w:pPr>
        <w:numPr>
          <w:ilvl w:val="0"/>
          <w:numId w:val="3"/>
        </w:numPr>
        <w:adjustRightInd w:val="0"/>
        <w:snapToGrid w:val="0"/>
        <w:spacing w:line="360" w:lineRule="auto"/>
        <w:ind w:firstLine="4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服务内容及费用：</w:t>
      </w:r>
    </w:p>
    <w:tbl>
      <w:tblPr>
        <w:tblStyle w:val="49"/>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681"/>
        <w:gridCol w:w="1371"/>
        <w:gridCol w:w="1391"/>
        <w:gridCol w:w="1504"/>
        <w:gridCol w:w="2412"/>
      </w:tblGrid>
      <w:tr w14:paraId="58DF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681" w:type="dxa"/>
            <w:vAlign w:val="center"/>
          </w:tcPr>
          <w:p w14:paraId="5189CC12">
            <w:pPr>
              <w:pStyle w:val="2"/>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681" w:type="dxa"/>
            <w:vAlign w:val="center"/>
          </w:tcPr>
          <w:p w14:paraId="2E66B75D">
            <w:pPr>
              <w:pStyle w:val="2"/>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服务内容</w:t>
            </w:r>
          </w:p>
        </w:tc>
        <w:tc>
          <w:tcPr>
            <w:tcW w:w="1371" w:type="dxa"/>
          </w:tcPr>
          <w:p w14:paraId="3595490C">
            <w:pPr>
              <w:pStyle w:val="2"/>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单价（元/天）</w:t>
            </w:r>
          </w:p>
        </w:tc>
        <w:tc>
          <w:tcPr>
            <w:tcW w:w="1391" w:type="dxa"/>
          </w:tcPr>
          <w:p w14:paraId="3B20182B">
            <w:pPr>
              <w:pStyle w:val="2"/>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天数（天）</w:t>
            </w:r>
          </w:p>
        </w:tc>
        <w:tc>
          <w:tcPr>
            <w:tcW w:w="1504" w:type="dxa"/>
            <w:vAlign w:val="center"/>
          </w:tcPr>
          <w:p w14:paraId="594BF60C">
            <w:pPr>
              <w:pStyle w:val="2"/>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包干价（元）</w:t>
            </w:r>
          </w:p>
        </w:tc>
        <w:tc>
          <w:tcPr>
            <w:tcW w:w="2412" w:type="dxa"/>
            <w:vAlign w:val="center"/>
          </w:tcPr>
          <w:p w14:paraId="522B0EB0">
            <w:pPr>
              <w:pStyle w:val="2"/>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r>
      <w:tr w14:paraId="5C2E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81" w:type="dxa"/>
            <w:vAlign w:val="center"/>
          </w:tcPr>
          <w:p w14:paraId="0B43689D">
            <w:pPr>
              <w:pStyle w:val="2"/>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681" w:type="dxa"/>
            <w:vAlign w:val="center"/>
          </w:tcPr>
          <w:p w14:paraId="341104FC">
            <w:pPr>
              <w:pStyle w:val="2"/>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项目筹备期过渡物业服务</w:t>
            </w:r>
          </w:p>
        </w:tc>
        <w:tc>
          <w:tcPr>
            <w:tcW w:w="1371" w:type="dxa"/>
          </w:tcPr>
          <w:p w14:paraId="0BF908FF">
            <w:pPr>
              <w:pStyle w:val="2"/>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391" w:type="dxa"/>
          </w:tcPr>
          <w:p w14:paraId="6BDAE31E">
            <w:pPr>
              <w:pStyle w:val="2"/>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504" w:type="dxa"/>
            <w:vAlign w:val="center"/>
          </w:tcPr>
          <w:p w14:paraId="4747F6DA">
            <w:pPr>
              <w:pStyle w:val="2"/>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****元</w:t>
            </w:r>
          </w:p>
        </w:tc>
        <w:tc>
          <w:tcPr>
            <w:tcW w:w="2412" w:type="dxa"/>
            <w:vAlign w:val="center"/>
          </w:tcPr>
          <w:p w14:paraId="2ED5D3E6">
            <w:pPr>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物业服务内容详见附件1《项目物业服务内容》（价格折算到每天）</w:t>
            </w:r>
          </w:p>
        </w:tc>
      </w:tr>
      <w:tr w14:paraId="25F1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681" w:type="dxa"/>
            <w:vAlign w:val="center"/>
          </w:tcPr>
          <w:p w14:paraId="1188E608">
            <w:pPr>
              <w:pStyle w:val="2"/>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681" w:type="dxa"/>
            <w:vAlign w:val="center"/>
          </w:tcPr>
          <w:p w14:paraId="4BED69D1">
            <w:pPr>
              <w:pStyle w:val="2"/>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开办清洁专项服务</w:t>
            </w:r>
          </w:p>
        </w:tc>
        <w:tc>
          <w:tcPr>
            <w:tcW w:w="1371" w:type="dxa"/>
          </w:tcPr>
          <w:p w14:paraId="6E015782">
            <w:pPr>
              <w:pStyle w:val="2"/>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391" w:type="dxa"/>
          </w:tcPr>
          <w:p w14:paraId="4486F53C">
            <w:pPr>
              <w:pStyle w:val="2"/>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504" w:type="dxa"/>
            <w:vAlign w:val="center"/>
          </w:tcPr>
          <w:p w14:paraId="087AE4EE">
            <w:pPr>
              <w:pStyle w:val="2"/>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****元</w:t>
            </w:r>
          </w:p>
        </w:tc>
        <w:tc>
          <w:tcPr>
            <w:tcW w:w="2412" w:type="dxa"/>
            <w:vAlign w:val="center"/>
          </w:tcPr>
          <w:p w14:paraId="6DAD21AD">
            <w:pPr>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专项服务内容详见附件2《开办清洁验收标准》</w:t>
            </w:r>
          </w:p>
        </w:tc>
      </w:tr>
      <w:tr w14:paraId="66B5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040" w:type="dxa"/>
            <w:gridSpan w:val="6"/>
          </w:tcPr>
          <w:p w14:paraId="490F301D">
            <w:pPr>
              <w:pStyle w:val="2"/>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人民币（大写）：****</w:t>
            </w:r>
          </w:p>
        </w:tc>
      </w:tr>
      <w:tr w14:paraId="1D1D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040" w:type="dxa"/>
            <w:gridSpan w:val="6"/>
          </w:tcPr>
          <w:p w14:paraId="5FC17E74">
            <w:pPr>
              <w:pStyle w:val="2"/>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内容：提供保安、保洁、绿化、工程基础物业服务；学院筹备期协同服务；承接查验的协同服务；综合（会议）服务；建筑物及构筑物维修整改监督验收服务；能源保障服务；设施设备的试运行服务、开办清洁专项服务以及按照物业行业服务标准需要提供的服务内容。</w:t>
            </w:r>
          </w:p>
        </w:tc>
      </w:tr>
    </w:tbl>
    <w:p w14:paraId="7E09DE88">
      <w:pPr>
        <w:adjustRightInd w:val="0"/>
        <w:snapToGrid w:val="0"/>
        <w:spacing w:line="360" w:lineRule="auto"/>
        <w:ind w:left="425"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以上价格包含：人员工资、社会保险费、福利费、加班费、服装费、员工培训费、</w:t>
      </w:r>
    </w:p>
    <w:p w14:paraId="5BAB04AF">
      <w:pPr>
        <w:adjustRightInd w:val="0"/>
        <w:snapToGrid w:val="0"/>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办公设备（含办公低值易耗品、项目用电脑、打印机、对讲机、设备工具及清洁类设备等）费、维修工具/设备费、清洁耗材及药剂费、管理费、税费等完成本项目的所有费用。</w:t>
      </w:r>
    </w:p>
    <w:p w14:paraId="4ADFA263">
      <w:pPr>
        <w:pStyle w:val="2"/>
        <w:numPr>
          <w:ilvl w:val="0"/>
          <w:numId w:val="3"/>
        </w:numPr>
        <w:adjustRightInd w:val="0"/>
        <w:snapToGrid w:val="0"/>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服务要求</w:t>
      </w:r>
    </w:p>
    <w:p w14:paraId="006590A0">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保持所委托管护的建筑物与设施设备处于良好状态，确保现场正常运转。</w:t>
      </w:r>
    </w:p>
    <w:p w14:paraId="536A09BD">
      <w:pPr>
        <w:numPr>
          <w:ilvl w:val="0"/>
          <w:numId w:val="4"/>
        </w:numPr>
        <w:adjustRightInd w:val="0"/>
        <w:snapToGrid w:val="0"/>
        <w:spacing w:line="360" w:lineRule="auto"/>
        <w:ind w:firstLine="480"/>
        <w:rPr>
          <w:rFonts w:hint="eastAsia" w:asciiTheme="minorEastAsia" w:hAnsiTheme="minorEastAsia" w:eastAsiaTheme="minorEastAsia" w:cstheme="minorEastAsia"/>
          <w:color w:val="auto"/>
          <w:sz w:val="24"/>
          <w:highlight w:val="none"/>
        </w:rPr>
      </w:pPr>
      <w:bookmarkStart w:id="469" w:name="_Hlk217984491"/>
      <w:bookmarkStart w:id="470" w:name="OLE_LINK25"/>
      <w:r>
        <w:rPr>
          <w:rFonts w:hint="eastAsia" w:asciiTheme="minorEastAsia" w:hAnsiTheme="minorEastAsia" w:eastAsiaTheme="minorEastAsia" w:cstheme="minorEastAsia"/>
          <w:color w:val="auto"/>
          <w:sz w:val="24"/>
          <w:highlight w:val="none"/>
        </w:rPr>
        <w:t>因乙方管理不善导致的</w:t>
      </w:r>
      <w:bookmarkEnd w:id="469"/>
      <w:r>
        <w:rPr>
          <w:rFonts w:hint="eastAsia" w:asciiTheme="minorEastAsia" w:hAnsiTheme="minorEastAsia" w:eastAsiaTheme="minorEastAsia" w:cstheme="minorEastAsia"/>
          <w:color w:val="auto"/>
          <w:sz w:val="24"/>
          <w:highlight w:val="none"/>
        </w:rPr>
        <w:t>重大安全责任事故为0起；</w:t>
      </w:r>
    </w:p>
    <w:p w14:paraId="260479AB">
      <w:pPr>
        <w:numPr>
          <w:ilvl w:val="0"/>
          <w:numId w:val="4"/>
        </w:numPr>
        <w:adjustRightInd w:val="0"/>
        <w:snapToGrid w:val="0"/>
        <w:spacing w:line="360" w:lineRule="auto"/>
        <w:ind w:firstLine="480"/>
        <w:rPr>
          <w:rFonts w:hint="eastAsia" w:asciiTheme="minorEastAsia" w:hAnsiTheme="minorEastAsia" w:eastAsiaTheme="minorEastAsia" w:cstheme="minorEastAsia"/>
          <w:color w:val="auto"/>
          <w:sz w:val="24"/>
          <w:highlight w:val="none"/>
        </w:rPr>
      </w:pPr>
      <w:bookmarkStart w:id="471" w:name="OLE_LINK70"/>
      <w:r>
        <w:rPr>
          <w:rFonts w:hint="eastAsia" w:asciiTheme="minorEastAsia" w:hAnsiTheme="minorEastAsia" w:eastAsiaTheme="minorEastAsia" w:cstheme="minorEastAsia"/>
          <w:color w:val="auto"/>
          <w:sz w:val="24"/>
          <w:highlight w:val="none"/>
        </w:rPr>
        <w:t>有效投诉（经甲方书面确认）为0起；</w:t>
      </w:r>
    </w:p>
    <w:bookmarkEnd w:id="471"/>
    <w:p w14:paraId="14BC6D77">
      <w:pPr>
        <w:numPr>
          <w:ilvl w:val="0"/>
          <w:numId w:val="4"/>
        </w:numPr>
        <w:adjustRightInd w:val="0"/>
        <w:snapToGrid w:val="0"/>
        <w:spacing w:line="360" w:lineRule="auto"/>
        <w:ind w:firstLine="480"/>
        <w:rPr>
          <w:rFonts w:hint="eastAsia" w:asciiTheme="minorEastAsia" w:hAnsiTheme="minorEastAsia" w:eastAsiaTheme="minorEastAsia" w:cstheme="minorEastAsia"/>
          <w:color w:val="auto"/>
          <w:sz w:val="24"/>
          <w:highlight w:val="none"/>
        </w:rPr>
      </w:pPr>
      <w:bookmarkStart w:id="472" w:name="OLE_LINK72"/>
      <w:r>
        <w:rPr>
          <w:rFonts w:hint="eastAsia" w:asciiTheme="minorEastAsia" w:hAnsiTheme="minorEastAsia" w:eastAsiaTheme="minorEastAsia" w:cstheme="minorEastAsia"/>
          <w:color w:val="auto"/>
          <w:sz w:val="24"/>
          <w:highlight w:val="none"/>
        </w:rPr>
        <w:t>接待任务相应合格；</w:t>
      </w:r>
    </w:p>
    <w:bookmarkEnd w:id="472"/>
    <w:p w14:paraId="1BC027A1">
      <w:pPr>
        <w:numPr>
          <w:ilvl w:val="0"/>
          <w:numId w:val="4"/>
        </w:numPr>
        <w:adjustRightInd w:val="0"/>
        <w:snapToGrid w:val="0"/>
        <w:spacing w:line="360" w:lineRule="auto"/>
        <w:ind w:firstLine="480"/>
        <w:rPr>
          <w:rFonts w:hint="eastAsia" w:asciiTheme="minorEastAsia" w:hAnsiTheme="minorEastAsia" w:eastAsiaTheme="minorEastAsia" w:cstheme="minorEastAsia"/>
          <w:color w:val="auto"/>
          <w:sz w:val="24"/>
          <w:highlight w:val="none"/>
        </w:rPr>
      </w:pPr>
      <w:bookmarkStart w:id="473" w:name="OLE_LINK71"/>
      <w:r>
        <w:rPr>
          <w:rFonts w:hint="eastAsia" w:asciiTheme="minorEastAsia" w:hAnsiTheme="minorEastAsia" w:eastAsiaTheme="minorEastAsia" w:cstheme="minorEastAsia"/>
          <w:color w:val="auto"/>
          <w:sz w:val="24"/>
          <w:highlight w:val="none"/>
        </w:rPr>
        <w:t>岗位人员到岗率100%；</w:t>
      </w:r>
    </w:p>
    <w:bookmarkEnd w:id="473"/>
    <w:p w14:paraId="35BD0436">
      <w:pPr>
        <w:numPr>
          <w:ilvl w:val="0"/>
          <w:numId w:val="4"/>
        </w:numPr>
        <w:adjustRightInd w:val="0"/>
        <w:snapToGrid w:val="0"/>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开办清洁专项服务验收合格。</w:t>
      </w:r>
    </w:p>
    <w:p w14:paraId="2F57525A">
      <w:pPr>
        <w:adjustRightInd w:val="0"/>
        <w:snapToGrid w:val="0"/>
        <w:spacing w:line="360" w:lineRule="auto"/>
        <w:ind w:left="425"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上述指标作为乙方履约评价及甲方行使整改、解约等权利的依据。 </w:t>
      </w:r>
    </w:p>
    <w:bookmarkEnd w:id="470"/>
    <w:p w14:paraId="43FF0C27">
      <w:pPr>
        <w:pStyle w:val="2"/>
        <w:numPr>
          <w:ilvl w:val="0"/>
          <w:numId w:val="3"/>
        </w:numPr>
        <w:adjustRightInd w:val="0"/>
        <w:snapToGrid w:val="0"/>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基本原则</w:t>
      </w:r>
    </w:p>
    <w:p w14:paraId="2A821C9F">
      <w:pPr>
        <w:numPr>
          <w:ilvl w:val="0"/>
          <w:numId w:val="5"/>
        </w:numPr>
        <w:adjustRightInd w:val="0"/>
        <w:snapToGrid w:val="0"/>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学院筹备期的所有道路、绿化、建筑物及构筑物均为现状管理。</w:t>
      </w:r>
    </w:p>
    <w:p w14:paraId="5C90BB2E">
      <w:pPr>
        <w:numPr>
          <w:ilvl w:val="0"/>
          <w:numId w:val="5"/>
        </w:numPr>
        <w:adjustRightInd w:val="0"/>
        <w:snapToGrid w:val="0"/>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保持主干道、主要通道及部分楼栋（用于参观和频繁使用的楼栋）的品质呈现。</w:t>
      </w:r>
    </w:p>
    <w:p w14:paraId="3769AF20">
      <w:pPr>
        <w:numPr>
          <w:ilvl w:val="0"/>
          <w:numId w:val="5"/>
        </w:numPr>
        <w:adjustRightInd w:val="0"/>
        <w:snapToGrid w:val="0"/>
        <w:spacing w:line="360" w:lineRule="auto"/>
        <w:ind w:firstLine="480"/>
        <w:rPr>
          <w:rFonts w:hint="eastAsia" w:asciiTheme="minorEastAsia" w:hAnsiTheme="minorEastAsia" w:eastAsiaTheme="minorEastAsia" w:cstheme="minorEastAsia"/>
          <w:color w:val="auto"/>
          <w:sz w:val="24"/>
          <w:highlight w:val="none"/>
        </w:rPr>
      </w:pPr>
      <w:bookmarkStart w:id="474" w:name="OLE_LINK92"/>
      <w:r>
        <w:rPr>
          <w:rFonts w:hint="eastAsia" w:asciiTheme="minorEastAsia" w:hAnsiTheme="minorEastAsia" w:eastAsiaTheme="minorEastAsia" w:cstheme="minorEastAsia"/>
          <w:color w:val="auto"/>
          <w:sz w:val="24"/>
          <w:highlight w:val="none"/>
        </w:rPr>
        <w:t>未投入使用的楼栋进行封闭，有使用需求时接甲方通知进行局部开放。</w:t>
      </w:r>
    </w:p>
    <w:bookmarkEnd w:id="474"/>
    <w:p w14:paraId="6C70292D">
      <w:pPr>
        <w:numPr>
          <w:ilvl w:val="0"/>
          <w:numId w:val="5"/>
        </w:numPr>
        <w:adjustRightInd w:val="0"/>
        <w:snapToGrid w:val="0"/>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开办清洁范围：所有楼栋范围内公区与户内精清洁。</w:t>
      </w:r>
    </w:p>
    <w:p w14:paraId="25E89949">
      <w:pPr>
        <w:pStyle w:val="2"/>
        <w:numPr>
          <w:ilvl w:val="0"/>
          <w:numId w:val="3"/>
        </w:numPr>
        <w:adjustRightInd w:val="0"/>
        <w:snapToGrid w:val="0"/>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服务期限</w:t>
      </w:r>
    </w:p>
    <w:p w14:paraId="674D5BC3">
      <w:pPr>
        <w:pStyle w:val="2"/>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475" w:name="OLE_LINK60"/>
      <w:r>
        <w:rPr>
          <w:rFonts w:hint="eastAsia" w:asciiTheme="minorEastAsia" w:hAnsiTheme="minorEastAsia" w:eastAsiaTheme="minorEastAsia" w:cstheme="minorEastAsia"/>
          <w:color w:val="auto"/>
          <w:sz w:val="24"/>
          <w:highlight w:val="none"/>
        </w:rPr>
        <w:t>2026年*月**日起—2026年3月31日止。（起始时间以双方协商一致时间为准）</w:t>
      </w:r>
    </w:p>
    <w:bookmarkEnd w:id="475"/>
    <w:p w14:paraId="1DC6244E">
      <w:pPr>
        <w:pStyle w:val="2"/>
        <w:numPr>
          <w:ilvl w:val="0"/>
          <w:numId w:val="3"/>
        </w:numPr>
        <w:adjustRightInd w:val="0"/>
        <w:snapToGrid w:val="0"/>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双方权利与义务</w:t>
      </w:r>
    </w:p>
    <w:p w14:paraId="556B7D5B">
      <w:pPr>
        <w:adjustRightInd w:val="0"/>
        <w:snapToGrid w:val="0"/>
        <w:spacing w:line="360" w:lineRule="auto"/>
        <w:ind w:left="425"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（一）甲方权利和义务</w:t>
      </w:r>
    </w:p>
    <w:p w14:paraId="17B4EEAB">
      <w:pPr>
        <w:numPr>
          <w:ilvl w:val="0"/>
          <w:numId w:val="6"/>
        </w:numPr>
        <w:adjustRightInd w:val="0"/>
        <w:snapToGrid w:val="0"/>
        <w:spacing w:line="360" w:lineRule="auto"/>
        <w:ind w:left="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确定指派监管部门代表甲方维护产权人、使用人的合法权益</w:t>
      </w:r>
      <w:bookmarkStart w:id="476" w:name="OLE_LINK98"/>
      <w:r>
        <w:rPr>
          <w:rFonts w:hint="eastAsia" w:asciiTheme="minorEastAsia" w:hAnsiTheme="minorEastAsia" w:eastAsiaTheme="minorEastAsia" w:cstheme="minorEastAsia"/>
          <w:color w:val="auto"/>
          <w:sz w:val="24"/>
          <w:highlight w:val="none"/>
        </w:rPr>
        <w:t>。</w:t>
      </w:r>
      <w:bookmarkEnd w:id="476"/>
    </w:p>
    <w:p w14:paraId="1334CB19">
      <w:pPr>
        <w:numPr>
          <w:ilvl w:val="0"/>
          <w:numId w:val="6"/>
        </w:numPr>
        <w:adjustRightInd w:val="0"/>
        <w:snapToGrid w:val="0"/>
        <w:spacing w:line="360" w:lineRule="auto"/>
        <w:ind w:left="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审定乙方拟在甲方指定区域实施的物业管理服务具体方案及工作计划。</w:t>
      </w:r>
    </w:p>
    <w:p w14:paraId="6B6041AA">
      <w:pPr>
        <w:numPr>
          <w:ilvl w:val="0"/>
          <w:numId w:val="6"/>
        </w:numPr>
        <w:adjustRightInd w:val="0"/>
        <w:snapToGrid w:val="0"/>
        <w:spacing w:line="360" w:lineRule="auto"/>
        <w:ind w:left="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对乙方管理服务工作的实施及制度的执行情况进行监督、检查和考核。甲方有权要求乙方对违反服务承诺的事项进行限期整改；有权要求乙方采纳甲方提出的合理要求；有权对乙方不称职的人员提出撤换的建议。考核标准参考《高等学校物业服务规范》之“表 A.1 物业管理项目服务要求测评准则”，对标项目管理成熟度三级服务要求。（详见附件3）。</w:t>
      </w:r>
    </w:p>
    <w:p w14:paraId="66C410D0">
      <w:pPr>
        <w:numPr>
          <w:ilvl w:val="0"/>
          <w:numId w:val="6"/>
        </w:numPr>
        <w:adjustRightInd w:val="0"/>
        <w:snapToGrid w:val="0"/>
        <w:spacing w:line="360" w:lineRule="auto"/>
        <w:ind w:left="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按合同约定的付款方式和时间向乙方支付费用。</w:t>
      </w:r>
    </w:p>
    <w:p w14:paraId="0AC5F7B9">
      <w:pPr>
        <w:numPr>
          <w:ilvl w:val="0"/>
          <w:numId w:val="6"/>
        </w:numPr>
        <w:adjustRightInd w:val="0"/>
        <w:snapToGrid w:val="0"/>
        <w:spacing w:line="360" w:lineRule="auto"/>
        <w:ind w:left="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甲方负责协调相关单位进行整体的能耗管理及费用支付。</w:t>
      </w:r>
    </w:p>
    <w:p w14:paraId="67BD26DB">
      <w:pPr>
        <w:numPr>
          <w:ilvl w:val="0"/>
          <w:numId w:val="6"/>
        </w:numPr>
        <w:adjustRightInd w:val="0"/>
        <w:snapToGrid w:val="0"/>
        <w:spacing w:line="360" w:lineRule="auto"/>
        <w:ind w:left="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甲方的场馆设施，未经甲方书面同意，乙方不得擅自使用或委托第三方使用。</w:t>
      </w:r>
    </w:p>
    <w:p w14:paraId="5E8897AB">
      <w:pPr>
        <w:pStyle w:val="319"/>
        <w:adjustRightInd w:val="0"/>
        <w:snapToGrid w:val="0"/>
        <w:spacing w:line="360" w:lineRule="auto"/>
        <w:ind w:left="425"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（二）乙方权利和义务</w:t>
      </w:r>
    </w:p>
    <w:p w14:paraId="392F5B7B">
      <w:pPr>
        <w:numPr>
          <w:ilvl w:val="0"/>
          <w:numId w:val="7"/>
        </w:numPr>
        <w:adjustRightInd w:val="0"/>
        <w:snapToGrid w:val="0"/>
        <w:spacing w:line="360" w:lineRule="auto"/>
        <w:ind w:left="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严格遵守国家、地方的法律法规，认真履行“物业服务项目具体内容及要求”的相关规定，对所承接的甲方物业实行专业、规范、安全、高质量的物业管理和服务。</w:t>
      </w:r>
    </w:p>
    <w:p w14:paraId="68D547C9">
      <w:pPr>
        <w:numPr>
          <w:ilvl w:val="0"/>
          <w:numId w:val="7"/>
        </w:numPr>
        <w:adjustRightInd w:val="0"/>
        <w:snapToGrid w:val="0"/>
        <w:spacing w:line="360" w:lineRule="auto"/>
        <w:ind w:left="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根据相关法规及本合同约定，制定本项目物业管理服务方案。</w:t>
      </w:r>
    </w:p>
    <w:p w14:paraId="592FDC82">
      <w:pPr>
        <w:numPr>
          <w:ilvl w:val="0"/>
          <w:numId w:val="7"/>
        </w:numPr>
        <w:adjustRightInd w:val="0"/>
        <w:snapToGrid w:val="0"/>
        <w:spacing w:line="360" w:lineRule="auto"/>
        <w:ind w:left="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自觉遵守甲方的各项管理规定，服从甲方物业管理监管部门和有关部门的监督、指导、检查和定期考评。</w:t>
      </w:r>
    </w:p>
    <w:p w14:paraId="1C2B560C">
      <w:pPr>
        <w:numPr>
          <w:ilvl w:val="0"/>
          <w:numId w:val="7"/>
        </w:numPr>
        <w:adjustRightInd w:val="0"/>
        <w:snapToGrid w:val="0"/>
        <w:spacing w:line="360" w:lineRule="auto"/>
        <w:ind w:left="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乙方不得随意调整项目第一负责人。如有调整，应提前书面告知甲方，征得甲方同意后实施。</w:t>
      </w:r>
    </w:p>
    <w:p w14:paraId="4590D6A3">
      <w:pPr>
        <w:numPr>
          <w:ilvl w:val="0"/>
          <w:numId w:val="7"/>
        </w:numPr>
        <w:adjustRightInd w:val="0"/>
        <w:snapToGrid w:val="0"/>
        <w:spacing w:line="360" w:lineRule="auto"/>
        <w:ind w:left="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乙方与所聘用员工发生劳动、劳务纠纷、伤害及意外伤害、安全事故等均由乙方自行负责，但因甲方原因造成的除外。</w:t>
      </w:r>
    </w:p>
    <w:p w14:paraId="6087019B">
      <w:pPr>
        <w:numPr>
          <w:ilvl w:val="0"/>
          <w:numId w:val="7"/>
        </w:numPr>
        <w:adjustRightInd w:val="0"/>
        <w:snapToGrid w:val="0"/>
        <w:spacing w:line="360" w:lineRule="auto"/>
        <w:ind w:left="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应妥善保管甲方所委托管理之财产，并爱护甲方委托管理的各种公用设施设备，如有被盗，因缺（离）岗、管理不到位或经公安机关认定确属乙方管理失职造成的，由乙方承担全额赔偿。</w:t>
      </w:r>
    </w:p>
    <w:p w14:paraId="365581B5">
      <w:pPr>
        <w:numPr>
          <w:ilvl w:val="0"/>
          <w:numId w:val="7"/>
        </w:numPr>
        <w:adjustRightInd w:val="0"/>
        <w:snapToGrid w:val="0"/>
        <w:spacing w:line="360" w:lineRule="auto"/>
        <w:ind w:left="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乙方有义务对甲方委托管理的资产开展节能降耗的管理动作。</w:t>
      </w:r>
    </w:p>
    <w:p w14:paraId="095DD3E6">
      <w:pPr>
        <w:numPr>
          <w:ilvl w:val="0"/>
          <w:numId w:val="7"/>
        </w:numPr>
        <w:adjustRightInd w:val="0"/>
        <w:snapToGrid w:val="0"/>
        <w:spacing w:line="360" w:lineRule="auto"/>
        <w:ind w:left="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乙方根据甲方需求协助甲方报送能源使用数据。</w:t>
      </w:r>
    </w:p>
    <w:p w14:paraId="6F96DB8B">
      <w:pPr>
        <w:numPr>
          <w:ilvl w:val="0"/>
          <w:numId w:val="7"/>
        </w:numPr>
        <w:adjustRightInd w:val="0"/>
        <w:snapToGrid w:val="0"/>
        <w:spacing w:line="360" w:lineRule="auto"/>
        <w:ind w:left="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乙方为本项目配置的人员须符合本合同附件4要求。</w:t>
      </w:r>
    </w:p>
    <w:p w14:paraId="09715E28">
      <w:pPr>
        <w:numPr>
          <w:ilvl w:val="0"/>
          <w:numId w:val="7"/>
        </w:numPr>
        <w:adjustRightInd w:val="0"/>
        <w:snapToGrid w:val="0"/>
        <w:spacing w:line="360" w:lineRule="auto"/>
        <w:ind w:left="0" w:firstLine="480" w:firstLineChars="200"/>
        <w:rPr>
          <w:rFonts w:hint="eastAsia" w:asciiTheme="minorEastAsia" w:hAnsiTheme="minorEastAsia" w:eastAsiaTheme="minorEastAsia" w:cstheme="minorEastAsia"/>
          <w:color w:val="auto"/>
          <w:sz w:val="24"/>
          <w:highlight w:val="none"/>
        </w:rPr>
      </w:pPr>
      <w:bookmarkStart w:id="477" w:name="OLE_LINK19"/>
      <w:r>
        <w:rPr>
          <w:rFonts w:hint="eastAsia" w:asciiTheme="minorEastAsia" w:hAnsiTheme="minorEastAsia" w:eastAsiaTheme="minorEastAsia" w:cstheme="minorEastAsia"/>
          <w:color w:val="auto"/>
          <w:sz w:val="24"/>
          <w:highlight w:val="none"/>
        </w:rPr>
        <w:t>合同期满，乙方有义务协助甲方完成与新物业公司的工作交接，并保障新物业公司顺利接管。</w:t>
      </w:r>
    </w:p>
    <w:bookmarkEnd w:id="477"/>
    <w:p w14:paraId="5D35E558">
      <w:pPr>
        <w:pStyle w:val="2"/>
        <w:numPr>
          <w:ilvl w:val="0"/>
          <w:numId w:val="3"/>
        </w:numPr>
        <w:adjustRightInd w:val="0"/>
        <w:snapToGrid w:val="0"/>
        <w:spacing w:line="360" w:lineRule="auto"/>
        <w:rPr>
          <w:rFonts w:hint="eastAsia" w:asciiTheme="minorEastAsia" w:hAnsiTheme="minorEastAsia" w:eastAsiaTheme="minorEastAsia" w:cstheme="minorEastAsia"/>
          <w:b/>
          <w:bCs/>
          <w:color w:val="auto"/>
          <w:sz w:val="24"/>
          <w:highlight w:val="none"/>
        </w:rPr>
      </w:pPr>
      <w:bookmarkStart w:id="478" w:name="OLE_LINK24"/>
      <w:r>
        <w:rPr>
          <w:rFonts w:hint="eastAsia" w:asciiTheme="minorEastAsia" w:hAnsiTheme="minorEastAsia" w:eastAsiaTheme="minorEastAsia" w:cstheme="minorEastAsia"/>
          <w:b/>
          <w:bCs/>
          <w:color w:val="auto"/>
          <w:sz w:val="24"/>
          <w:highlight w:val="none"/>
        </w:rPr>
        <w:t>费用支付</w:t>
      </w:r>
    </w:p>
    <w:p w14:paraId="77AC3F60">
      <w:pPr>
        <w:numPr>
          <w:ilvl w:val="0"/>
          <w:numId w:val="8"/>
        </w:numPr>
        <w:adjustRightInd w:val="0"/>
        <w:snapToGrid w:val="0"/>
        <w:spacing w:line="360" w:lineRule="auto"/>
        <w:ind w:left="5"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本合同服务总费用为     元（大写：       ），其中不含税金额为人民币    元，增值税税率为    ，税费为人民币     元（大写：      ），若遇税率调整，本合同含税总金额不变，税率按调整后的税率执行。</w:t>
      </w:r>
    </w:p>
    <w:p w14:paraId="260840FC">
      <w:pPr>
        <w:numPr>
          <w:ilvl w:val="0"/>
          <w:numId w:val="8"/>
        </w:numPr>
        <w:adjustRightInd w:val="0"/>
        <w:snapToGrid w:val="0"/>
        <w:spacing w:line="360" w:lineRule="auto"/>
        <w:ind w:left="5"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物业服务总服务期据实确定，费用分3期支付，其相应付款金额及节点安排如下:</w:t>
      </w:r>
      <w:r>
        <w:rPr>
          <w:rFonts w:hint="eastAsia" w:asciiTheme="minorEastAsia" w:hAnsiTheme="minorEastAsia" w:eastAsiaTheme="minorEastAsia" w:cstheme="minorEastAsia"/>
          <w:color w:val="auto"/>
          <w:sz w:val="24"/>
          <w:highlight w:val="none"/>
        </w:rPr>
        <w:br w:type="textWrapping"/>
      </w:r>
      <w:r>
        <w:rPr>
          <w:rFonts w:hint="eastAsia" w:asciiTheme="minorEastAsia" w:hAnsiTheme="minorEastAsia" w:eastAsiaTheme="minorEastAsia" w:cstheme="minorEastAsia"/>
          <w:color w:val="auto"/>
          <w:sz w:val="24"/>
          <w:highlight w:val="none"/>
        </w:rPr>
        <w:t xml:space="preserve">       第1月（</w:t>
      </w:r>
      <w:bookmarkStart w:id="479" w:name="OLE_LINK66"/>
      <w:r>
        <w:rPr>
          <w:rFonts w:hint="eastAsia" w:asciiTheme="minorEastAsia" w:hAnsiTheme="minorEastAsia" w:eastAsiaTheme="minorEastAsia" w:cstheme="minorEastAsia"/>
          <w:color w:val="auto"/>
          <w:sz w:val="24"/>
          <w:highlight w:val="none"/>
        </w:rPr>
        <w:t>2026年1月**日-2026年1月31日</w:t>
      </w:r>
      <w:bookmarkEnd w:id="479"/>
      <w:r>
        <w:rPr>
          <w:rFonts w:hint="eastAsia" w:asciiTheme="minorEastAsia" w:hAnsiTheme="minorEastAsia" w:eastAsiaTheme="minorEastAsia" w:cstheme="minorEastAsia"/>
          <w:color w:val="auto"/>
          <w:sz w:val="24"/>
          <w:highlight w:val="none"/>
        </w:rPr>
        <w:t>）服务费</w:t>
      </w:r>
      <w:bookmarkStart w:id="480" w:name="OLE_LINK3"/>
      <w:r>
        <w:rPr>
          <w:rFonts w:hint="eastAsia" w:asciiTheme="minorEastAsia" w:hAnsiTheme="minorEastAsia" w:eastAsiaTheme="minorEastAsia" w:cstheme="minorEastAsia"/>
          <w:color w:val="auto"/>
          <w:sz w:val="24"/>
          <w:highlight w:val="none"/>
        </w:rPr>
        <w:t>***元</w:t>
      </w:r>
      <w:bookmarkEnd w:id="480"/>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rPr>
        <w:br w:type="textWrapping"/>
      </w:r>
      <w:r>
        <w:rPr>
          <w:rFonts w:hint="eastAsia" w:asciiTheme="minorEastAsia" w:hAnsiTheme="minorEastAsia" w:eastAsiaTheme="minorEastAsia" w:cstheme="minorEastAsia"/>
          <w:color w:val="auto"/>
          <w:sz w:val="24"/>
          <w:highlight w:val="none"/>
        </w:rPr>
        <w:t xml:space="preserve">       第2月（</w:t>
      </w:r>
      <w:bookmarkStart w:id="481" w:name="OLE_LINK67"/>
      <w:r>
        <w:rPr>
          <w:rFonts w:hint="eastAsia" w:asciiTheme="minorEastAsia" w:hAnsiTheme="minorEastAsia" w:eastAsiaTheme="minorEastAsia" w:cstheme="minorEastAsia"/>
          <w:color w:val="auto"/>
          <w:sz w:val="24"/>
          <w:highlight w:val="none"/>
        </w:rPr>
        <w:t>2026年2月1日-2026年2月28日</w:t>
      </w:r>
      <w:bookmarkEnd w:id="481"/>
      <w:r>
        <w:rPr>
          <w:rFonts w:hint="eastAsia" w:asciiTheme="minorEastAsia" w:hAnsiTheme="minorEastAsia" w:eastAsiaTheme="minorEastAsia" w:cstheme="minorEastAsia"/>
          <w:color w:val="auto"/>
          <w:sz w:val="24"/>
          <w:highlight w:val="none"/>
        </w:rPr>
        <w:t xml:space="preserve">）服务费***元； </w:t>
      </w:r>
    </w:p>
    <w:p w14:paraId="25B1C7CF">
      <w:pPr>
        <w:adjustRightInd w:val="0"/>
        <w:snapToGrid w:val="0"/>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第3月（2026年3月1日-2026年3月31日）服务费</w:t>
      </w:r>
      <w:bookmarkStart w:id="482" w:name="OLE_LINK18"/>
      <w:r>
        <w:rPr>
          <w:rFonts w:hint="eastAsia" w:asciiTheme="minorEastAsia" w:hAnsiTheme="minorEastAsia" w:eastAsiaTheme="minorEastAsia" w:cstheme="minorEastAsia"/>
          <w:color w:val="auto"/>
          <w:sz w:val="24"/>
          <w:highlight w:val="none"/>
        </w:rPr>
        <w:t>***元（本次包含开办清洁专项服务结算费用）。</w:t>
      </w:r>
    </w:p>
    <w:bookmarkEnd w:id="482"/>
    <w:p w14:paraId="304B15E2">
      <w:pPr>
        <w:numPr>
          <w:ilvl w:val="0"/>
          <w:numId w:val="8"/>
        </w:numPr>
        <w:adjustRightInd w:val="0"/>
        <w:snapToGrid w:val="0"/>
        <w:spacing w:line="360" w:lineRule="auto"/>
        <w:ind w:left="5" w:firstLine="480"/>
        <w:rPr>
          <w:rFonts w:hint="eastAsia" w:asciiTheme="minorEastAsia" w:hAnsiTheme="minorEastAsia" w:eastAsiaTheme="minorEastAsia" w:cstheme="minorEastAsia"/>
          <w:color w:val="auto"/>
          <w:sz w:val="24"/>
          <w:highlight w:val="none"/>
        </w:rPr>
      </w:pPr>
      <w:bookmarkStart w:id="483" w:name="OLE_LINK58"/>
      <w:r>
        <w:rPr>
          <w:rFonts w:hint="eastAsia" w:asciiTheme="minorEastAsia" w:hAnsiTheme="minorEastAsia" w:eastAsiaTheme="minorEastAsia" w:cstheme="minorEastAsia"/>
          <w:color w:val="auto"/>
          <w:sz w:val="24"/>
          <w:highlight w:val="none"/>
        </w:rPr>
        <w:t>物业服务费每月结算一次，并于次月支付上月费用。开办清洁服务费经甲方验收合格后，与最后一个月物业服务费一同支付。。</w:t>
      </w:r>
    </w:p>
    <w:p w14:paraId="4B935618">
      <w:pPr>
        <w:numPr>
          <w:ilvl w:val="0"/>
          <w:numId w:val="8"/>
        </w:numPr>
        <w:adjustRightInd w:val="0"/>
        <w:snapToGrid w:val="0"/>
        <w:spacing w:line="360" w:lineRule="auto"/>
        <w:ind w:left="5"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甲方对乙方服务按本合同附件3进行考核打分，并按照考核结果计算当月服务费用（计算公式：当月服务费结算金额=当月应付服务费-当月考核扣款）；乙方应根据甲方审核通过的当月结算金额向甲方开具有效发票</w:t>
      </w:r>
      <w:bookmarkStart w:id="484" w:name="OLE_LINK6"/>
      <w:r>
        <w:rPr>
          <w:rFonts w:hint="eastAsia" w:asciiTheme="minorEastAsia" w:hAnsiTheme="minorEastAsia" w:eastAsiaTheme="minorEastAsia" w:cstheme="minorEastAsia"/>
          <w:color w:val="auto"/>
          <w:sz w:val="24"/>
          <w:highlight w:val="none"/>
        </w:rPr>
        <w:t>，甲方在收到乙方发票15个工作日（遇节假日及甲方委托管理的院区放假，支付时间顺延）内支付物业服务款项。若乙方未按时向甲方提供相应发票的，甲方付款期限相应顺延且不承担逾期付款违约责任。</w:t>
      </w:r>
    </w:p>
    <w:bookmarkEnd w:id="478"/>
    <w:bookmarkEnd w:id="483"/>
    <w:bookmarkEnd w:id="484"/>
    <w:p w14:paraId="6E5AAC22">
      <w:pPr>
        <w:numPr>
          <w:ilvl w:val="0"/>
          <w:numId w:val="8"/>
        </w:numPr>
        <w:adjustRightInd w:val="0"/>
        <w:snapToGrid w:val="0"/>
        <w:spacing w:line="360" w:lineRule="auto"/>
        <w:ind w:left="5"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付款方式：甲方采用银行转账的方式支付到乙方指定账户。</w:t>
      </w:r>
    </w:p>
    <w:p w14:paraId="278A9741">
      <w:pPr>
        <w:adjustRightInd w:val="0"/>
        <w:snapToGrid w:val="0"/>
        <w:spacing w:line="360" w:lineRule="auto"/>
        <w:ind w:firstLine="840" w:firstLineChars="3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收款人户名：***</w:t>
      </w:r>
    </w:p>
    <w:p w14:paraId="0AD958AE">
      <w:pPr>
        <w:adjustRightInd w:val="0"/>
        <w:snapToGrid w:val="0"/>
        <w:spacing w:line="360" w:lineRule="auto"/>
        <w:ind w:firstLine="840" w:firstLineChars="3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w:t>
      </w:r>
      <w:bookmarkStart w:id="485" w:name="OLE_LINK5"/>
      <w:r>
        <w:rPr>
          <w:rFonts w:hint="eastAsia" w:asciiTheme="minorEastAsia" w:hAnsiTheme="minorEastAsia" w:eastAsiaTheme="minorEastAsia" w:cstheme="minorEastAsia"/>
          <w:color w:val="auto"/>
          <w:sz w:val="24"/>
          <w:highlight w:val="none"/>
        </w:rPr>
        <w:t>***</w:t>
      </w:r>
      <w:bookmarkEnd w:id="485"/>
    </w:p>
    <w:p w14:paraId="4F2BCA4D">
      <w:pPr>
        <w:pStyle w:val="2"/>
        <w:adjustRightInd w:val="0"/>
        <w:snapToGrid w:val="0"/>
        <w:spacing w:line="360" w:lineRule="auto"/>
        <w:ind w:firstLine="840" w:firstLineChars="3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账号：***</w:t>
      </w:r>
    </w:p>
    <w:p w14:paraId="5DFCC390">
      <w:pPr>
        <w:pStyle w:val="2"/>
        <w:numPr>
          <w:ilvl w:val="0"/>
          <w:numId w:val="3"/>
        </w:numPr>
        <w:adjustRightInd w:val="0"/>
        <w:snapToGrid w:val="0"/>
        <w:spacing w:line="360" w:lineRule="auto"/>
        <w:rPr>
          <w:rFonts w:hint="eastAsia" w:asciiTheme="minorEastAsia" w:hAnsiTheme="minorEastAsia" w:eastAsiaTheme="minorEastAsia" w:cstheme="minorEastAsia"/>
          <w:b/>
          <w:bCs/>
          <w:color w:val="auto"/>
          <w:sz w:val="24"/>
          <w:highlight w:val="none"/>
        </w:rPr>
      </w:pPr>
      <w:bookmarkStart w:id="486" w:name="OLE_LINK29"/>
      <w:r>
        <w:rPr>
          <w:rFonts w:hint="eastAsia" w:asciiTheme="minorEastAsia" w:hAnsiTheme="minorEastAsia" w:eastAsiaTheme="minorEastAsia" w:cstheme="minorEastAsia"/>
          <w:b/>
          <w:bCs/>
          <w:color w:val="auto"/>
          <w:sz w:val="24"/>
          <w:highlight w:val="none"/>
        </w:rPr>
        <w:t>违约责任</w:t>
      </w:r>
    </w:p>
    <w:bookmarkEnd w:id="486"/>
    <w:p w14:paraId="44E7521D">
      <w:pPr>
        <w:adjustRightInd w:val="0"/>
        <w:snapToGrid w:val="0"/>
        <w:spacing w:line="360" w:lineRule="auto"/>
        <w:ind w:left="425" w:firstLine="480"/>
        <w:rPr>
          <w:rFonts w:hint="eastAsia" w:asciiTheme="minorEastAsia" w:hAnsiTheme="minorEastAsia" w:eastAsiaTheme="minorEastAsia" w:cstheme="minorEastAsia"/>
          <w:color w:val="auto"/>
          <w:sz w:val="24"/>
          <w:highlight w:val="none"/>
        </w:rPr>
      </w:pPr>
      <w:bookmarkStart w:id="487" w:name="OLE_LINK62"/>
      <w:r>
        <w:rPr>
          <w:rFonts w:hint="eastAsia" w:asciiTheme="minorEastAsia" w:hAnsiTheme="minorEastAsia" w:eastAsiaTheme="minorEastAsia" w:cstheme="minorEastAsia"/>
          <w:color w:val="auto"/>
          <w:sz w:val="24"/>
          <w:highlight w:val="none"/>
        </w:rPr>
        <w:t>除按《中华人民共和国民法典》和《高等学校物业服务规范》执行外，还需遵守：</w:t>
      </w:r>
    </w:p>
    <w:p w14:paraId="79460477">
      <w:pPr>
        <w:numPr>
          <w:ilvl w:val="0"/>
          <w:numId w:val="9"/>
        </w:numPr>
        <w:tabs>
          <w:tab w:val="left" w:pos="0"/>
          <w:tab w:val="clear" w:pos="420"/>
        </w:tabs>
        <w:adjustRightInd w:val="0"/>
        <w:snapToGrid w:val="0"/>
        <w:spacing w:line="360" w:lineRule="auto"/>
        <w:ind w:left="5" w:firstLine="480"/>
        <w:rPr>
          <w:rFonts w:hint="eastAsia" w:asciiTheme="minorEastAsia" w:hAnsiTheme="minorEastAsia" w:eastAsiaTheme="minorEastAsia" w:cstheme="minorEastAsia"/>
          <w:color w:val="auto"/>
          <w:sz w:val="24"/>
          <w:highlight w:val="none"/>
        </w:rPr>
      </w:pPr>
      <w:bookmarkStart w:id="488" w:name="_Hlk217650339"/>
      <w:bookmarkStart w:id="489" w:name="OLE_LINK64"/>
      <w:r>
        <w:rPr>
          <w:rFonts w:hint="eastAsia" w:asciiTheme="minorEastAsia" w:hAnsiTheme="minorEastAsia" w:eastAsiaTheme="minorEastAsia" w:cstheme="minorEastAsia"/>
          <w:color w:val="auto"/>
          <w:sz w:val="24"/>
          <w:highlight w:val="none"/>
        </w:rPr>
        <w:t>因甲方未按合同约定向乙方支付服务费，影响乙方实现管理目标的，乙方有</w:t>
      </w:r>
    </w:p>
    <w:p w14:paraId="0E263295">
      <w:pPr>
        <w:tabs>
          <w:tab w:val="left" w:pos="0"/>
          <w:tab w:val="left" w:pos="420"/>
        </w:tabs>
        <w:adjustRightInd w:val="0"/>
        <w:snapToGrid w:val="0"/>
        <w:spacing w:line="360" w:lineRule="auto"/>
        <w:ind w:left="5"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权要求甲方在一定期限内进行支付。逾期支付，每逾期一日，乙方有权要求甲方按应付未付金额的0.1‰支付滞纳金。</w:t>
      </w:r>
    </w:p>
    <w:bookmarkEnd w:id="487"/>
    <w:bookmarkEnd w:id="488"/>
    <w:bookmarkEnd w:id="489"/>
    <w:p w14:paraId="6A6F4097">
      <w:pPr>
        <w:numPr>
          <w:ilvl w:val="0"/>
          <w:numId w:val="9"/>
        </w:numPr>
        <w:tabs>
          <w:tab w:val="left" w:pos="0"/>
          <w:tab w:val="clear" w:pos="420"/>
        </w:tabs>
        <w:adjustRightInd w:val="0"/>
        <w:snapToGrid w:val="0"/>
        <w:spacing w:line="360" w:lineRule="auto"/>
        <w:ind w:left="5"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乙方违反本合同约定，不能达到约定的管理目标，甲方有权要求乙方限期整改。</w:t>
      </w:r>
    </w:p>
    <w:p w14:paraId="490DBF1D">
      <w:pPr>
        <w:numPr>
          <w:ilvl w:val="0"/>
          <w:numId w:val="9"/>
        </w:numPr>
        <w:tabs>
          <w:tab w:val="left" w:pos="0"/>
          <w:tab w:val="clear" w:pos="420"/>
        </w:tabs>
        <w:adjustRightInd w:val="0"/>
        <w:snapToGrid w:val="0"/>
        <w:spacing w:line="360" w:lineRule="auto"/>
        <w:ind w:left="5"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逾期未整改或整改不到位，影响甲方所委托资产院区正常运转的，包括但不限于以下情形：（1）连续两个月考核不合格；（2）发生接待保障事故导致甲方声誉受损；（3）开办清洁专项服务逾期交付超过15个工作日。出现上述任一情形的，甲方有权单方面终止合同，乙方应向甲方支付合同总金额***%违约金，且该违约金不影响甲方就实际损失向乙方追偿的权利。</w:t>
      </w:r>
    </w:p>
    <w:p w14:paraId="2F69A8B5">
      <w:pPr>
        <w:numPr>
          <w:ilvl w:val="0"/>
          <w:numId w:val="9"/>
        </w:numPr>
        <w:tabs>
          <w:tab w:val="left" w:pos="0"/>
          <w:tab w:val="clear" w:pos="420"/>
        </w:tabs>
        <w:adjustRightInd w:val="0"/>
        <w:snapToGrid w:val="0"/>
        <w:spacing w:line="360" w:lineRule="auto"/>
        <w:ind w:left="5"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在合同期内，任何一方违约并欲提出终止合同的要求，须提前1个月以书面形式</w:t>
      </w:r>
    </w:p>
    <w:p w14:paraId="0379F42F">
      <w:pPr>
        <w:tabs>
          <w:tab w:val="left" w:pos="0"/>
          <w:tab w:val="left" w:pos="420"/>
        </w:tabs>
        <w:adjustRightInd w:val="0"/>
        <w:snapToGrid w:val="0"/>
        <w:spacing w:line="360" w:lineRule="auto"/>
        <w:ind w:left="5"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通知对方，并额外支付1个月的物业服务费作为赔偿金。</w:t>
      </w:r>
    </w:p>
    <w:p w14:paraId="78996D09">
      <w:pPr>
        <w:tabs>
          <w:tab w:val="left" w:pos="0"/>
          <w:tab w:val="left" w:pos="420"/>
        </w:tabs>
        <w:adjustRightInd w:val="0"/>
        <w:snapToGrid w:val="0"/>
        <w:spacing w:line="360" w:lineRule="auto"/>
        <w:ind w:left="5"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5.若乙方为本项目配置的人员不符合本合同附件4要求，甲方有权要求乙方整改并要求乙方支付合同总金额***%违约金。</w:t>
      </w:r>
    </w:p>
    <w:p w14:paraId="30F8FACA">
      <w:pPr>
        <w:pStyle w:val="2"/>
        <w:numPr>
          <w:ilvl w:val="0"/>
          <w:numId w:val="3"/>
        </w:numPr>
        <w:adjustRightInd w:val="0"/>
        <w:snapToGrid w:val="0"/>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其他约定事项</w:t>
      </w:r>
    </w:p>
    <w:p w14:paraId="5AB9EF6C">
      <w:pPr>
        <w:numPr>
          <w:ilvl w:val="0"/>
          <w:numId w:val="10"/>
        </w:numPr>
        <w:adjustRightInd w:val="0"/>
        <w:snapToGrid w:val="0"/>
        <w:spacing w:line="360" w:lineRule="auto"/>
        <w:ind w:left="5"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双方可对本合同的条款进行补充，以书面形式签订补充协议，补充协议与本合同具有同等效力。</w:t>
      </w:r>
    </w:p>
    <w:p w14:paraId="2A22EC7C">
      <w:pPr>
        <w:numPr>
          <w:ilvl w:val="0"/>
          <w:numId w:val="10"/>
        </w:numPr>
        <w:adjustRightInd w:val="0"/>
        <w:snapToGrid w:val="0"/>
        <w:spacing w:line="360" w:lineRule="auto"/>
        <w:ind w:left="5"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附件是本合同不可分割的部分。</w:t>
      </w:r>
    </w:p>
    <w:p w14:paraId="18D71A41">
      <w:pPr>
        <w:numPr>
          <w:ilvl w:val="0"/>
          <w:numId w:val="10"/>
        </w:numPr>
        <w:adjustRightInd w:val="0"/>
        <w:snapToGrid w:val="0"/>
        <w:spacing w:line="360" w:lineRule="auto"/>
        <w:ind w:left="5"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本合同执行期间，如遇国家或省、市地方法律、政策调整等不可抗力因素，致使合同无法按原约定执行，双方应按有关法律、法规、政策协商处理。</w:t>
      </w:r>
    </w:p>
    <w:p w14:paraId="0F16F4DA">
      <w:pPr>
        <w:numPr>
          <w:ilvl w:val="0"/>
          <w:numId w:val="10"/>
        </w:numPr>
        <w:adjustRightInd w:val="0"/>
        <w:snapToGrid w:val="0"/>
        <w:spacing w:line="360" w:lineRule="auto"/>
        <w:ind w:left="5"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合同期满后或合同期内解除合同时，乙方应当在合同到期时或约定的合同解除日停止物业管理与服务，做好交接工作，并在10个自然日内无条件撤场，向甲方指定的主体移交管理用房和档案资料等。</w:t>
      </w:r>
    </w:p>
    <w:p w14:paraId="7EBBFC60">
      <w:pPr>
        <w:numPr>
          <w:ilvl w:val="0"/>
          <w:numId w:val="10"/>
        </w:numPr>
        <w:adjustRightInd w:val="0"/>
        <w:snapToGrid w:val="0"/>
        <w:spacing w:line="360" w:lineRule="auto"/>
        <w:ind w:left="5"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物业服务过程中乙方人员的人身、财产安全问题由乙方自行负责，非因乙方原因导致甲方、甲方相关人员以及第三方的人身、财产安全问题的，与乙方无关。</w:t>
      </w:r>
    </w:p>
    <w:p w14:paraId="0CCDDD06">
      <w:pPr>
        <w:numPr>
          <w:ilvl w:val="0"/>
          <w:numId w:val="10"/>
        </w:numPr>
        <w:adjustRightInd w:val="0"/>
        <w:snapToGrid w:val="0"/>
        <w:spacing w:line="360" w:lineRule="auto"/>
        <w:ind w:left="5"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本合同如发生争议由双方协商解决，协商不成向不动产所在地人民法院诉讼解决。</w:t>
      </w:r>
    </w:p>
    <w:p w14:paraId="50A4E341">
      <w:pPr>
        <w:numPr>
          <w:ilvl w:val="0"/>
          <w:numId w:val="10"/>
        </w:numPr>
        <w:adjustRightInd w:val="0"/>
        <w:snapToGrid w:val="0"/>
        <w:spacing w:line="360" w:lineRule="auto"/>
        <w:ind w:left="5"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本合同一式6份，甲方3份，乙方3份，具有同等法律效力。双方签字盖章后生效。</w:t>
      </w:r>
    </w:p>
    <w:p w14:paraId="60AF17AB">
      <w:pPr>
        <w:numPr>
          <w:ilvl w:val="0"/>
          <w:numId w:val="10"/>
        </w:numPr>
        <w:adjustRightInd w:val="0"/>
        <w:snapToGrid w:val="0"/>
        <w:spacing w:line="360" w:lineRule="auto"/>
        <w:ind w:left="5"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其他：见附件。</w:t>
      </w:r>
    </w:p>
    <w:p w14:paraId="382BD9E8">
      <w:pPr>
        <w:numPr>
          <w:ilvl w:val="0"/>
          <w:numId w:val="10"/>
        </w:numPr>
        <w:adjustRightInd w:val="0"/>
        <w:snapToGrid w:val="0"/>
        <w:spacing w:line="360" w:lineRule="auto"/>
        <w:ind w:left="5"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双方确认各自在本合同签署部分预留地址（如未填写，送达地址以注册地址为准，收件人以登记的法定代表人为准）均能有效送达，一方向另一方按预留地址邮寄送达书面文书、通知的，自邮件寄出之日起四日后视为送达。一方变更地址的，应提前书面通知对方，否则按预留地址送达有效。司法机关就司法文书的送达适用本条约定，同时加以完善合同签署部分相关内容，避免无法通知送达。</w:t>
      </w:r>
    </w:p>
    <w:p w14:paraId="05536A82">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合同附件：</w:t>
      </w:r>
    </w:p>
    <w:p w14:paraId="6C29ACCE">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附件1:物业管理服务要求</w:t>
      </w:r>
    </w:p>
    <w:p w14:paraId="7E03AC09">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附件2:开办清洁验收标准</w:t>
      </w:r>
    </w:p>
    <w:p w14:paraId="6DEBC450">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附件3：物业服务测评标准</w:t>
      </w:r>
    </w:p>
    <w:p w14:paraId="08D71266">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附件4：</w:t>
      </w:r>
      <w:r>
        <w:rPr>
          <w:rFonts w:hint="eastAsia" w:asciiTheme="minorEastAsia" w:hAnsiTheme="minorEastAsia" w:eastAsiaTheme="minorEastAsia" w:cstheme="minorEastAsia"/>
          <w:b/>
          <w:bCs/>
          <w:color w:val="auto"/>
          <w:sz w:val="24"/>
          <w:highlight w:val="none"/>
        </w:rPr>
        <w:t>人员配置标准表</w:t>
      </w:r>
    </w:p>
    <w:p w14:paraId="3DE984BC">
      <w:pPr>
        <w:pStyle w:val="2"/>
        <w:adjustRightInd w:val="0"/>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（以下为签署页，无正文）</w:t>
      </w:r>
    </w:p>
    <w:p w14:paraId="4295E42F">
      <w:pPr>
        <w:pStyle w:val="2"/>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0B5FA848">
      <w:pPr>
        <w:pStyle w:val="2"/>
        <w:spacing w:line="360" w:lineRule="auto"/>
        <w:jc w:val="center"/>
        <w:rPr>
          <w:rFonts w:hint="eastAsia" w:asciiTheme="minorEastAsia" w:hAnsiTheme="minorEastAsia" w:eastAsiaTheme="minorEastAsia" w:cstheme="minorEastAsia"/>
          <w:color w:val="auto"/>
          <w:sz w:val="24"/>
          <w:highlight w:val="none"/>
        </w:rPr>
      </w:pPr>
    </w:p>
    <w:p w14:paraId="6FC79763">
      <w:pPr>
        <w:widowControl/>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rPr>
      </w:pPr>
      <w:bookmarkStart w:id="490" w:name="OLE_LINK34"/>
      <w:r>
        <w:rPr>
          <w:rFonts w:hint="eastAsia" w:asciiTheme="minorEastAsia" w:hAnsiTheme="minorEastAsia" w:eastAsiaTheme="minorEastAsia" w:cstheme="minorEastAsia"/>
          <w:color w:val="auto"/>
          <w:sz w:val="24"/>
          <w:highlight w:val="none"/>
        </w:rPr>
        <w:t>甲方：***</w:t>
      </w:r>
    </w:p>
    <w:p w14:paraId="5707AADF">
      <w:pPr>
        <w:widowControl/>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地址： </w:t>
      </w:r>
    </w:p>
    <w:p w14:paraId="5C331B3B">
      <w:pPr>
        <w:widowControl/>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w:t>
      </w:r>
      <w:bookmarkStart w:id="491" w:name="OLE_LINK33"/>
      <w:r>
        <w:rPr>
          <w:rFonts w:hint="eastAsia" w:asciiTheme="minorEastAsia" w:hAnsiTheme="minorEastAsia" w:eastAsiaTheme="minorEastAsia" w:cstheme="minorEastAsia"/>
          <w:color w:val="auto"/>
          <w:sz w:val="24"/>
          <w:highlight w:val="none"/>
        </w:rPr>
        <w:t>：</w:t>
      </w:r>
      <w:bookmarkEnd w:id="491"/>
    </w:p>
    <w:p w14:paraId="2FA887B1">
      <w:pPr>
        <w:widowControl/>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经办人： </w:t>
      </w:r>
    </w:p>
    <w:p w14:paraId="6F6A624C">
      <w:pPr>
        <w:widowControl/>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p>
    <w:bookmarkEnd w:id="490"/>
    <w:p w14:paraId="5F49E502">
      <w:pPr>
        <w:pStyle w:val="2"/>
        <w:spacing w:line="360" w:lineRule="auto"/>
        <w:rPr>
          <w:rFonts w:hint="eastAsia" w:asciiTheme="minorEastAsia" w:hAnsiTheme="minorEastAsia" w:eastAsiaTheme="minorEastAsia" w:cstheme="minorEastAsia"/>
          <w:color w:val="auto"/>
          <w:sz w:val="24"/>
          <w:highlight w:val="none"/>
        </w:rPr>
      </w:pPr>
    </w:p>
    <w:p w14:paraId="30E3710B">
      <w:pPr>
        <w:widowControl/>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w:t>
      </w:r>
    </w:p>
    <w:p w14:paraId="20747B61">
      <w:pPr>
        <w:widowControl/>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地址： </w:t>
      </w:r>
    </w:p>
    <w:p w14:paraId="2FADFD8C">
      <w:pPr>
        <w:widowControl/>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w:t>
      </w:r>
    </w:p>
    <w:p w14:paraId="40E4BE5F">
      <w:pPr>
        <w:widowControl/>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经办人： </w:t>
      </w:r>
    </w:p>
    <w:p w14:paraId="22682C8A">
      <w:pPr>
        <w:widowControl/>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p>
    <w:p w14:paraId="11815E70">
      <w:pPr>
        <w:spacing w:line="360" w:lineRule="auto"/>
        <w:ind w:firstLine="480"/>
        <w:rPr>
          <w:rFonts w:hint="eastAsia" w:asciiTheme="minorEastAsia" w:hAnsiTheme="minorEastAsia" w:eastAsiaTheme="minorEastAsia" w:cstheme="minorEastAsia"/>
          <w:color w:val="auto"/>
          <w:sz w:val="24"/>
          <w:highlight w:val="none"/>
        </w:rPr>
      </w:pPr>
    </w:p>
    <w:p w14:paraId="2B1099EC">
      <w:pPr>
        <w:adjustRightInd w:val="0"/>
        <w:snapToGrid w:val="0"/>
        <w:spacing w:line="360" w:lineRule="auto"/>
        <w:ind w:left="425" w:firstLine="480"/>
        <w:rPr>
          <w:rFonts w:hint="eastAsia" w:asciiTheme="minorEastAsia" w:hAnsiTheme="minorEastAsia" w:eastAsiaTheme="minorEastAsia" w:cstheme="minorEastAsia"/>
          <w:color w:val="auto"/>
          <w:sz w:val="24"/>
          <w:highlight w:val="none"/>
        </w:rPr>
      </w:pPr>
    </w:p>
    <w:p w14:paraId="36EDC528">
      <w:pPr>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签约时间：     年     月   日           签约地点：重庆经济技术开发区</w:t>
      </w:r>
    </w:p>
    <w:p w14:paraId="5AB161E0">
      <w:pPr>
        <w:widowControl/>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highlight w:val="none"/>
        </w:rPr>
        <w:sectPr>
          <w:headerReference r:id="rId9" w:type="default"/>
          <w:footerReference r:id="rId10" w:type="default"/>
          <w:pgSz w:w="11906" w:h="16838"/>
          <w:pgMar w:top="1985" w:right="1220" w:bottom="1644" w:left="1446" w:header="851" w:footer="992" w:gutter="0"/>
          <w:cols w:space="720" w:num="1"/>
          <w:docGrid w:type="lines" w:linePitch="312" w:charSpace="0"/>
        </w:sectPr>
      </w:pPr>
      <w:bookmarkStart w:id="492" w:name="_Toc2169"/>
    </w:p>
    <w:bookmarkEnd w:id="492"/>
    <w:p w14:paraId="6204C01D">
      <w:pPr>
        <w:widowControl/>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附件1：项目管理物业服务要求(按招标文件技术标服务内容要求执行)</w:t>
      </w:r>
    </w:p>
    <w:p w14:paraId="6B4B0E65">
      <w:pPr>
        <w:widowControl/>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附件2：开办清洁验收标准（按招标文件技术标服务内容要求执行）</w:t>
      </w:r>
    </w:p>
    <w:p w14:paraId="39742E2E">
      <w:pPr>
        <w:widowControl/>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附件3：</w:t>
      </w:r>
    </w:p>
    <w:p w14:paraId="391C6D5C">
      <w:pPr>
        <w:spacing w:line="360" w:lineRule="auto"/>
        <w:ind w:firstLine="48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物业服务测评标准</w:t>
      </w:r>
    </w:p>
    <w:tbl>
      <w:tblPr>
        <w:tblStyle w:val="48"/>
        <w:tblW w:w="8928" w:type="dxa"/>
        <w:jc w:val="center"/>
        <w:tblLayout w:type="fixed"/>
        <w:tblCellMar>
          <w:top w:w="0" w:type="dxa"/>
          <w:left w:w="108" w:type="dxa"/>
          <w:bottom w:w="0" w:type="dxa"/>
          <w:right w:w="108" w:type="dxa"/>
        </w:tblCellMar>
      </w:tblPr>
      <w:tblGrid>
        <w:gridCol w:w="760"/>
        <w:gridCol w:w="801"/>
        <w:gridCol w:w="2167"/>
        <w:gridCol w:w="4466"/>
        <w:gridCol w:w="734"/>
      </w:tblGrid>
      <w:tr w14:paraId="1FC5EB31">
        <w:tblPrEx>
          <w:tblCellMar>
            <w:top w:w="0" w:type="dxa"/>
            <w:left w:w="108" w:type="dxa"/>
            <w:bottom w:w="0" w:type="dxa"/>
            <w:right w:w="108" w:type="dxa"/>
          </w:tblCellMar>
        </w:tblPrEx>
        <w:trPr>
          <w:trHeight w:val="336" w:hRule="atLeast"/>
          <w:jc w:val="center"/>
        </w:trPr>
        <w:tc>
          <w:tcPr>
            <w:tcW w:w="760" w:type="dxa"/>
            <w:tcBorders>
              <w:top w:val="single" w:color="000000" w:sz="4" w:space="0"/>
              <w:left w:val="single" w:color="000000" w:sz="4" w:space="0"/>
              <w:bottom w:val="single" w:color="000000" w:sz="4" w:space="0"/>
              <w:right w:val="single" w:color="000000" w:sz="4" w:space="0"/>
            </w:tcBorders>
            <w:vAlign w:val="center"/>
          </w:tcPr>
          <w:p w14:paraId="129C2350">
            <w:pPr>
              <w:widowControl/>
              <w:spacing w:line="360" w:lineRule="auto"/>
              <w:jc w:val="center"/>
              <w:textAlignment w:val="center"/>
              <w:rPr>
                <w:rFonts w:hint="eastAsia" w:asciiTheme="minorEastAsia" w:hAnsiTheme="minorEastAsia" w:eastAsiaTheme="minorEastAsia" w:cstheme="minorEastAsia"/>
                <w:color w:val="auto"/>
                <w:sz w:val="24"/>
                <w:highlight w:val="none"/>
              </w:rPr>
            </w:pPr>
            <w:bookmarkStart w:id="493" w:name="OLE_LINK23"/>
            <w:r>
              <w:rPr>
                <w:rStyle w:val="320"/>
                <w:rFonts w:hint="eastAsia" w:asciiTheme="minorEastAsia" w:hAnsiTheme="minorEastAsia" w:eastAsiaTheme="minorEastAsia" w:cstheme="minorEastAsia"/>
                <w:color w:val="auto"/>
                <w:sz w:val="24"/>
                <w:szCs w:val="24"/>
                <w:highlight w:val="none"/>
                <w:lang w:bidi="ar"/>
              </w:rPr>
              <w:t>序号</w:t>
            </w:r>
          </w:p>
        </w:tc>
        <w:tc>
          <w:tcPr>
            <w:tcW w:w="801" w:type="dxa"/>
            <w:tcBorders>
              <w:top w:val="single" w:color="000000" w:sz="4" w:space="0"/>
              <w:left w:val="single" w:color="000000" w:sz="4" w:space="0"/>
              <w:bottom w:val="single" w:color="000000" w:sz="4" w:space="0"/>
              <w:right w:val="single" w:color="000000" w:sz="4" w:space="0"/>
            </w:tcBorders>
            <w:vAlign w:val="center"/>
          </w:tcPr>
          <w:p w14:paraId="0B037315">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Style w:val="320"/>
                <w:rFonts w:hint="eastAsia" w:asciiTheme="minorEastAsia" w:hAnsiTheme="minorEastAsia" w:eastAsiaTheme="minorEastAsia" w:cstheme="minorEastAsia"/>
                <w:color w:val="auto"/>
                <w:sz w:val="24"/>
                <w:szCs w:val="24"/>
                <w:highlight w:val="none"/>
                <w:lang w:bidi="ar"/>
              </w:rPr>
              <w:t>评价项</w:t>
            </w:r>
          </w:p>
        </w:tc>
        <w:tc>
          <w:tcPr>
            <w:tcW w:w="2167" w:type="dxa"/>
            <w:tcBorders>
              <w:top w:val="single" w:color="000000" w:sz="4" w:space="0"/>
              <w:left w:val="single" w:color="000000" w:sz="4" w:space="0"/>
              <w:bottom w:val="single" w:color="000000" w:sz="4" w:space="0"/>
              <w:right w:val="single" w:color="000000" w:sz="4" w:space="0"/>
            </w:tcBorders>
            <w:vAlign w:val="center"/>
          </w:tcPr>
          <w:p w14:paraId="1E6296E4">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Style w:val="320"/>
                <w:rFonts w:hint="eastAsia" w:asciiTheme="minorEastAsia" w:hAnsiTheme="minorEastAsia" w:eastAsiaTheme="minorEastAsia" w:cstheme="minorEastAsia"/>
                <w:color w:val="auto"/>
                <w:sz w:val="24"/>
                <w:szCs w:val="24"/>
                <w:highlight w:val="none"/>
                <w:lang w:bidi="ar"/>
              </w:rPr>
              <w:t>评价子项目</w:t>
            </w:r>
          </w:p>
        </w:tc>
        <w:tc>
          <w:tcPr>
            <w:tcW w:w="4466" w:type="dxa"/>
            <w:tcBorders>
              <w:top w:val="single" w:color="000000" w:sz="4" w:space="0"/>
              <w:left w:val="single" w:color="000000" w:sz="4" w:space="0"/>
              <w:bottom w:val="single" w:color="000000" w:sz="4" w:space="0"/>
              <w:right w:val="single" w:color="000000" w:sz="4" w:space="0"/>
            </w:tcBorders>
            <w:vAlign w:val="center"/>
          </w:tcPr>
          <w:p w14:paraId="47436D63">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Style w:val="320"/>
                <w:rFonts w:hint="eastAsia" w:asciiTheme="minorEastAsia" w:hAnsiTheme="minorEastAsia" w:eastAsiaTheme="minorEastAsia" w:cstheme="minorEastAsia"/>
                <w:color w:val="auto"/>
                <w:sz w:val="24"/>
                <w:szCs w:val="24"/>
                <w:highlight w:val="none"/>
                <w:lang w:bidi="ar"/>
              </w:rPr>
              <w:t>评价内容</w:t>
            </w:r>
          </w:p>
        </w:tc>
        <w:tc>
          <w:tcPr>
            <w:tcW w:w="734" w:type="dxa"/>
            <w:tcBorders>
              <w:top w:val="single" w:color="000000" w:sz="4" w:space="0"/>
              <w:left w:val="single" w:color="000000" w:sz="4" w:space="0"/>
              <w:bottom w:val="single" w:color="000000" w:sz="4" w:space="0"/>
              <w:right w:val="single" w:color="000000" w:sz="4" w:space="0"/>
            </w:tcBorders>
            <w:vAlign w:val="center"/>
          </w:tcPr>
          <w:p w14:paraId="00C85087">
            <w:pPr>
              <w:widowControl/>
              <w:spacing w:line="360" w:lineRule="auto"/>
              <w:ind w:firstLine="0"/>
              <w:jc w:val="both"/>
              <w:textAlignment w:val="center"/>
              <w:rPr>
                <w:rFonts w:hint="eastAsia" w:asciiTheme="minorEastAsia" w:hAnsiTheme="minorEastAsia" w:eastAsiaTheme="minorEastAsia" w:cstheme="minorEastAsia"/>
                <w:color w:val="auto"/>
                <w:sz w:val="24"/>
                <w:highlight w:val="none"/>
              </w:rPr>
            </w:pPr>
            <w:r>
              <w:rPr>
                <w:rStyle w:val="320"/>
                <w:rFonts w:hint="eastAsia" w:asciiTheme="minorEastAsia" w:hAnsiTheme="minorEastAsia" w:eastAsiaTheme="minorEastAsia" w:cstheme="minorEastAsia"/>
                <w:color w:val="auto"/>
                <w:sz w:val="24"/>
                <w:szCs w:val="24"/>
                <w:highlight w:val="none"/>
                <w:lang w:bidi="ar"/>
              </w:rPr>
              <w:t>给定分值</w:t>
            </w:r>
          </w:p>
        </w:tc>
      </w:tr>
      <w:tr w14:paraId="13723995">
        <w:tblPrEx>
          <w:tblCellMar>
            <w:top w:w="0" w:type="dxa"/>
            <w:left w:w="108" w:type="dxa"/>
            <w:bottom w:w="0" w:type="dxa"/>
            <w:right w:w="108" w:type="dxa"/>
          </w:tblCellMar>
        </w:tblPrEx>
        <w:trPr>
          <w:trHeight w:val="560" w:hRule="atLeast"/>
          <w:jc w:val="center"/>
        </w:trPr>
        <w:tc>
          <w:tcPr>
            <w:tcW w:w="760" w:type="dxa"/>
            <w:tcBorders>
              <w:top w:val="single" w:color="000000" w:sz="4" w:space="0"/>
              <w:left w:val="single" w:color="000000" w:sz="4" w:space="0"/>
              <w:bottom w:val="single" w:color="000000" w:sz="4" w:space="0"/>
              <w:right w:val="single" w:color="000000" w:sz="4" w:space="0"/>
            </w:tcBorders>
            <w:vAlign w:val="center"/>
          </w:tcPr>
          <w:p w14:paraId="06DC675C">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w:t>
            </w:r>
          </w:p>
        </w:tc>
        <w:tc>
          <w:tcPr>
            <w:tcW w:w="801" w:type="dxa"/>
            <w:vMerge w:val="restart"/>
            <w:tcBorders>
              <w:top w:val="single" w:color="000000" w:sz="4" w:space="0"/>
              <w:left w:val="single" w:color="000000" w:sz="4" w:space="0"/>
              <w:bottom w:val="single" w:color="000000" w:sz="4" w:space="0"/>
              <w:right w:val="single" w:color="000000" w:sz="4" w:space="0"/>
            </w:tcBorders>
            <w:vAlign w:val="center"/>
          </w:tcPr>
          <w:p w14:paraId="5075E802">
            <w:pPr>
              <w:widowControl/>
              <w:spacing w:line="360" w:lineRule="auto"/>
              <w:ind w:firstLine="0"/>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客户服务</w:t>
            </w:r>
          </w:p>
        </w:tc>
        <w:tc>
          <w:tcPr>
            <w:tcW w:w="2167" w:type="dxa"/>
            <w:tcBorders>
              <w:top w:val="single" w:color="000000" w:sz="4" w:space="0"/>
              <w:left w:val="single" w:color="000000" w:sz="4" w:space="0"/>
              <w:bottom w:val="single" w:color="000000" w:sz="4" w:space="0"/>
              <w:right w:val="single" w:color="000000" w:sz="4" w:space="0"/>
            </w:tcBorders>
            <w:vAlign w:val="center"/>
          </w:tcPr>
          <w:p w14:paraId="56528408">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人员形象礼仪</w:t>
            </w:r>
          </w:p>
        </w:tc>
        <w:tc>
          <w:tcPr>
            <w:tcW w:w="4466" w:type="dxa"/>
            <w:tcBorders>
              <w:top w:val="single" w:color="000000" w:sz="4" w:space="0"/>
              <w:left w:val="single" w:color="000000" w:sz="4" w:space="0"/>
              <w:bottom w:val="single" w:color="000000" w:sz="4" w:space="0"/>
              <w:right w:val="single" w:color="000000" w:sz="4" w:space="0"/>
            </w:tcBorders>
            <w:vAlign w:val="center"/>
          </w:tcPr>
          <w:p w14:paraId="36A00D42">
            <w:pPr>
              <w:widowControl/>
              <w:spacing w:line="360" w:lineRule="auto"/>
              <w:ind w:firstLine="480"/>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着装统一，保持仪容整洁；精神饱满、用语文明礼貌，态度温和耐心。</w:t>
            </w:r>
          </w:p>
        </w:tc>
        <w:tc>
          <w:tcPr>
            <w:tcW w:w="734" w:type="dxa"/>
            <w:tcBorders>
              <w:top w:val="single" w:color="000000" w:sz="4" w:space="0"/>
              <w:left w:val="single" w:color="000000" w:sz="4" w:space="0"/>
              <w:bottom w:val="single" w:color="000000" w:sz="4" w:space="0"/>
              <w:right w:val="single" w:color="000000" w:sz="4" w:space="0"/>
            </w:tcBorders>
            <w:vAlign w:val="center"/>
          </w:tcPr>
          <w:p w14:paraId="35297B76">
            <w:pPr>
              <w:widowControl/>
              <w:spacing w:line="360" w:lineRule="auto"/>
              <w:ind w:firstLine="0"/>
              <w:jc w:val="both"/>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114D4CC9">
        <w:tblPrEx>
          <w:tblCellMar>
            <w:top w:w="0" w:type="dxa"/>
            <w:left w:w="108" w:type="dxa"/>
            <w:bottom w:w="0" w:type="dxa"/>
            <w:right w:w="108" w:type="dxa"/>
          </w:tblCellMar>
        </w:tblPrEx>
        <w:trPr>
          <w:trHeight w:val="560" w:hRule="atLeast"/>
          <w:jc w:val="center"/>
        </w:trPr>
        <w:tc>
          <w:tcPr>
            <w:tcW w:w="760" w:type="dxa"/>
            <w:tcBorders>
              <w:top w:val="single" w:color="000000" w:sz="4" w:space="0"/>
              <w:left w:val="single" w:color="000000" w:sz="4" w:space="0"/>
              <w:bottom w:val="single" w:color="000000" w:sz="4" w:space="0"/>
              <w:right w:val="single" w:color="000000" w:sz="4" w:space="0"/>
            </w:tcBorders>
            <w:vAlign w:val="center"/>
          </w:tcPr>
          <w:p w14:paraId="2017C932">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2</w:t>
            </w:r>
          </w:p>
        </w:tc>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4B8E4241">
            <w:pPr>
              <w:spacing w:line="360" w:lineRule="auto"/>
              <w:ind w:firstLine="480"/>
              <w:jc w:val="center"/>
              <w:rPr>
                <w:rFonts w:hint="eastAsia" w:asciiTheme="minorEastAsia" w:hAnsiTheme="minorEastAsia" w:eastAsiaTheme="minorEastAsia" w:cstheme="minorEastAsia"/>
                <w:color w:val="auto"/>
                <w:sz w:val="24"/>
                <w:highlight w:val="none"/>
              </w:rPr>
            </w:pPr>
          </w:p>
        </w:tc>
        <w:tc>
          <w:tcPr>
            <w:tcW w:w="2167" w:type="dxa"/>
            <w:vMerge w:val="restart"/>
            <w:tcBorders>
              <w:top w:val="single" w:color="000000" w:sz="4" w:space="0"/>
              <w:left w:val="single" w:color="000000" w:sz="4" w:space="0"/>
              <w:bottom w:val="single" w:color="000000" w:sz="4" w:space="0"/>
              <w:right w:val="single" w:color="000000" w:sz="4" w:space="0"/>
            </w:tcBorders>
            <w:vAlign w:val="center"/>
          </w:tcPr>
          <w:p w14:paraId="2B908F35">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客户服务</w:t>
            </w:r>
          </w:p>
        </w:tc>
        <w:tc>
          <w:tcPr>
            <w:tcW w:w="4466" w:type="dxa"/>
            <w:tcBorders>
              <w:top w:val="single" w:color="000000" w:sz="4" w:space="0"/>
              <w:left w:val="single" w:color="000000" w:sz="4" w:space="0"/>
              <w:bottom w:val="single" w:color="000000" w:sz="4" w:space="0"/>
              <w:right w:val="single" w:color="000000" w:sz="4" w:space="0"/>
            </w:tcBorders>
            <w:vAlign w:val="center"/>
          </w:tcPr>
          <w:p w14:paraId="63D2A4B1">
            <w:pPr>
              <w:widowControl/>
              <w:spacing w:line="360" w:lineRule="auto"/>
              <w:ind w:firstLine="480"/>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筹备期现场各方职能部门及供方工作沟通协调，协同筹备现场有序开展工作。</w:t>
            </w:r>
          </w:p>
        </w:tc>
        <w:tc>
          <w:tcPr>
            <w:tcW w:w="734" w:type="dxa"/>
            <w:tcBorders>
              <w:top w:val="single" w:color="000000" w:sz="4" w:space="0"/>
              <w:left w:val="single" w:color="000000" w:sz="4" w:space="0"/>
              <w:bottom w:val="single" w:color="000000" w:sz="4" w:space="0"/>
              <w:right w:val="single" w:color="000000" w:sz="4" w:space="0"/>
            </w:tcBorders>
            <w:vAlign w:val="center"/>
          </w:tcPr>
          <w:p w14:paraId="2304FC3C">
            <w:pPr>
              <w:widowControl/>
              <w:spacing w:line="360" w:lineRule="auto"/>
              <w:ind w:firstLine="0"/>
              <w:jc w:val="both"/>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415203CC">
        <w:tblPrEx>
          <w:tblCellMar>
            <w:top w:w="0" w:type="dxa"/>
            <w:left w:w="108" w:type="dxa"/>
            <w:bottom w:w="0" w:type="dxa"/>
            <w:right w:w="108" w:type="dxa"/>
          </w:tblCellMar>
        </w:tblPrEx>
        <w:trPr>
          <w:trHeight w:val="336" w:hRule="atLeast"/>
          <w:jc w:val="center"/>
        </w:trPr>
        <w:tc>
          <w:tcPr>
            <w:tcW w:w="760" w:type="dxa"/>
            <w:tcBorders>
              <w:top w:val="single" w:color="000000" w:sz="4" w:space="0"/>
              <w:left w:val="single" w:color="000000" w:sz="4" w:space="0"/>
              <w:bottom w:val="single" w:color="000000" w:sz="4" w:space="0"/>
              <w:right w:val="single" w:color="000000" w:sz="4" w:space="0"/>
            </w:tcBorders>
            <w:vAlign w:val="center"/>
          </w:tcPr>
          <w:p w14:paraId="5D877D54">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3</w:t>
            </w:r>
          </w:p>
        </w:tc>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31DFF634">
            <w:pPr>
              <w:spacing w:line="360" w:lineRule="auto"/>
              <w:ind w:firstLine="480"/>
              <w:jc w:val="center"/>
              <w:rPr>
                <w:rFonts w:hint="eastAsia" w:asciiTheme="minorEastAsia" w:hAnsiTheme="minorEastAsia" w:eastAsiaTheme="minorEastAsia" w:cstheme="minorEastAsia"/>
                <w:color w:val="auto"/>
                <w:sz w:val="24"/>
                <w:highlight w:val="none"/>
              </w:rPr>
            </w:pPr>
          </w:p>
        </w:tc>
        <w:tc>
          <w:tcPr>
            <w:tcW w:w="2167" w:type="dxa"/>
            <w:vMerge w:val="continue"/>
            <w:tcBorders>
              <w:top w:val="single" w:color="000000" w:sz="4" w:space="0"/>
              <w:left w:val="single" w:color="000000" w:sz="4" w:space="0"/>
              <w:bottom w:val="single" w:color="000000" w:sz="4" w:space="0"/>
              <w:right w:val="single" w:color="000000" w:sz="4" w:space="0"/>
            </w:tcBorders>
            <w:vAlign w:val="center"/>
          </w:tcPr>
          <w:p w14:paraId="77F4F7F0">
            <w:pPr>
              <w:spacing w:line="360" w:lineRule="auto"/>
              <w:ind w:firstLine="480"/>
              <w:jc w:val="center"/>
              <w:rPr>
                <w:rFonts w:hint="eastAsia" w:asciiTheme="minorEastAsia" w:hAnsiTheme="minorEastAsia" w:eastAsiaTheme="minorEastAsia" w:cstheme="minorEastAsia"/>
                <w:color w:val="auto"/>
                <w:sz w:val="24"/>
                <w:highlight w:val="none"/>
              </w:rPr>
            </w:pPr>
          </w:p>
        </w:tc>
        <w:tc>
          <w:tcPr>
            <w:tcW w:w="4466" w:type="dxa"/>
            <w:tcBorders>
              <w:top w:val="single" w:color="000000" w:sz="4" w:space="0"/>
              <w:left w:val="single" w:color="000000" w:sz="4" w:space="0"/>
              <w:bottom w:val="single" w:color="000000" w:sz="4" w:space="0"/>
              <w:right w:val="single" w:color="000000" w:sz="4" w:space="0"/>
            </w:tcBorders>
            <w:vAlign w:val="center"/>
          </w:tcPr>
          <w:p w14:paraId="0BD8A43B">
            <w:pPr>
              <w:widowControl/>
              <w:spacing w:line="360" w:lineRule="auto"/>
              <w:ind w:firstLine="480"/>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协同会务服务，根据主办方需求制定服务方案并实施。</w:t>
            </w:r>
          </w:p>
        </w:tc>
        <w:tc>
          <w:tcPr>
            <w:tcW w:w="734" w:type="dxa"/>
            <w:tcBorders>
              <w:top w:val="single" w:color="000000" w:sz="4" w:space="0"/>
              <w:left w:val="single" w:color="000000" w:sz="4" w:space="0"/>
              <w:bottom w:val="single" w:color="000000" w:sz="4" w:space="0"/>
              <w:right w:val="single" w:color="000000" w:sz="4" w:space="0"/>
            </w:tcBorders>
            <w:vAlign w:val="center"/>
          </w:tcPr>
          <w:p w14:paraId="11213098">
            <w:pPr>
              <w:widowControl/>
              <w:spacing w:line="360" w:lineRule="auto"/>
              <w:ind w:firstLine="0"/>
              <w:jc w:val="both"/>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309603CE">
        <w:tblPrEx>
          <w:tblCellMar>
            <w:top w:w="0" w:type="dxa"/>
            <w:left w:w="108" w:type="dxa"/>
            <w:bottom w:w="0" w:type="dxa"/>
            <w:right w:w="108" w:type="dxa"/>
          </w:tblCellMar>
        </w:tblPrEx>
        <w:trPr>
          <w:trHeight w:val="336" w:hRule="atLeast"/>
          <w:jc w:val="center"/>
        </w:trPr>
        <w:tc>
          <w:tcPr>
            <w:tcW w:w="760" w:type="dxa"/>
            <w:tcBorders>
              <w:top w:val="single" w:color="000000" w:sz="4" w:space="0"/>
              <w:left w:val="single" w:color="000000" w:sz="4" w:space="0"/>
              <w:bottom w:val="single" w:color="000000" w:sz="4" w:space="0"/>
              <w:right w:val="single" w:color="000000" w:sz="4" w:space="0"/>
            </w:tcBorders>
            <w:vAlign w:val="center"/>
          </w:tcPr>
          <w:p w14:paraId="02687504">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4</w:t>
            </w:r>
          </w:p>
        </w:tc>
        <w:tc>
          <w:tcPr>
            <w:tcW w:w="801" w:type="dxa"/>
            <w:vMerge w:val="restart"/>
            <w:tcBorders>
              <w:top w:val="single" w:color="000000" w:sz="4" w:space="0"/>
              <w:left w:val="single" w:color="000000" w:sz="4" w:space="0"/>
              <w:bottom w:val="single" w:color="000000" w:sz="4" w:space="0"/>
              <w:right w:val="single" w:color="000000" w:sz="4" w:space="0"/>
            </w:tcBorders>
            <w:vAlign w:val="center"/>
          </w:tcPr>
          <w:p w14:paraId="7C5DCE00">
            <w:pPr>
              <w:widowControl/>
              <w:spacing w:line="360" w:lineRule="auto"/>
              <w:ind w:firstLine="0"/>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房屋与设施设备管理</w:t>
            </w:r>
          </w:p>
        </w:tc>
        <w:tc>
          <w:tcPr>
            <w:tcW w:w="2167" w:type="dxa"/>
            <w:tcBorders>
              <w:top w:val="single" w:color="000000" w:sz="4" w:space="0"/>
              <w:left w:val="single" w:color="000000" w:sz="4" w:space="0"/>
              <w:bottom w:val="single" w:color="000000" w:sz="4" w:space="0"/>
              <w:right w:val="single" w:color="000000" w:sz="4" w:space="0"/>
            </w:tcBorders>
            <w:vAlign w:val="center"/>
          </w:tcPr>
          <w:p w14:paraId="35B4D502">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房屋本体管理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755C73A2">
            <w:pPr>
              <w:widowControl/>
              <w:spacing w:line="360" w:lineRule="auto"/>
              <w:ind w:firstLine="480"/>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现状管理，做好报修登记及跟进反馈。</w:t>
            </w:r>
          </w:p>
        </w:tc>
        <w:tc>
          <w:tcPr>
            <w:tcW w:w="734" w:type="dxa"/>
            <w:tcBorders>
              <w:top w:val="single" w:color="000000" w:sz="4" w:space="0"/>
              <w:left w:val="single" w:color="000000" w:sz="4" w:space="0"/>
              <w:bottom w:val="single" w:color="000000" w:sz="4" w:space="0"/>
              <w:right w:val="single" w:color="000000" w:sz="4" w:space="0"/>
            </w:tcBorders>
            <w:vAlign w:val="center"/>
          </w:tcPr>
          <w:p w14:paraId="76CCF9BF">
            <w:pPr>
              <w:widowControl/>
              <w:spacing w:line="360" w:lineRule="auto"/>
              <w:ind w:firstLine="0"/>
              <w:jc w:val="both"/>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77E6DB4C">
        <w:tblPrEx>
          <w:tblCellMar>
            <w:top w:w="0" w:type="dxa"/>
            <w:left w:w="108" w:type="dxa"/>
            <w:bottom w:w="0" w:type="dxa"/>
            <w:right w:w="108" w:type="dxa"/>
          </w:tblCellMar>
        </w:tblPrEx>
        <w:trPr>
          <w:trHeight w:val="336" w:hRule="atLeast"/>
          <w:jc w:val="center"/>
        </w:trPr>
        <w:tc>
          <w:tcPr>
            <w:tcW w:w="760" w:type="dxa"/>
            <w:tcBorders>
              <w:top w:val="single" w:color="000000" w:sz="4" w:space="0"/>
              <w:left w:val="single" w:color="000000" w:sz="4" w:space="0"/>
              <w:bottom w:val="single" w:color="000000" w:sz="4" w:space="0"/>
              <w:right w:val="single" w:color="000000" w:sz="4" w:space="0"/>
            </w:tcBorders>
            <w:vAlign w:val="center"/>
          </w:tcPr>
          <w:p w14:paraId="061CD393">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5</w:t>
            </w:r>
          </w:p>
        </w:tc>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1AED6ACC">
            <w:pPr>
              <w:spacing w:line="360" w:lineRule="auto"/>
              <w:ind w:firstLine="480"/>
              <w:jc w:val="center"/>
              <w:rPr>
                <w:rFonts w:hint="eastAsia" w:asciiTheme="minorEastAsia" w:hAnsiTheme="minorEastAsia" w:eastAsiaTheme="minorEastAsia" w:cstheme="minorEastAsia"/>
                <w:color w:val="auto"/>
                <w:sz w:val="24"/>
                <w:highlight w:val="none"/>
              </w:rPr>
            </w:pPr>
          </w:p>
        </w:tc>
        <w:tc>
          <w:tcPr>
            <w:tcW w:w="2167" w:type="dxa"/>
            <w:tcBorders>
              <w:top w:val="single" w:color="000000" w:sz="4" w:space="0"/>
              <w:left w:val="single" w:color="000000" w:sz="4" w:space="0"/>
              <w:bottom w:val="single" w:color="000000" w:sz="4" w:space="0"/>
              <w:right w:val="single" w:color="000000" w:sz="4" w:space="0"/>
            </w:tcBorders>
            <w:vAlign w:val="center"/>
          </w:tcPr>
          <w:p w14:paraId="2126D706">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房屋及共用设施管理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6A13BC85">
            <w:pPr>
              <w:widowControl/>
              <w:spacing w:line="360" w:lineRule="auto"/>
              <w:ind w:firstLine="480"/>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现状管理，做好报修登记及跟进反馈。</w:t>
            </w:r>
          </w:p>
        </w:tc>
        <w:tc>
          <w:tcPr>
            <w:tcW w:w="734" w:type="dxa"/>
            <w:tcBorders>
              <w:top w:val="single" w:color="000000" w:sz="4" w:space="0"/>
              <w:left w:val="single" w:color="000000" w:sz="4" w:space="0"/>
              <w:bottom w:val="single" w:color="000000" w:sz="4" w:space="0"/>
              <w:right w:val="single" w:color="000000" w:sz="4" w:space="0"/>
            </w:tcBorders>
            <w:vAlign w:val="center"/>
          </w:tcPr>
          <w:p w14:paraId="12343521">
            <w:pPr>
              <w:widowControl/>
              <w:spacing w:line="360" w:lineRule="auto"/>
              <w:ind w:firstLine="0"/>
              <w:jc w:val="both"/>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734C8A6C">
        <w:tblPrEx>
          <w:tblCellMar>
            <w:top w:w="0" w:type="dxa"/>
            <w:left w:w="108" w:type="dxa"/>
            <w:bottom w:w="0" w:type="dxa"/>
            <w:right w:w="108" w:type="dxa"/>
          </w:tblCellMar>
        </w:tblPrEx>
        <w:trPr>
          <w:trHeight w:val="560" w:hRule="atLeast"/>
          <w:jc w:val="center"/>
        </w:trPr>
        <w:tc>
          <w:tcPr>
            <w:tcW w:w="760" w:type="dxa"/>
            <w:tcBorders>
              <w:top w:val="single" w:color="000000" w:sz="4" w:space="0"/>
              <w:left w:val="single" w:color="000000" w:sz="4" w:space="0"/>
              <w:bottom w:val="single" w:color="000000" w:sz="4" w:space="0"/>
              <w:right w:val="single" w:color="000000" w:sz="4" w:space="0"/>
            </w:tcBorders>
            <w:vAlign w:val="center"/>
          </w:tcPr>
          <w:p w14:paraId="6E77E82B">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0912B9AD">
            <w:pPr>
              <w:spacing w:line="360" w:lineRule="auto"/>
              <w:ind w:firstLine="480"/>
              <w:jc w:val="center"/>
              <w:rPr>
                <w:rFonts w:hint="eastAsia" w:asciiTheme="minorEastAsia" w:hAnsiTheme="minorEastAsia" w:eastAsiaTheme="minorEastAsia" w:cstheme="minorEastAsia"/>
                <w:color w:val="auto"/>
                <w:sz w:val="24"/>
                <w:highlight w:val="none"/>
              </w:rPr>
            </w:pPr>
          </w:p>
        </w:tc>
        <w:tc>
          <w:tcPr>
            <w:tcW w:w="2167" w:type="dxa"/>
            <w:tcBorders>
              <w:top w:val="single" w:color="000000" w:sz="4" w:space="0"/>
              <w:left w:val="single" w:color="000000" w:sz="4" w:space="0"/>
              <w:bottom w:val="single" w:color="000000" w:sz="4" w:space="0"/>
              <w:right w:val="single" w:color="000000" w:sz="4" w:space="0"/>
            </w:tcBorders>
            <w:vAlign w:val="center"/>
          </w:tcPr>
          <w:p w14:paraId="2E69E5A9">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设施设备管理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2F9C46A2">
            <w:pPr>
              <w:widowControl/>
              <w:spacing w:line="360" w:lineRule="auto"/>
              <w:ind w:firstLine="480"/>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公区设施设备功能缺失的及时报修、登记及跟进反馈。</w:t>
            </w:r>
          </w:p>
        </w:tc>
        <w:tc>
          <w:tcPr>
            <w:tcW w:w="734" w:type="dxa"/>
            <w:tcBorders>
              <w:top w:val="single" w:color="000000" w:sz="4" w:space="0"/>
              <w:left w:val="single" w:color="000000" w:sz="4" w:space="0"/>
              <w:bottom w:val="single" w:color="000000" w:sz="4" w:space="0"/>
              <w:right w:val="single" w:color="000000" w:sz="4" w:space="0"/>
            </w:tcBorders>
            <w:vAlign w:val="center"/>
          </w:tcPr>
          <w:p w14:paraId="194E7E36">
            <w:pPr>
              <w:widowControl/>
              <w:spacing w:line="360" w:lineRule="auto"/>
              <w:ind w:firstLine="0"/>
              <w:jc w:val="both"/>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62159D15">
        <w:tblPrEx>
          <w:tblCellMar>
            <w:top w:w="0" w:type="dxa"/>
            <w:left w:w="108" w:type="dxa"/>
            <w:bottom w:w="0" w:type="dxa"/>
            <w:right w:w="108" w:type="dxa"/>
          </w:tblCellMar>
        </w:tblPrEx>
        <w:trPr>
          <w:trHeight w:val="336" w:hRule="atLeast"/>
          <w:jc w:val="center"/>
        </w:trPr>
        <w:tc>
          <w:tcPr>
            <w:tcW w:w="760" w:type="dxa"/>
            <w:tcBorders>
              <w:top w:val="single" w:color="000000" w:sz="4" w:space="0"/>
              <w:left w:val="single" w:color="000000" w:sz="4" w:space="0"/>
              <w:bottom w:val="single" w:color="000000" w:sz="4" w:space="0"/>
              <w:right w:val="single" w:color="000000" w:sz="4" w:space="0"/>
            </w:tcBorders>
            <w:vAlign w:val="center"/>
          </w:tcPr>
          <w:p w14:paraId="5A6742E6">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7</w:t>
            </w:r>
          </w:p>
        </w:tc>
        <w:tc>
          <w:tcPr>
            <w:tcW w:w="801" w:type="dxa"/>
            <w:vMerge w:val="restart"/>
            <w:tcBorders>
              <w:top w:val="single" w:color="000000" w:sz="4" w:space="0"/>
              <w:left w:val="single" w:color="000000" w:sz="4" w:space="0"/>
              <w:bottom w:val="single" w:color="000000" w:sz="4" w:space="0"/>
              <w:right w:val="single" w:color="000000" w:sz="4" w:space="0"/>
            </w:tcBorders>
            <w:vAlign w:val="center"/>
          </w:tcPr>
          <w:p w14:paraId="467E6086">
            <w:pPr>
              <w:widowControl/>
              <w:spacing w:line="360" w:lineRule="auto"/>
              <w:ind w:firstLine="0"/>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秩序维护管理</w:t>
            </w:r>
          </w:p>
        </w:tc>
        <w:tc>
          <w:tcPr>
            <w:tcW w:w="2167" w:type="dxa"/>
            <w:tcBorders>
              <w:top w:val="single" w:color="000000" w:sz="4" w:space="0"/>
              <w:left w:val="single" w:color="000000" w:sz="4" w:space="0"/>
              <w:bottom w:val="single" w:color="000000" w:sz="4" w:space="0"/>
              <w:right w:val="single" w:color="000000" w:sz="4" w:space="0"/>
            </w:tcBorders>
            <w:vAlign w:val="center"/>
          </w:tcPr>
          <w:p w14:paraId="7949CEE4">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出入与监控管理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1F92F558">
            <w:pPr>
              <w:widowControl/>
              <w:spacing w:line="360" w:lineRule="auto"/>
              <w:ind w:firstLine="480"/>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24h值班，对出入口的人员、车辆和物品进行管理和登记。</w:t>
            </w:r>
          </w:p>
        </w:tc>
        <w:tc>
          <w:tcPr>
            <w:tcW w:w="734" w:type="dxa"/>
            <w:tcBorders>
              <w:top w:val="single" w:color="000000" w:sz="4" w:space="0"/>
              <w:left w:val="single" w:color="000000" w:sz="4" w:space="0"/>
              <w:bottom w:val="single" w:color="000000" w:sz="4" w:space="0"/>
              <w:right w:val="single" w:color="000000" w:sz="4" w:space="0"/>
            </w:tcBorders>
            <w:vAlign w:val="center"/>
          </w:tcPr>
          <w:p w14:paraId="63DAF5D3">
            <w:pPr>
              <w:widowControl/>
              <w:spacing w:line="360" w:lineRule="auto"/>
              <w:ind w:firstLine="0"/>
              <w:jc w:val="both"/>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06DF38D0">
        <w:tblPrEx>
          <w:tblCellMar>
            <w:top w:w="0" w:type="dxa"/>
            <w:left w:w="108" w:type="dxa"/>
            <w:bottom w:w="0" w:type="dxa"/>
            <w:right w:w="108" w:type="dxa"/>
          </w:tblCellMar>
        </w:tblPrEx>
        <w:trPr>
          <w:trHeight w:val="336" w:hRule="atLeast"/>
          <w:jc w:val="center"/>
        </w:trPr>
        <w:tc>
          <w:tcPr>
            <w:tcW w:w="760" w:type="dxa"/>
            <w:tcBorders>
              <w:top w:val="single" w:color="000000" w:sz="4" w:space="0"/>
              <w:left w:val="single" w:color="000000" w:sz="4" w:space="0"/>
              <w:bottom w:val="single" w:color="000000" w:sz="4" w:space="0"/>
              <w:right w:val="single" w:color="000000" w:sz="4" w:space="0"/>
            </w:tcBorders>
            <w:vAlign w:val="center"/>
          </w:tcPr>
          <w:p w14:paraId="72380B03">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8</w:t>
            </w:r>
          </w:p>
        </w:tc>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6B0B70DE">
            <w:pPr>
              <w:spacing w:line="360" w:lineRule="auto"/>
              <w:ind w:firstLine="480"/>
              <w:jc w:val="center"/>
              <w:rPr>
                <w:rFonts w:hint="eastAsia" w:asciiTheme="minorEastAsia" w:hAnsiTheme="minorEastAsia" w:eastAsiaTheme="minorEastAsia" w:cstheme="minorEastAsia"/>
                <w:color w:val="auto"/>
                <w:sz w:val="24"/>
                <w:highlight w:val="none"/>
              </w:rPr>
            </w:pPr>
          </w:p>
        </w:tc>
        <w:tc>
          <w:tcPr>
            <w:tcW w:w="2167" w:type="dxa"/>
            <w:tcBorders>
              <w:top w:val="single" w:color="000000" w:sz="4" w:space="0"/>
              <w:left w:val="single" w:color="000000" w:sz="4" w:space="0"/>
              <w:bottom w:val="single" w:color="000000" w:sz="4" w:space="0"/>
              <w:right w:val="single" w:color="000000" w:sz="4" w:space="0"/>
            </w:tcBorders>
            <w:vAlign w:val="center"/>
          </w:tcPr>
          <w:p w14:paraId="30F5DB60">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巡查管理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62EDCCE9">
            <w:pPr>
              <w:widowControl/>
              <w:spacing w:line="360" w:lineRule="auto"/>
              <w:ind w:firstLine="480"/>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应根据现场情况合理制定巡查路线，定期巡查并做好记录保存。</w:t>
            </w:r>
          </w:p>
        </w:tc>
        <w:tc>
          <w:tcPr>
            <w:tcW w:w="734" w:type="dxa"/>
            <w:tcBorders>
              <w:top w:val="single" w:color="000000" w:sz="4" w:space="0"/>
              <w:left w:val="single" w:color="000000" w:sz="4" w:space="0"/>
              <w:bottom w:val="single" w:color="000000" w:sz="4" w:space="0"/>
              <w:right w:val="single" w:color="000000" w:sz="4" w:space="0"/>
            </w:tcBorders>
            <w:vAlign w:val="center"/>
          </w:tcPr>
          <w:p w14:paraId="57DAFB15">
            <w:pPr>
              <w:widowControl/>
              <w:spacing w:line="360" w:lineRule="auto"/>
              <w:ind w:firstLine="0"/>
              <w:jc w:val="both"/>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27747B10">
        <w:tblPrEx>
          <w:tblCellMar>
            <w:top w:w="0" w:type="dxa"/>
            <w:left w:w="108" w:type="dxa"/>
            <w:bottom w:w="0" w:type="dxa"/>
            <w:right w:w="108" w:type="dxa"/>
          </w:tblCellMar>
        </w:tblPrEx>
        <w:trPr>
          <w:trHeight w:val="336" w:hRule="atLeast"/>
          <w:jc w:val="center"/>
        </w:trPr>
        <w:tc>
          <w:tcPr>
            <w:tcW w:w="760" w:type="dxa"/>
            <w:tcBorders>
              <w:top w:val="single" w:color="000000" w:sz="4" w:space="0"/>
              <w:left w:val="single" w:color="000000" w:sz="4" w:space="0"/>
              <w:bottom w:val="single" w:color="000000" w:sz="4" w:space="0"/>
              <w:right w:val="single" w:color="000000" w:sz="4" w:space="0"/>
            </w:tcBorders>
            <w:vAlign w:val="center"/>
          </w:tcPr>
          <w:p w14:paraId="3C93316B">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9</w:t>
            </w:r>
          </w:p>
        </w:tc>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75DBB600">
            <w:pPr>
              <w:spacing w:line="360" w:lineRule="auto"/>
              <w:ind w:firstLine="480"/>
              <w:jc w:val="center"/>
              <w:rPr>
                <w:rFonts w:hint="eastAsia" w:asciiTheme="minorEastAsia" w:hAnsiTheme="minorEastAsia" w:eastAsiaTheme="minorEastAsia" w:cstheme="minorEastAsia"/>
                <w:color w:val="auto"/>
                <w:sz w:val="24"/>
                <w:highlight w:val="none"/>
              </w:rPr>
            </w:pPr>
          </w:p>
        </w:tc>
        <w:tc>
          <w:tcPr>
            <w:tcW w:w="2167" w:type="dxa"/>
            <w:tcBorders>
              <w:top w:val="single" w:color="000000" w:sz="4" w:space="0"/>
              <w:left w:val="single" w:color="000000" w:sz="4" w:space="0"/>
              <w:bottom w:val="single" w:color="000000" w:sz="4" w:space="0"/>
              <w:right w:val="single" w:color="000000" w:sz="4" w:space="0"/>
            </w:tcBorders>
            <w:vAlign w:val="center"/>
          </w:tcPr>
          <w:p w14:paraId="08E21FEE">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消防管理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65EF9FBC">
            <w:pPr>
              <w:widowControl/>
              <w:spacing w:line="360" w:lineRule="auto"/>
              <w:ind w:firstLine="480"/>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现状管理，消防设施调试完成移交后，按合同服务约定执行。</w:t>
            </w:r>
          </w:p>
        </w:tc>
        <w:tc>
          <w:tcPr>
            <w:tcW w:w="734" w:type="dxa"/>
            <w:tcBorders>
              <w:top w:val="single" w:color="000000" w:sz="4" w:space="0"/>
              <w:left w:val="single" w:color="000000" w:sz="4" w:space="0"/>
              <w:bottom w:val="single" w:color="000000" w:sz="4" w:space="0"/>
              <w:right w:val="single" w:color="000000" w:sz="4" w:space="0"/>
            </w:tcBorders>
            <w:vAlign w:val="center"/>
          </w:tcPr>
          <w:p w14:paraId="34CFEAEE">
            <w:pPr>
              <w:widowControl/>
              <w:spacing w:line="360" w:lineRule="auto"/>
              <w:ind w:firstLine="0"/>
              <w:jc w:val="both"/>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13B80975">
        <w:tblPrEx>
          <w:tblCellMar>
            <w:top w:w="0" w:type="dxa"/>
            <w:left w:w="108" w:type="dxa"/>
            <w:bottom w:w="0" w:type="dxa"/>
            <w:right w:w="108" w:type="dxa"/>
          </w:tblCellMar>
        </w:tblPrEx>
        <w:trPr>
          <w:trHeight w:val="336" w:hRule="atLeast"/>
          <w:jc w:val="center"/>
        </w:trPr>
        <w:tc>
          <w:tcPr>
            <w:tcW w:w="760" w:type="dxa"/>
            <w:tcBorders>
              <w:top w:val="single" w:color="000000" w:sz="4" w:space="0"/>
              <w:left w:val="single" w:color="000000" w:sz="4" w:space="0"/>
              <w:bottom w:val="single" w:color="000000" w:sz="4" w:space="0"/>
              <w:right w:val="single" w:color="000000" w:sz="4" w:space="0"/>
            </w:tcBorders>
            <w:vAlign w:val="center"/>
          </w:tcPr>
          <w:p w14:paraId="3AA1DD0B">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10</w:t>
            </w:r>
          </w:p>
        </w:tc>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6EA9CCBB">
            <w:pPr>
              <w:spacing w:line="360" w:lineRule="auto"/>
              <w:ind w:firstLine="480"/>
              <w:jc w:val="center"/>
              <w:rPr>
                <w:rFonts w:hint="eastAsia" w:asciiTheme="minorEastAsia" w:hAnsiTheme="minorEastAsia" w:eastAsiaTheme="minorEastAsia" w:cstheme="minorEastAsia"/>
                <w:color w:val="auto"/>
                <w:sz w:val="24"/>
                <w:highlight w:val="none"/>
              </w:rPr>
            </w:pPr>
          </w:p>
        </w:tc>
        <w:tc>
          <w:tcPr>
            <w:tcW w:w="2167" w:type="dxa"/>
            <w:tcBorders>
              <w:top w:val="single" w:color="000000" w:sz="4" w:space="0"/>
              <w:left w:val="single" w:color="000000" w:sz="4" w:space="0"/>
              <w:bottom w:val="single" w:color="000000" w:sz="4" w:space="0"/>
              <w:right w:val="single" w:color="000000" w:sz="4" w:space="0"/>
            </w:tcBorders>
            <w:vAlign w:val="center"/>
          </w:tcPr>
          <w:p w14:paraId="032004B1">
            <w:pPr>
              <w:widowControl/>
              <w:spacing w:line="360" w:lineRule="auto"/>
              <w:ind w:firstLine="480"/>
              <w:jc w:val="both"/>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停车管理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7E60BD5C">
            <w:pPr>
              <w:widowControl/>
              <w:spacing w:line="360" w:lineRule="auto"/>
              <w:ind w:firstLine="480"/>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引导车辆在</w:t>
            </w:r>
            <w:bookmarkStart w:id="494" w:name="OLE_LINK7"/>
            <w:r>
              <w:rPr>
                <w:rFonts w:hint="eastAsia" w:asciiTheme="minorEastAsia" w:hAnsiTheme="minorEastAsia" w:eastAsiaTheme="minorEastAsia" w:cstheme="minorEastAsia"/>
                <w:color w:val="auto"/>
                <w:kern w:val="0"/>
                <w:sz w:val="24"/>
                <w:highlight w:val="none"/>
                <w:lang w:bidi="ar"/>
              </w:rPr>
              <w:t>所委托资产范围内</w:t>
            </w:r>
            <w:bookmarkEnd w:id="494"/>
            <w:r>
              <w:rPr>
                <w:rFonts w:hint="eastAsia" w:asciiTheme="minorEastAsia" w:hAnsiTheme="minorEastAsia" w:eastAsiaTheme="minorEastAsia" w:cstheme="minorEastAsia"/>
                <w:color w:val="auto"/>
                <w:kern w:val="0"/>
                <w:sz w:val="24"/>
                <w:highlight w:val="none"/>
                <w:lang w:bidi="ar"/>
              </w:rPr>
              <w:t>指定区域停放车辆，非指定区域搬运物资即停即走。</w:t>
            </w:r>
          </w:p>
        </w:tc>
        <w:tc>
          <w:tcPr>
            <w:tcW w:w="734" w:type="dxa"/>
            <w:tcBorders>
              <w:top w:val="single" w:color="000000" w:sz="4" w:space="0"/>
              <w:left w:val="single" w:color="000000" w:sz="4" w:space="0"/>
              <w:bottom w:val="single" w:color="000000" w:sz="4" w:space="0"/>
              <w:right w:val="single" w:color="000000" w:sz="4" w:space="0"/>
            </w:tcBorders>
            <w:vAlign w:val="center"/>
          </w:tcPr>
          <w:p w14:paraId="604D6211">
            <w:pPr>
              <w:widowControl/>
              <w:spacing w:line="360" w:lineRule="auto"/>
              <w:ind w:firstLine="0"/>
              <w:jc w:val="both"/>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5F18DC19">
        <w:tblPrEx>
          <w:tblCellMar>
            <w:top w:w="0" w:type="dxa"/>
            <w:left w:w="108" w:type="dxa"/>
            <w:bottom w:w="0" w:type="dxa"/>
            <w:right w:w="108" w:type="dxa"/>
          </w:tblCellMar>
        </w:tblPrEx>
        <w:trPr>
          <w:trHeight w:val="560" w:hRule="atLeast"/>
          <w:jc w:val="center"/>
        </w:trPr>
        <w:tc>
          <w:tcPr>
            <w:tcW w:w="760" w:type="dxa"/>
            <w:tcBorders>
              <w:top w:val="single" w:color="000000" w:sz="4" w:space="0"/>
              <w:left w:val="single" w:color="000000" w:sz="4" w:space="0"/>
              <w:bottom w:val="single" w:color="000000" w:sz="4" w:space="0"/>
              <w:right w:val="single" w:color="000000" w:sz="4" w:space="0"/>
            </w:tcBorders>
            <w:vAlign w:val="center"/>
          </w:tcPr>
          <w:p w14:paraId="164F9AD5">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11</w:t>
            </w:r>
          </w:p>
        </w:tc>
        <w:tc>
          <w:tcPr>
            <w:tcW w:w="801" w:type="dxa"/>
            <w:vMerge w:val="restart"/>
            <w:tcBorders>
              <w:top w:val="single" w:color="000000" w:sz="4" w:space="0"/>
              <w:left w:val="single" w:color="000000" w:sz="4" w:space="0"/>
              <w:bottom w:val="single" w:color="000000" w:sz="4" w:space="0"/>
              <w:right w:val="single" w:color="000000" w:sz="4" w:space="0"/>
            </w:tcBorders>
            <w:vAlign w:val="center"/>
          </w:tcPr>
          <w:p w14:paraId="06F3A23E">
            <w:pPr>
              <w:widowControl/>
              <w:spacing w:line="360" w:lineRule="auto"/>
              <w:ind w:firstLine="0"/>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环境卫生服务</w:t>
            </w:r>
          </w:p>
        </w:tc>
        <w:tc>
          <w:tcPr>
            <w:tcW w:w="2167" w:type="dxa"/>
            <w:tcBorders>
              <w:top w:val="single" w:color="000000" w:sz="4" w:space="0"/>
              <w:left w:val="single" w:color="000000" w:sz="4" w:space="0"/>
              <w:bottom w:val="single" w:color="000000" w:sz="4" w:space="0"/>
              <w:right w:val="single" w:color="000000" w:sz="4" w:space="0"/>
            </w:tcBorders>
            <w:vAlign w:val="center"/>
          </w:tcPr>
          <w:p w14:paraId="4BA3D53A">
            <w:pPr>
              <w:widowControl/>
              <w:spacing w:line="360" w:lineRule="auto"/>
              <w:ind w:firstLine="480"/>
              <w:jc w:val="both"/>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保洁管理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6737EE74">
            <w:pPr>
              <w:widowControl/>
              <w:spacing w:line="360" w:lineRule="auto"/>
              <w:ind w:firstLine="480"/>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楼栋外公区保洁满足合同约定服务标准；楼栋内封闭状态，现状管理，局部区域开放按精清洁标准日常维护。</w:t>
            </w:r>
          </w:p>
        </w:tc>
        <w:tc>
          <w:tcPr>
            <w:tcW w:w="734" w:type="dxa"/>
            <w:tcBorders>
              <w:top w:val="single" w:color="000000" w:sz="4" w:space="0"/>
              <w:left w:val="single" w:color="000000" w:sz="4" w:space="0"/>
              <w:bottom w:val="single" w:color="000000" w:sz="4" w:space="0"/>
              <w:right w:val="single" w:color="000000" w:sz="4" w:space="0"/>
            </w:tcBorders>
            <w:vAlign w:val="center"/>
          </w:tcPr>
          <w:p w14:paraId="67C3D6EB">
            <w:pPr>
              <w:widowControl/>
              <w:spacing w:line="360" w:lineRule="auto"/>
              <w:ind w:firstLine="0"/>
              <w:jc w:val="both"/>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7E9A3F15">
        <w:tblPrEx>
          <w:tblCellMar>
            <w:top w:w="0" w:type="dxa"/>
            <w:left w:w="108" w:type="dxa"/>
            <w:bottom w:w="0" w:type="dxa"/>
            <w:right w:w="108" w:type="dxa"/>
          </w:tblCellMar>
        </w:tblPrEx>
        <w:trPr>
          <w:trHeight w:val="336" w:hRule="atLeast"/>
          <w:jc w:val="center"/>
        </w:trPr>
        <w:tc>
          <w:tcPr>
            <w:tcW w:w="760" w:type="dxa"/>
            <w:tcBorders>
              <w:top w:val="single" w:color="000000" w:sz="4" w:space="0"/>
              <w:left w:val="single" w:color="000000" w:sz="4" w:space="0"/>
              <w:bottom w:val="single" w:color="000000" w:sz="4" w:space="0"/>
              <w:right w:val="single" w:color="000000" w:sz="4" w:space="0"/>
            </w:tcBorders>
            <w:vAlign w:val="center"/>
          </w:tcPr>
          <w:p w14:paraId="57C0860B">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12</w:t>
            </w:r>
          </w:p>
        </w:tc>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0FE34178">
            <w:pPr>
              <w:spacing w:line="360" w:lineRule="auto"/>
              <w:ind w:firstLine="480"/>
              <w:jc w:val="center"/>
              <w:rPr>
                <w:rFonts w:hint="eastAsia" w:asciiTheme="minorEastAsia" w:hAnsiTheme="minorEastAsia" w:eastAsiaTheme="minorEastAsia" w:cstheme="minorEastAsia"/>
                <w:color w:val="auto"/>
                <w:sz w:val="24"/>
                <w:highlight w:val="none"/>
              </w:rPr>
            </w:pPr>
          </w:p>
        </w:tc>
        <w:tc>
          <w:tcPr>
            <w:tcW w:w="2167" w:type="dxa"/>
            <w:tcBorders>
              <w:top w:val="single" w:color="000000" w:sz="4" w:space="0"/>
              <w:left w:val="single" w:color="000000" w:sz="4" w:space="0"/>
              <w:bottom w:val="single" w:color="000000" w:sz="4" w:space="0"/>
              <w:right w:val="single" w:color="000000" w:sz="4" w:space="0"/>
            </w:tcBorders>
            <w:vAlign w:val="center"/>
          </w:tcPr>
          <w:p w14:paraId="1C535A88">
            <w:pPr>
              <w:widowControl/>
              <w:spacing w:line="360" w:lineRule="auto"/>
              <w:ind w:firstLine="480"/>
              <w:jc w:val="both"/>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垃圾管理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44C4E740">
            <w:pPr>
              <w:widowControl/>
              <w:spacing w:line="360" w:lineRule="auto"/>
              <w:ind w:firstLine="480"/>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符合当地垃圾分类政策相关标准及要求；垃圾日产日清。</w:t>
            </w:r>
          </w:p>
        </w:tc>
        <w:tc>
          <w:tcPr>
            <w:tcW w:w="734" w:type="dxa"/>
            <w:tcBorders>
              <w:top w:val="single" w:color="000000" w:sz="4" w:space="0"/>
              <w:left w:val="single" w:color="000000" w:sz="4" w:space="0"/>
              <w:bottom w:val="single" w:color="000000" w:sz="4" w:space="0"/>
              <w:right w:val="single" w:color="000000" w:sz="4" w:space="0"/>
            </w:tcBorders>
            <w:vAlign w:val="center"/>
          </w:tcPr>
          <w:p w14:paraId="50E865E7">
            <w:pPr>
              <w:widowControl/>
              <w:spacing w:line="360" w:lineRule="auto"/>
              <w:ind w:firstLine="0"/>
              <w:jc w:val="both"/>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583CA16C">
        <w:tblPrEx>
          <w:tblCellMar>
            <w:top w:w="0" w:type="dxa"/>
            <w:left w:w="108" w:type="dxa"/>
            <w:bottom w:w="0" w:type="dxa"/>
            <w:right w:w="108" w:type="dxa"/>
          </w:tblCellMar>
        </w:tblPrEx>
        <w:trPr>
          <w:trHeight w:val="336" w:hRule="atLeast"/>
          <w:jc w:val="center"/>
        </w:trPr>
        <w:tc>
          <w:tcPr>
            <w:tcW w:w="760" w:type="dxa"/>
            <w:tcBorders>
              <w:top w:val="single" w:color="000000" w:sz="4" w:space="0"/>
              <w:left w:val="single" w:color="000000" w:sz="4" w:space="0"/>
              <w:bottom w:val="single" w:color="000000" w:sz="4" w:space="0"/>
              <w:right w:val="single" w:color="000000" w:sz="4" w:space="0"/>
            </w:tcBorders>
            <w:vAlign w:val="center"/>
          </w:tcPr>
          <w:p w14:paraId="7E73059B">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13</w:t>
            </w:r>
          </w:p>
        </w:tc>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1DAB0A9D">
            <w:pPr>
              <w:spacing w:line="360" w:lineRule="auto"/>
              <w:ind w:firstLine="480"/>
              <w:jc w:val="center"/>
              <w:rPr>
                <w:rFonts w:hint="eastAsia" w:asciiTheme="minorEastAsia" w:hAnsiTheme="minorEastAsia" w:eastAsiaTheme="minorEastAsia" w:cstheme="minorEastAsia"/>
                <w:color w:val="auto"/>
                <w:sz w:val="24"/>
                <w:highlight w:val="none"/>
              </w:rPr>
            </w:pPr>
          </w:p>
        </w:tc>
        <w:tc>
          <w:tcPr>
            <w:tcW w:w="2167" w:type="dxa"/>
            <w:tcBorders>
              <w:top w:val="single" w:color="000000" w:sz="4" w:space="0"/>
              <w:left w:val="single" w:color="000000" w:sz="4" w:space="0"/>
              <w:bottom w:val="single" w:color="000000" w:sz="4" w:space="0"/>
              <w:right w:val="single" w:color="000000" w:sz="4" w:space="0"/>
            </w:tcBorders>
            <w:vAlign w:val="center"/>
          </w:tcPr>
          <w:p w14:paraId="45C2F3E3">
            <w:pPr>
              <w:widowControl/>
              <w:spacing w:line="360" w:lineRule="auto"/>
              <w:ind w:firstLine="480"/>
              <w:jc w:val="both"/>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绿化管理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631336E9">
            <w:pPr>
              <w:widowControl/>
              <w:spacing w:line="360" w:lineRule="auto"/>
              <w:ind w:firstLine="480"/>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现状管理，植物修剪整齐，无杂物、垃圾。</w:t>
            </w:r>
          </w:p>
        </w:tc>
        <w:tc>
          <w:tcPr>
            <w:tcW w:w="734" w:type="dxa"/>
            <w:tcBorders>
              <w:top w:val="single" w:color="000000" w:sz="4" w:space="0"/>
              <w:left w:val="single" w:color="000000" w:sz="4" w:space="0"/>
              <w:bottom w:val="single" w:color="000000" w:sz="4" w:space="0"/>
              <w:right w:val="single" w:color="000000" w:sz="4" w:space="0"/>
            </w:tcBorders>
            <w:vAlign w:val="center"/>
          </w:tcPr>
          <w:p w14:paraId="732E749D">
            <w:pPr>
              <w:widowControl/>
              <w:spacing w:line="360" w:lineRule="auto"/>
              <w:ind w:firstLine="0"/>
              <w:jc w:val="both"/>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1A3A66DD">
        <w:tblPrEx>
          <w:tblCellMar>
            <w:top w:w="0" w:type="dxa"/>
            <w:left w:w="108" w:type="dxa"/>
            <w:bottom w:w="0" w:type="dxa"/>
            <w:right w:w="108" w:type="dxa"/>
          </w:tblCellMar>
        </w:tblPrEx>
        <w:trPr>
          <w:trHeight w:val="336" w:hRule="atLeast"/>
          <w:jc w:val="center"/>
        </w:trPr>
        <w:tc>
          <w:tcPr>
            <w:tcW w:w="760" w:type="dxa"/>
            <w:tcBorders>
              <w:top w:val="single" w:color="000000" w:sz="4" w:space="0"/>
              <w:left w:val="single" w:color="000000" w:sz="4" w:space="0"/>
              <w:bottom w:val="single" w:color="000000" w:sz="4" w:space="0"/>
              <w:right w:val="single" w:color="000000" w:sz="4" w:space="0"/>
            </w:tcBorders>
            <w:vAlign w:val="center"/>
          </w:tcPr>
          <w:p w14:paraId="290985C7">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14</w:t>
            </w:r>
          </w:p>
        </w:tc>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6D5DD917">
            <w:pPr>
              <w:spacing w:line="360" w:lineRule="auto"/>
              <w:ind w:firstLine="480"/>
              <w:jc w:val="center"/>
              <w:rPr>
                <w:rFonts w:hint="eastAsia" w:asciiTheme="minorEastAsia" w:hAnsiTheme="minorEastAsia" w:eastAsiaTheme="minorEastAsia" w:cstheme="minorEastAsia"/>
                <w:color w:val="auto"/>
                <w:sz w:val="24"/>
                <w:highlight w:val="none"/>
              </w:rPr>
            </w:pPr>
          </w:p>
        </w:tc>
        <w:tc>
          <w:tcPr>
            <w:tcW w:w="2167" w:type="dxa"/>
            <w:tcBorders>
              <w:top w:val="single" w:color="000000" w:sz="4" w:space="0"/>
              <w:left w:val="single" w:color="000000" w:sz="4" w:space="0"/>
              <w:bottom w:val="single" w:color="000000" w:sz="4" w:space="0"/>
              <w:right w:val="single" w:color="000000" w:sz="4" w:space="0"/>
            </w:tcBorders>
            <w:vAlign w:val="center"/>
          </w:tcPr>
          <w:p w14:paraId="445E313B">
            <w:pPr>
              <w:widowControl/>
              <w:spacing w:line="360" w:lineRule="auto"/>
              <w:ind w:firstLine="480"/>
              <w:jc w:val="both"/>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消杀管理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6C93713C">
            <w:pPr>
              <w:widowControl/>
              <w:spacing w:line="360" w:lineRule="auto"/>
              <w:ind w:firstLine="480"/>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公共区域定期做防虫及消杀工作，并记录。</w:t>
            </w:r>
          </w:p>
        </w:tc>
        <w:tc>
          <w:tcPr>
            <w:tcW w:w="734" w:type="dxa"/>
            <w:tcBorders>
              <w:top w:val="single" w:color="000000" w:sz="4" w:space="0"/>
              <w:left w:val="single" w:color="000000" w:sz="4" w:space="0"/>
              <w:bottom w:val="single" w:color="000000" w:sz="4" w:space="0"/>
              <w:right w:val="single" w:color="000000" w:sz="4" w:space="0"/>
            </w:tcBorders>
            <w:vAlign w:val="center"/>
          </w:tcPr>
          <w:p w14:paraId="6F6BEB9A">
            <w:pPr>
              <w:widowControl/>
              <w:spacing w:line="360" w:lineRule="auto"/>
              <w:ind w:firstLine="0"/>
              <w:jc w:val="both"/>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42F05088">
        <w:tblPrEx>
          <w:tblCellMar>
            <w:top w:w="0" w:type="dxa"/>
            <w:left w:w="108" w:type="dxa"/>
            <w:bottom w:w="0" w:type="dxa"/>
            <w:right w:w="108" w:type="dxa"/>
          </w:tblCellMar>
        </w:tblPrEx>
        <w:trPr>
          <w:trHeight w:val="340" w:hRule="atLeast"/>
          <w:jc w:val="center"/>
        </w:trPr>
        <w:tc>
          <w:tcPr>
            <w:tcW w:w="760" w:type="dxa"/>
            <w:tcBorders>
              <w:top w:val="single" w:color="000000" w:sz="4" w:space="0"/>
              <w:left w:val="single" w:color="000000" w:sz="4" w:space="0"/>
              <w:bottom w:val="single" w:color="000000" w:sz="4" w:space="0"/>
              <w:right w:val="single" w:color="000000" w:sz="4" w:space="0"/>
            </w:tcBorders>
            <w:vAlign w:val="center"/>
          </w:tcPr>
          <w:p w14:paraId="4D88DFC3">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15</w:t>
            </w:r>
          </w:p>
        </w:tc>
        <w:tc>
          <w:tcPr>
            <w:tcW w:w="801" w:type="dxa"/>
            <w:tcBorders>
              <w:top w:val="single" w:color="000000" w:sz="4" w:space="0"/>
              <w:left w:val="single" w:color="000000" w:sz="4" w:space="0"/>
              <w:bottom w:val="single" w:color="000000" w:sz="4" w:space="0"/>
              <w:right w:val="single" w:color="000000" w:sz="4" w:space="0"/>
            </w:tcBorders>
            <w:vAlign w:val="center"/>
          </w:tcPr>
          <w:p w14:paraId="16FD0D84">
            <w:pPr>
              <w:widowControl/>
              <w:spacing w:line="360" w:lineRule="auto"/>
              <w:ind w:firstLine="0"/>
              <w:jc w:val="center"/>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其他</w:t>
            </w:r>
          </w:p>
        </w:tc>
        <w:tc>
          <w:tcPr>
            <w:tcW w:w="2167" w:type="dxa"/>
            <w:tcBorders>
              <w:top w:val="single" w:color="000000" w:sz="4" w:space="0"/>
              <w:left w:val="single" w:color="000000" w:sz="4" w:space="0"/>
              <w:bottom w:val="single" w:color="000000" w:sz="4" w:space="0"/>
              <w:right w:val="single" w:color="000000" w:sz="4" w:space="0"/>
            </w:tcBorders>
            <w:vAlign w:val="center"/>
          </w:tcPr>
          <w:p w14:paraId="04FC33FC">
            <w:pPr>
              <w:widowControl/>
              <w:spacing w:line="360" w:lineRule="auto"/>
              <w:ind w:firstLine="480"/>
              <w:jc w:val="both"/>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施工管理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5A62F268">
            <w:pPr>
              <w:widowControl/>
              <w:spacing w:line="360" w:lineRule="auto"/>
              <w:ind w:firstLine="480"/>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做好相关施工现场管理，做好登记及现场安全管理。</w:t>
            </w:r>
          </w:p>
        </w:tc>
        <w:tc>
          <w:tcPr>
            <w:tcW w:w="734" w:type="dxa"/>
            <w:tcBorders>
              <w:top w:val="single" w:color="000000" w:sz="4" w:space="0"/>
              <w:left w:val="single" w:color="000000" w:sz="4" w:space="0"/>
              <w:bottom w:val="single" w:color="000000" w:sz="4" w:space="0"/>
              <w:right w:val="single" w:color="000000" w:sz="4" w:space="0"/>
            </w:tcBorders>
            <w:vAlign w:val="center"/>
          </w:tcPr>
          <w:p w14:paraId="20FA71E6">
            <w:pPr>
              <w:widowControl/>
              <w:spacing w:line="360" w:lineRule="auto"/>
              <w:ind w:firstLine="0"/>
              <w:jc w:val="both"/>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15B70610">
        <w:tblPrEx>
          <w:tblCellMar>
            <w:top w:w="0" w:type="dxa"/>
            <w:left w:w="108" w:type="dxa"/>
            <w:bottom w:w="0" w:type="dxa"/>
            <w:right w:w="108" w:type="dxa"/>
          </w:tblCellMar>
        </w:tblPrEx>
        <w:trPr>
          <w:trHeight w:val="336" w:hRule="atLeast"/>
          <w:jc w:val="center"/>
        </w:trPr>
        <w:tc>
          <w:tcPr>
            <w:tcW w:w="8194" w:type="dxa"/>
            <w:gridSpan w:val="4"/>
            <w:tcBorders>
              <w:top w:val="single" w:color="000000" w:sz="4" w:space="0"/>
              <w:left w:val="single" w:color="000000" w:sz="4" w:space="0"/>
              <w:bottom w:val="single" w:color="000000" w:sz="4" w:space="0"/>
              <w:right w:val="single" w:color="000000" w:sz="4" w:space="0"/>
            </w:tcBorders>
            <w:vAlign w:val="center"/>
          </w:tcPr>
          <w:p w14:paraId="184E524B">
            <w:pPr>
              <w:widowControl/>
              <w:spacing w:line="360" w:lineRule="auto"/>
              <w:ind w:firstLine="480"/>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合计</w:t>
            </w:r>
          </w:p>
        </w:tc>
        <w:tc>
          <w:tcPr>
            <w:tcW w:w="734" w:type="dxa"/>
            <w:tcBorders>
              <w:top w:val="single" w:color="000000" w:sz="4" w:space="0"/>
              <w:left w:val="single" w:color="000000" w:sz="4" w:space="0"/>
              <w:bottom w:val="single" w:color="000000" w:sz="4" w:space="0"/>
              <w:right w:val="single" w:color="000000" w:sz="4" w:space="0"/>
            </w:tcBorders>
            <w:vAlign w:val="center"/>
          </w:tcPr>
          <w:p w14:paraId="0FB7B568">
            <w:pPr>
              <w:widowControl/>
              <w:spacing w:line="360" w:lineRule="auto"/>
              <w:ind w:firstLine="0"/>
              <w:jc w:val="both"/>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150 </w:t>
            </w:r>
          </w:p>
        </w:tc>
      </w:tr>
      <w:bookmarkEnd w:id="493"/>
    </w:tbl>
    <w:p w14:paraId="29705EE4">
      <w:pPr>
        <w:pStyle w:val="27"/>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服务测评标准采取“扣分制”和“扣款制”相结合的办法，考核总分150分，考核结果大于等于130分认定为合格，不扣款；考核结果为80（含）~130分（不含）认定为待改进，按扣分数5分=1000元的标准转换为扣款，在当期</w:t>
      </w:r>
      <w:r>
        <w:rPr>
          <w:rFonts w:hint="eastAsia" w:asciiTheme="minorEastAsia" w:hAnsiTheme="minorEastAsia" w:eastAsiaTheme="minorEastAsia" w:cstheme="minorEastAsia"/>
          <w:color w:val="auto"/>
          <w:sz w:val="24"/>
          <w:highlight w:val="none"/>
          <w:lang w:eastAsia="zh-Hans" w:bidi="ar"/>
        </w:rPr>
        <w:t>服务费用</w:t>
      </w:r>
      <w:r>
        <w:rPr>
          <w:rFonts w:hint="eastAsia" w:asciiTheme="minorEastAsia" w:hAnsiTheme="minorEastAsia" w:eastAsiaTheme="minorEastAsia" w:cstheme="minorEastAsia"/>
          <w:color w:val="auto"/>
          <w:sz w:val="24"/>
          <w:highlight w:val="none"/>
          <w:lang w:bidi="ar"/>
        </w:rPr>
        <w:t>中扣除；考核结果小于80分认定为不合格。</w:t>
      </w:r>
    </w:p>
    <w:p w14:paraId="56F52AD1">
      <w:pPr>
        <w:pStyle w:val="27"/>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除以上评价内容外，若乙方不服从甲方管理，不完成甲方安排的工作，每次扣5分，3次以上终止合同。</w:t>
      </w:r>
    </w:p>
    <w:p w14:paraId="1678738A">
      <w:pPr>
        <w:ind w:firstLine="640"/>
        <w:rPr>
          <w:rFonts w:hint="eastAsia" w:asciiTheme="minorEastAsia" w:hAnsiTheme="minorEastAsia" w:eastAsiaTheme="minorEastAsia" w:cstheme="minorEastAsia"/>
          <w:color w:val="auto"/>
          <w:szCs w:val="20"/>
          <w:highlight w:val="none"/>
        </w:rPr>
      </w:pPr>
    </w:p>
    <w:p w14:paraId="25F51FEB">
      <w:pPr>
        <w:adjustRightInd w:val="0"/>
        <w:snapToGrid w:val="0"/>
        <w:spacing w:line="360" w:lineRule="auto"/>
        <w:ind w:left="420" w:firstLine="64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highlight w:val="none"/>
        </w:rPr>
        <w:t>附件4.</w:t>
      </w:r>
      <w:r>
        <w:rPr>
          <w:rFonts w:hint="eastAsia" w:asciiTheme="minorEastAsia" w:hAnsiTheme="minorEastAsia" w:eastAsiaTheme="minorEastAsia" w:cstheme="minorEastAsia"/>
          <w:b/>
          <w:bCs/>
          <w:color w:val="auto"/>
          <w:sz w:val="24"/>
          <w:highlight w:val="none"/>
        </w:rPr>
        <w:t xml:space="preserve"> 人员配置标准表</w:t>
      </w:r>
    </w:p>
    <w:tbl>
      <w:tblPr>
        <w:tblStyle w:val="48"/>
        <w:tblW w:w="9448" w:type="dxa"/>
        <w:jc w:val="center"/>
        <w:tblLayout w:type="fixed"/>
        <w:tblCellMar>
          <w:top w:w="0" w:type="dxa"/>
          <w:left w:w="108" w:type="dxa"/>
          <w:bottom w:w="0" w:type="dxa"/>
          <w:right w:w="108" w:type="dxa"/>
        </w:tblCellMar>
      </w:tblPr>
      <w:tblGrid>
        <w:gridCol w:w="873"/>
        <w:gridCol w:w="1385"/>
        <w:gridCol w:w="1640"/>
        <w:gridCol w:w="1387"/>
        <w:gridCol w:w="4163"/>
      </w:tblGrid>
      <w:tr w14:paraId="38DA25DC">
        <w:tblPrEx>
          <w:tblCellMar>
            <w:top w:w="0" w:type="dxa"/>
            <w:left w:w="108" w:type="dxa"/>
            <w:bottom w:w="0" w:type="dxa"/>
            <w:right w:w="108" w:type="dxa"/>
          </w:tblCellMar>
        </w:tblPrEx>
        <w:trPr>
          <w:trHeight w:val="436" w:hRule="atLeast"/>
          <w:jc w:val="center"/>
        </w:trPr>
        <w:tc>
          <w:tcPr>
            <w:tcW w:w="873" w:type="dxa"/>
            <w:tcBorders>
              <w:top w:val="single" w:color="000000" w:sz="8" w:space="0"/>
              <w:left w:val="single" w:color="000000" w:sz="8" w:space="0"/>
              <w:bottom w:val="single" w:color="000000" w:sz="8" w:space="0"/>
              <w:right w:val="single" w:color="000000" w:sz="8" w:space="0"/>
            </w:tcBorders>
            <w:vAlign w:val="center"/>
          </w:tcPr>
          <w:p w14:paraId="47D64958">
            <w:pPr>
              <w:widowControl/>
              <w:adjustRightInd w:val="0"/>
              <w:snapToGrid w:val="0"/>
              <w:ind w:firstLine="480"/>
              <w:jc w:val="center"/>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b/>
                <w:bCs/>
                <w:color w:val="auto"/>
                <w:kern w:val="0"/>
                <w:sz w:val="24"/>
                <w:highlight w:val="none"/>
                <w:lang w:bidi="ar"/>
              </w:rPr>
              <w:t>序号</w:t>
            </w:r>
          </w:p>
        </w:tc>
        <w:tc>
          <w:tcPr>
            <w:tcW w:w="1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C8A00C">
            <w:pPr>
              <w:widowControl/>
              <w:adjustRightInd w:val="0"/>
              <w:snapToGrid w:val="0"/>
              <w:ind w:firstLine="480"/>
              <w:jc w:val="center"/>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b/>
                <w:bCs/>
                <w:color w:val="auto"/>
                <w:kern w:val="0"/>
                <w:sz w:val="24"/>
                <w:highlight w:val="none"/>
                <w:lang w:bidi="ar"/>
              </w:rPr>
              <w:t>部门</w:t>
            </w:r>
          </w:p>
        </w:tc>
        <w:tc>
          <w:tcPr>
            <w:tcW w:w="1640" w:type="dxa"/>
            <w:tcBorders>
              <w:top w:val="single" w:color="000000" w:sz="8" w:space="0"/>
              <w:left w:val="single" w:color="000000" w:sz="8" w:space="0"/>
              <w:bottom w:val="single" w:color="000000" w:sz="8" w:space="0"/>
              <w:right w:val="single" w:color="000000" w:sz="8" w:space="0"/>
            </w:tcBorders>
            <w:vAlign w:val="center"/>
          </w:tcPr>
          <w:p w14:paraId="65B08F20">
            <w:pPr>
              <w:widowControl/>
              <w:adjustRightInd w:val="0"/>
              <w:snapToGrid w:val="0"/>
              <w:ind w:firstLine="480"/>
              <w:jc w:val="center"/>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b/>
                <w:bCs/>
                <w:color w:val="auto"/>
                <w:kern w:val="0"/>
                <w:sz w:val="24"/>
                <w:highlight w:val="none"/>
                <w:lang w:bidi="ar"/>
              </w:rPr>
              <w:t>岗位</w:t>
            </w:r>
          </w:p>
        </w:tc>
        <w:tc>
          <w:tcPr>
            <w:tcW w:w="1387" w:type="dxa"/>
            <w:tcBorders>
              <w:top w:val="single" w:color="000000" w:sz="8" w:space="0"/>
              <w:left w:val="single" w:color="000000" w:sz="8" w:space="0"/>
              <w:bottom w:val="single" w:color="000000" w:sz="8" w:space="0"/>
              <w:right w:val="single" w:color="000000" w:sz="8" w:space="0"/>
            </w:tcBorders>
            <w:vAlign w:val="center"/>
          </w:tcPr>
          <w:p w14:paraId="416FA342">
            <w:pPr>
              <w:widowControl/>
              <w:adjustRightInd w:val="0"/>
              <w:snapToGrid w:val="0"/>
              <w:ind w:firstLine="480"/>
              <w:jc w:val="center"/>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b/>
                <w:bCs/>
                <w:color w:val="auto"/>
                <w:kern w:val="0"/>
                <w:sz w:val="24"/>
                <w:highlight w:val="none"/>
                <w:lang w:bidi="ar"/>
              </w:rPr>
              <w:t>岗位人数</w:t>
            </w:r>
          </w:p>
        </w:tc>
        <w:tc>
          <w:tcPr>
            <w:tcW w:w="4163" w:type="dxa"/>
            <w:tcBorders>
              <w:top w:val="single" w:color="000000" w:sz="8" w:space="0"/>
              <w:left w:val="single" w:color="000000" w:sz="8" w:space="0"/>
              <w:bottom w:val="single" w:color="000000" w:sz="8" w:space="0"/>
              <w:right w:val="single" w:color="000000" w:sz="8" w:space="0"/>
            </w:tcBorders>
            <w:vAlign w:val="center"/>
          </w:tcPr>
          <w:p w14:paraId="72D6E348">
            <w:pPr>
              <w:widowControl/>
              <w:adjustRightInd w:val="0"/>
              <w:snapToGrid w:val="0"/>
              <w:ind w:firstLine="480"/>
              <w:jc w:val="center"/>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b/>
                <w:bCs/>
                <w:color w:val="auto"/>
                <w:kern w:val="0"/>
                <w:sz w:val="24"/>
                <w:highlight w:val="none"/>
                <w:lang w:bidi="ar"/>
              </w:rPr>
              <w:t>用人标准</w:t>
            </w:r>
          </w:p>
        </w:tc>
      </w:tr>
      <w:tr w14:paraId="604AB18B">
        <w:tblPrEx>
          <w:tblCellMar>
            <w:top w:w="0" w:type="dxa"/>
            <w:left w:w="108" w:type="dxa"/>
            <w:bottom w:w="0" w:type="dxa"/>
            <w:right w:w="108" w:type="dxa"/>
          </w:tblCellMar>
        </w:tblPrEx>
        <w:trPr>
          <w:trHeight w:val="301" w:hRule="atLeast"/>
          <w:jc w:val="center"/>
        </w:trPr>
        <w:tc>
          <w:tcPr>
            <w:tcW w:w="873" w:type="dxa"/>
            <w:vMerge w:val="restart"/>
            <w:tcBorders>
              <w:top w:val="single" w:color="000000" w:sz="8" w:space="0"/>
              <w:left w:val="single" w:color="000000" w:sz="8" w:space="0"/>
              <w:bottom w:val="single" w:color="000000" w:sz="8" w:space="0"/>
              <w:right w:val="single" w:color="000000" w:sz="8" w:space="0"/>
            </w:tcBorders>
            <w:vAlign w:val="center"/>
          </w:tcPr>
          <w:p w14:paraId="23EB478F">
            <w:pPr>
              <w:widowControl/>
              <w:adjustRightInd w:val="0"/>
              <w:snapToGrid w:val="0"/>
              <w:ind w:firstLine="480"/>
              <w:jc w:val="center"/>
              <w:textAlignment w:val="center"/>
              <w:rPr>
                <w:rFonts w:hint="eastAsia" w:asciiTheme="minorEastAsia" w:hAnsiTheme="minorEastAsia" w:eastAsiaTheme="minorEastAsia" w:cstheme="minorEastAsia"/>
                <w:color w:val="auto"/>
                <w:sz w:val="24"/>
                <w:highlight w:val="none"/>
              </w:rPr>
            </w:pPr>
            <w:bookmarkStart w:id="495" w:name="_Hlk219793907"/>
            <w:r>
              <w:rPr>
                <w:rFonts w:hint="eastAsia" w:asciiTheme="minorEastAsia" w:hAnsiTheme="minorEastAsia" w:eastAsiaTheme="minorEastAsia" w:cstheme="minorEastAsia"/>
                <w:color w:val="auto"/>
                <w:kern w:val="0"/>
                <w:sz w:val="24"/>
                <w:highlight w:val="none"/>
                <w:lang w:bidi="ar"/>
              </w:rPr>
              <w:t>1</w:t>
            </w:r>
          </w:p>
        </w:tc>
        <w:tc>
          <w:tcPr>
            <w:tcW w:w="138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424FC3D">
            <w:pPr>
              <w:widowControl/>
              <w:adjustRightInd w:val="0"/>
              <w:snapToGrid w:val="0"/>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管理团队</w:t>
            </w:r>
          </w:p>
        </w:tc>
        <w:tc>
          <w:tcPr>
            <w:tcW w:w="1640" w:type="dxa"/>
            <w:tcBorders>
              <w:top w:val="single" w:color="000000" w:sz="8" w:space="0"/>
              <w:left w:val="single" w:color="000000" w:sz="8" w:space="0"/>
              <w:bottom w:val="single" w:color="000000" w:sz="8" w:space="0"/>
              <w:right w:val="single" w:color="000000" w:sz="8" w:space="0"/>
            </w:tcBorders>
            <w:vAlign w:val="center"/>
          </w:tcPr>
          <w:p w14:paraId="69ED67FB">
            <w:pPr>
              <w:widowControl/>
              <w:adjustRightInd w:val="0"/>
              <w:snapToGrid w:val="0"/>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现场负责人</w:t>
            </w:r>
          </w:p>
        </w:tc>
        <w:tc>
          <w:tcPr>
            <w:tcW w:w="1387" w:type="dxa"/>
            <w:tcBorders>
              <w:top w:val="single" w:color="000000" w:sz="8" w:space="0"/>
              <w:left w:val="single" w:color="000000" w:sz="8" w:space="0"/>
              <w:bottom w:val="single" w:color="000000" w:sz="8" w:space="0"/>
              <w:right w:val="single" w:color="000000" w:sz="8" w:space="0"/>
            </w:tcBorders>
            <w:vAlign w:val="center"/>
          </w:tcPr>
          <w:p w14:paraId="53BAEE63">
            <w:pPr>
              <w:widowControl/>
              <w:adjustRightInd w:val="0"/>
              <w:snapToGrid w:val="0"/>
              <w:ind w:firstLine="480"/>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w:t>
            </w:r>
          </w:p>
        </w:tc>
        <w:tc>
          <w:tcPr>
            <w:tcW w:w="4163" w:type="dxa"/>
            <w:vMerge w:val="restart"/>
            <w:tcBorders>
              <w:top w:val="single" w:color="000000" w:sz="8" w:space="0"/>
              <w:left w:val="single" w:color="000000" w:sz="8" w:space="0"/>
              <w:bottom w:val="single" w:color="000000" w:sz="8" w:space="0"/>
              <w:right w:val="single" w:color="000000" w:sz="8" w:space="0"/>
            </w:tcBorders>
            <w:vAlign w:val="center"/>
          </w:tcPr>
          <w:p w14:paraId="45581C83">
            <w:pPr>
              <w:widowControl/>
              <w:adjustRightInd w:val="0"/>
              <w:snapToGrid w:val="0"/>
              <w:ind w:firstLine="480"/>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大学本科及以上学历，有丰富的物业服务经验。年龄≤45周岁。</w:t>
            </w:r>
          </w:p>
        </w:tc>
      </w:tr>
      <w:tr w14:paraId="4743D695">
        <w:tblPrEx>
          <w:tblCellMar>
            <w:top w:w="0" w:type="dxa"/>
            <w:left w:w="108" w:type="dxa"/>
            <w:bottom w:w="0" w:type="dxa"/>
            <w:right w:w="108" w:type="dxa"/>
          </w:tblCellMar>
        </w:tblPrEx>
        <w:trPr>
          <w:trHeight w:val="90" w:hRule="atLeast"/>
          <w:jc w:val="center"/>
        </w:trPr>
        <w:tc>
          <w:tcPr>
            <w:tcW w:w="873" w:type="dxa"/>
            <w:vMerge w:val="continue"/>
            <w:tcBorders>
              <w:top w:val="single" w:color="000000" w:sz="8" w:space="0"/>
              <w:left w:val="single" w:color="000000" w:sz="8" w:space="0"/>
              <w:bottom w:val="single" w:color="000000" w:sz="8" w:space="0"/>
              <w:right w:val="single" w:color="000000" w:sz="8" w:space="0"/>
            </w:tcBorders>
            <w:vAlign w:val="center"/>
          </w:tcPr>
          <w:p w14:paraId="2C8A072D">
            <w:pPr>
              <w:adjustRightInd w:val="0"/>
              <w:snapToGrid w:val="0"/>
              <w:ind w:firstLine="480"/>
              <w:jc w:val="center"/>
              <w:rPr>
                <w:rFonts w:hint="eastAsia" w:asciiTheme="minorEastAsia" w:hAnsiTheme="minorEastAsia" w:eastAsiaTheme="minorEastAsia" w:cstheme="minorEastAsia"/>
                <w:color w:val="auto"/>
                <w:sz w:val="24"/>
                <w:highlight w:val="none"/>
              </w:rPr>
            </w:pPr>
          </w:p>
        </w:tc>
        <w:tc>
          <w:tcPr>
            <w:tcW w:w="138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420F7B">
            <w:pPr>
              <w:adjustRightInd w:val="0"/>
              <w:snapToGrid w:val="0"/>
              <w:ind w:firstLine="480"/>
              <w:jc w:val="center"/>
              <w:rPr>
                <w:rFonts w:hint="eastAsia" w:asciiTheme="minorEastAsia" w:hAnsiTheme="minorEastAsia" w:eastAsiaTheme="minorEastAsia" w:cstheme="minorEastAsia"/>
                <w:color w:val="auto"/>
                <w:sz w:val="24"/>
                <w:highlight w:val="none"/>
              </w:rPr>
            </w:pPr>
          </w:p>
        </w:tc>
        <w:tc>
          <w:tcPr>
            <w:tcW w:w="1640" w:type="dxa"/>
            <w:tcBorders>
              <w:top w:val="single" w:color="000000" w:sz="8" w:space="0"/>
              <w:left w:val="single" w:color="000000" w:sz="8" w:space="0"/>
              <w:bottom w:val="single" w:color="000000" w:sz="8" w:space="0"/>
              <w:right w:val="single" w:color="000000" w:sz="8" w:space="0"/>
            </w:tcBorders>
            <w:vAlign w:val="center"/>
          </w:tcPr>
          <w:p w14:paraId="6F58BC1F">
            <w:pPr>
              <w:widowControl/>
              <w:adjustRightInd w:val="0"/>
              <w:snapToGrid w:val="0"/>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品控/客服</w:t>
            </w:r>
          </w:p>
        </w:tc>
        <w:tc>
          <w:tcPr>
            <w:tcW w:w="1387" w:type="dxa"/>
            <w:tcBorders>
              <w:top w:val="single" w:color="000000" w:sz="8" w:space="0"/>
              <w:left w:val="single" w:color="000000" w:sz="8" w:space="0"/>
              <w:bottom w:val="single" w:color="000000" w:sz="8" w:space="0"/>
              <w:right w:val="single" w:color="000000" w:sz="8" w:space="0"/>
            </w:tcBorders>
            <w:vAlign w:val="center"/>
          </w:tcPr>
          <w:p w14:paraId="3A35D451">
            <w:pPr>
              <w:widowControl/>
              <w:adjustRightInd w:val="0"/>
              <w:snapToGrid w:val="0"/>
              <w:ind w:firstLine="480"/>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w:t>
            </w:r>
          </w:p>
        </w:tc>
        <w:tc>
          <w:tcPr>
            <w:tcW w:w="4163" w:type="dxa"/>
            <w:vMerge w:val="continue"/>
            <w:tcBorders>
              <w:top w:val="single" w:color="000000" w:sz="8" w:space="0"/>
              <w:left w:val="single" w:color="000000" w:sz="8" w:space="0"/>
              <w:bottom w:val="single" w:color="000000" w:sz="8" w:space="0"/>
              <w:right w:val="single" w:color="000000" w:sz="8" w:space="0"/>
            </w:tcBorders>
            <w:vAlign w:val="center"/>
          </w:tcPr>
          <w:p w14:paraId="3E1F065C">
            <w:pPr>
              <w:adjustRightInd w:val="0"/>
              <w:snapToGrid w:val="0"/>
              <w:ind w:firstLine="480"/>
              <w:jc w:val="left"/>
              <w:rPr>
                <w:rFonts w:hint="eastAsia" w:asciiTheme="minorEastAsia" w:hAnsiTheme="minorEastAsia" w:eastAsiaTheme="minorEastAsia" w:cstheme="minorEastAsia"/>
                <w:color w:val="auto"/>
                <w:sz w:val="24"/>
                <w:highlight w:val="none"/>
              </w:rPr>
            </w:pPr>
          </w:p>
        </w:tc>
      </w:tr>
      <w:tr w14:paraId="4DED08D4">
        <w:tblPrEx>
          <w:tblCellMar>
            <w:top w:w="0" w:type="dxa"/>
            <w:left w:w="108" w:type="dxa"/>
            <w:bottom w:w="0" w:type="dxa"/>
            <w:right w:w="108" w:type="dxa"/>
          </w:tblCellMar>
        </w:tblPrEx>
        <w:trPr>
          <w:jc w:val="center"/>
        </w:trPr>
        <w:tc>
          <w:tcPr>
            <w:tcW w:w="873" w:type="dxa"/>
            <w:vMerge w:val="restart"/>
            <w:tcBorders>
              <w:top w:val="single" w:color="000000" w:sz="8" w:space="0"/>
              <w:left w:val="single" w:color="000000" w:sz="8" w:space="0"/>
              <w:bottom w:val="single" w:color="000000" w:sz="8" w:space="0"/>
              <w:right w:val="single" w:color="000000" w:sz="8" w:space="0"/>
            </w:tcBorders>
            <w:vAlign w:val="center"/>
          </w:tcPr>
          <w:p w14:paraId="108BDFD5">
            <w:pPr>
              <w:widowControl/>
              <w:adjustRightInd w:val="0"/>
              <w:snapToGrid w:val="0"/>
              <w:ind w:firstLine="480"/>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2</w:t>
            </w:r>
          </w:p>
        </w:tc>
        <w:tc>
          <w:tcPr>
            <w:tcW w:w="138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116AFB7">
            <w:pPr>
              <w:widowControl/>
              <w:adjustRightInd w:val="0"/>
              <w:snapToGrid w:val="0"/>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秩序安保</w:t>
            </w:r>
          </w:p>
        </w:tc>
        <w:tc>
          <w:tcPr>
            <w:tcW w:w="1640" w:type="dxa"/>
            <w:tcBorders>
              <w:top w:val="single" w:color="000000" w:sz="8" w:space="0"/>
              <w:left w:val="single" w:color="000000" w:sz="8" w:space="0"/>
              <w:bottom w:val="single" w:color="000000" w:sz="8" w:space="0"/>
              <w:right w:val="single" w:color="000000" w:sz="8" w:space="0"/>
            </w:tcBorders>
            <w:vAlign w:val="center"/>
          </w:tcPr>
          <w:p w14:paraId="3E5FE84E">
            <w:pPr>
              <w:widowControl/>
              <w:adjustRightInd w:val="0"/>
              <w:snapToGrid w:val="0"/>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秩序班长</w:t>
            </w:r>
          </w:p>
        </w:tc>
        <w:tc>
          <w:tcPr>
            <w:tcW w:w="1387" w:type="dxa"/>
            <w:tcBorders>
              <w:top w:val="single" w:color="000000" w:sz="8" w:space="0"/>
              <w:left w:val="single" w:color="000000" w:sz="8" w:space="0"/>
              <w:bottom w:val="single" w:color="000000" w:sz="8" w:space="0"/>
              <w:right w:val="single" w:color="000000" w:sz="8" w:space="0"/>
            </w:tcBorders>
            <w:vAlign w:val="center"/>
          </w:tcPr>
          <w:p w14:paraId="005FD69A">
            <w:pPr>
              <w:widowControl/>
              <w:adjustRightInd w:val="0"/>
              <w:snapToGrid w:val="0"/>
              <w:ind w:firstLine="480"/>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w:t>
            </w:r>
          </w:p>
        </w:tc>
        <w:tc>
          <w:tcPr>
            <w:tcW w:w="4163" w:type="dxa"/>
            <w:vMerge w:val="restart"/>
            <w:tcBorders>
              <w:top w:val="single" w:color="000000" w:sz="8" w:space="0"/>
              <w:left w:val="single" w:color="000000" w:sz="8" w:space="0"/>
              <w:bottom w:val="single" w:color="000000" w:sz="8" w:space="0"/>
              <w:right w:val="single" w:color="000000" w:sz="8" w:space="0"/>
            </w:tcBorders>
            <w:vAlign w:val="center"/>
          </w:tcPr>
          <w:p w14:paraId="77B87263">
            <w:pPr>
              <w:widowControl/>
              <w:adjustRightInd w:val="0"/>
              <w:snapToGrid w:val="0"/>
              <w:ind w:firstLine="480"/>
              <w:jc w:val="left"/>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年龄≤55周岁，初中及以上学历（秩序班长为高中及以上学历）；</w:t>
            </w:r>
          </w:p>
          <w:p w14:paraId="7A0932C1">
            <w:pPr>
              <w:pStyle w:val="2"/>
              <w:adjustRightInd w:val="0"/>
              <w:snapToGrid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中控消防，需持证上岗。</w:t>
            </w:r>
          </w:p>
        </w:tc>
      </w:tr>
      <w:tr w14:paraId="4C002D42">
        <w:tblPrEx>
          <w:tblCellMar>
            <w:top w:w="0" w:type="dxa"/>
            <w:left w:w="108" w:type="dxa"/>
            <w:bottom w:w="0" w:type="dxa"/>
            <w:right w:w="108" w:type="dxa"/>
          </w:tblCellMar>
        </w:tblPrEx>
        <w:trPr>
          <w:jc w:val="center"/>
        </w:trPr>
        <w:tc>
          <w:tcPr>
            <w:tcW w:w="873" w:type="dxa"/>
            <w:vMerge w:val="continue"/>
            <w:tcBorders>
              <w:top w:val="single" w:color="000000" w:sz="8" w:space="0"/>
              <w:left w:val="single" w:color="000000" w:sz="8" w:space="0"/>
              <w:bottom w:val="single" w:color="000000" w:sz="8" w:space="0"/>
              <w:right w:val="single" w:color="000000" w:sz="8" w:space="0"/>
            </w:tcBorders>
            <w:vAlign w:val="center"/>
          </w:tcPr>
          <w:p w14:paraId="19788A74">
            <w:pPr>
              <w:adjustRightInd w:val="0"/>
              <w:snapToGrid w:val="0"/>
              <w:ind w:firstLine="480"/>
              <w:jc w:val="center"/>
              <w:rPr>
                <w:rFonts w:hint="eastAsia" w:asciiTheme="minorEastAsia" w:hAnsiTheme="minorEastAsia" w:eastAsiaTheme="minorEastAsia" w:cstheme="minorEastAsia"/>
                <w:color w:val="auto"/>
                <w:sz w:val="24"/>
                <w:highlight w:val="none"/>
              </w:rPr>
            </w:pPr>
          </w:p>
        </w:tc>
        <w:tc>
          <w:tcPr>
            <w:tcW w:w="138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644B06">
            <w:pPr>
              <w:adjustRightInd w:val="0"/>
              <w:snapToGrid w:val="0"/>
              <w:ind w:firstLine="480"/>
              <w:jc w:val="center"/>
              <w:rPr>
                <w:rFonts w:hint="eastAsia" w:asciiTheme="minorEastAsia" w:hAnsiTheme="minorEastAsia" w:eastAsiaTheme="minorEastAsia" w:cstheme="minorEastAsia"/>
                <w:color w:val="auto"/>
                <w:sz w:val="24"/>
                <w:highlight w:val="none"/>
              </w:rPr>
            </w:pPr>
          </w:p>
        </w:tc>
        <w:tc>
          <w:tcPr>
            <w:tcW w:w="1640" w:type="dxa"/>
            <w:tcBorders>
              <w:top w:val="single" w:color="000000" w:sz="8" w:space="0"/>
              <w:left w:val="single" w:color="000000" w:sz="8" w:space="0"/>
              <w:bottom w:val="single" w:color="000000" w:sz="8" w:space="0"/>
              <w:right w:val="single" w:color="000000" w:sz="8" w:space="0"/>
            </w:tcBorders>
            <w:vAlign w:val="center"/>
          </w:tcPr>
          <w:p w14:paraId="629EF893">
            <w:pPr>
              <w:widowControl/>
              <w:adjustRightInd w:val="0"/>
              <w:snapToGrid w:val="0"/>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院区门岗</w:t>
            </w:r>
          </w:p>
        </w:tc>
        <w:tc>
          <w:tcPr>
            <w:tcW w:w="1387" w:type="dxa"/>
            <w:tcBorders>
              <w:top w:val="single" w:color="000000" w:sz="8" w:space="0"/>
              <w:left w:val="single" w:color="000000" w:sz="8" w:space="0"/>
              <w:bottom w:val="single" w:color="000000" w:sz="8" w:space="0"/>
              <w:right w:val="single" w:color="000000" w:sz="8" w:space="0"/>
            </w:tcBorders>
            <w:vAlign w:val="center"/>
          </w:tcPr>
          <w:p w14:paraId="07B2FF9D">
            <w:pPr>
              <w:widowControl/>
              <w:adjustRightInd w:val="0"/>
              <w:snapToGrid w:val="0"/>
              <w:ind w:firstLine="480"/>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6</w:t>
            </w:r>
          </w:p>
        </w:tc>
        <w:tc>
          <w:tcPr>
            <w:tcW w:w="4163" w:type="dxa"/>
            <w:vMerge w:val="continue"/>
            <w:tcBorders>
              <w:top w:val="single" w:color="000000" w:sz="8" w:space="0"/>
              <w:left w:val="single" w:color="000000" w:sz="8" w:space="0"/>
              <w:bottom w:val="single" w:color="000000" w:sz="8" w:space="0"/>
              <w:right w:val="single" w:color="000000" w:sz="8" w:space="0"/>
            </w:tcBorders>
            <w:vAlign w:val="center"/>
          </w:tcPr>
          <w:p w14:paraId="7904E633">
            <w:pPr>
              <w:adjustRightInd w:val="0"/>
              <w:snapToGrid w:val="0"/>
              <w:ind w:firstLine="480"/>
              <w:jc w:val="left"/>
              <w:rPr>
                <w:rFonts w:hint="eastAsia" w:asciiTheme="minorEastAsia" w:hAnsiTheme="minorEastAsia" w:eastAsiaTheme="minorEastAsia" w:cstheme="minorEastAsia"/>
                <w:color w:val="auto"/>
                <w:sz w:val="24"/>
                <w:highlight w:val="none"/>
              </w:rPr>
            </w:pPr>
          </w:p>
        </w:tc>
      </w:tr>
      <w:tr w14:paraId="1818A70C">
        <w:tblPrEx>
          <w:tblCellMar>
            <w:top w:w="0" w:type="dxa"/>
            <w:left w:w="108" w:type="dxa"/>
            <w:bottom w:w="0" w:type="dxa"/>
            <w:right w:w="108" w:type="dxa"/>
          </w:tblCellMar>
        </w:tblPrEx>
        <w:trPr>
          <w:jc w:val="center"/>
        </w:trPr>
        <w:tc>
          <w:tcPr>
            <w:tcW w:w="873" w:type="dxa"/>
            <w:vMerge w:val="continue"/>
            <w:tcBorders>
              <w:top w:val="single" w:color="000000" w:sz="8" w:space="0"/>
              <w:left w:val="single" w:color="000000" w:sz="8" w:space="0"/>
              <w:bottom w:val="single" w:color="000000" w:sz="8" w:space="0"/>
              <w:right w:val="single" w:color="000000" w:sz="8" w:space="0"/>
            </w:tcBorders>
            <w:vAlign w:val="center"/>
          </w:tcPr>
          <w:p w14:paraId="3DD52B32">
            <w:pPr>
              <w:adjustRightInd w:val="0"/>
              <w:snapToGrid w:val="0"/>
              <w:ind w:firstLine="480"/>
              <w:jc w:val="center"/>
              <w:rPr>
                <w:rFonts w:hint="eastAsia" w:asciiTheme="minorEastAsia" w:hAnsiTheme="minorEastAsia" w:eastAsiaTheme="minorEastAsia" w:cstheme="minorEastAsia"/>
                <w:color w:val="auto"/>
                <w:sz w:val="24"/>
                <w:highlight w:val="none"/>
              </w:rPr>
            </w:pPr>
          </w:p>
        </w:tc>
        <w:tc>
          <w:tcPr>
            <w:tcW w:w="138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5E6FE6C">
            <w:pPr>
              <w:adjustRightInd w:val="0"/>
              <w:snapToGrid w:val="0"/>
              <w:ind w:firstLine="480"/>
              <w:jc w:val="center"/>
              <w:rPr>
                <w:rFonts w:hint="eastAsia" w:asciiTheme="minorEastAsia" w:hAnsiTheme="minorEastAsia" w:eastAsiaTheme="minorEastAsia" w:cstheme="minorEastAsia"/>
                <w:color w:val="auto"/>
                <w:sz w:val="24"/>
                <w:highlight w:val="none"/>
              </w:rPr>
            </w:pPr>
          </w:p>
        </w:tc>
        <w:tc>
          <w:tcPr>
            <w:tcW w:w="1640" w:type="dxa"/>
            <w:tcBorders>
              <w:top w:val="single" w:color="000000" w:sz="8" w:space="0"/>
              <w:left w:val="single" w:color="000000" w:sz="8" w:space="0"/>
              <w:bottom w:val="single" w:color="000000" w:sz="8" w:space="0"/>
              <w:right w:val="single" w:color="000000" w:sz="8" w:space="0"/>
            </w:tcBorders>
            <w:vAlign w:val="center"/>
          </w:tcPr>
          <w:p w14:paraId="79BB463B">
            <w:pPr>
              <w:widowControl/>
              <w:adjustRightInd w:val="0"/>
              <w:snapToGrid w:val="0"/>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中控/消防</w:t>
            </w:r>
          </w:p>
        </w:tc>
        <w:tc>
          <w:tcPr>
            <w:tcW w:w="1387" w:type="dxa"/>
            <w:tcBorders>
              <w:top w:val="single" w:color="000000" w:sz="8" w:space="0"/>
              <w:left w:val="single" w:color="000000" w:sz="8" w:space="0"/>
              <w:bottom w:val="single" w:color="000000" w:sz="8" w:space="0"/>
              <w:right w:val="single" w:color="000000" w:sz="8" w:space="0"/>
            </w:tcBorders>
            <w:vAlign w:val="center"/>
          </w:tcPr>
          <w:p w14:paraId="20822CD6">
            <w:pPr>
              <w:widowControl/>
              <w:adjustRightInd w:val="0"/>
              <w:snapToGrid w:val="0"/>
              <w:ind w:firstLine="480"/>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6</w:t>
            </w:r>
          </w:p>
        </w:tc>
        <w:tc>
          <w:tcPr>
            <w:tcW w:w="4163" w:type="dxa"/>
            <w:vMerge w:val="continue"/>
            <w:tcBorders>
              <w:top w:val="single" w:color="000000" w:sz="8" w:space="0"/>
              <w:left w:val="single" w:color="000000" w:sz="8" w:space="0"/>
              <w:bottom w:val="single" w:color="000000" w:sz="8" w:space="0"/>
              <w:right w:val="single" w:color="000000" w:sz="8" w:space="0"/>
            </w:tcBorders>
            <w:vAlign w:val="center"/>
          </w:tcPr>
          <w:p w14:paraId="3CFEDAB2">
            <w:pPr>
              <w:adjustRightInd w:val="0"/>
              <w:snapToGrid w:val="0"/>
              <w:ind w:firstLine="480"/>
              <w:jc w:val="left"/>
              <w:rPr>
                <w:rFonts w:hint="eastAsia" w:asciiTheme="minorEastAsia" w:hAnsiTheme="minorEastAsia" w:eastAsiaTheme="minorEastAsia" w:cstheme="minorEastAsia"/>
                <w:color w:val="auto"/>
                <w:sz w:val="24"/>
                <w:highlight w:val="none"/>
              </w:rPr>
            </w:pPr>
          </w:p>
        </w:tc>
      </w:tr>
      <w:tr w14:paraId="3D47F8DB">
        <w:tblPrEx>
          <w:tblCellMar>
            <w:top w:w="0" w:type="dxa"/>
            <w:left w:w="108" w:type="dxa"/>
            <w:bottom w:w="0" w:type="dxa"/>
            <w:right w:w="108" w:type="dxa"/>
          </w:tblCellMar>
        </w:tblPrEx>
        <w:trPr>
          <w:jc w:val="center"/>
        </w:trPr>
        <w:tc>
          <w:tcPr>
            <w:tcW w:w="873" w:type="dxa"/>
            <w:vMerge w:val="continue"/>
            <w:tcBorders>
              <w:top w:val="single" w:color="000000" w:sz="8" w:space="0"/>
              <w:left w:val="single" w:color="000000" w:sz="8" w:space="0"/>
              <w:bottom w:val="single" w:color="000000" w:sz="8" w:space="0"/>
              <w:right w:val="single" w:color="000000" w:sz="8" w:space="0"/>
            </w:tcBorders>
            <w:vAlign w:val="center"/>
          </w:tcPr>
          <w:p w14:paraId="04CD3CAC">
            <w:pPr>
              <w:adjustRightInd w:val="0"/>
              <w:snapToGrid w:val="0"/>
              <w:ind w:firstLine="480"/>
              <w:jc w:val="center"/>
              <w:rPr>
                <w:rFonts w:hint="eastAsia" w:asciiTheme="minorEastAsia" w:hAnsiTheme="minorEastAsia" w:eastAsiaTheme="minorEastAsia" w:cstheme="minorEastAsia"/>
                <w:color w:val="auto"/>
                <w:sz w:val="24"/>
                <w:highlight w:val="none"/>
              </w:rPr>
            </w:pPr>
          </w:p>
        </w:tc>
        <w:tc>
          <w:tcPr>
            <w:tcW w:w="138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9D46A2">
            <w:pPr>
              <w:adjustRightInd w:val="0"/>
              <w:snapToGrid w:val="0"/>
              <w:ind w:firstLine="480"/>
              <w:jc w:val="center"/>
              <w:rPr>
                <w:rFonts w:hint="eastAsia" w:asciiTheme="minorEastAsia" w:hAnsiTheme="minorEastAsia" w:eastAsiaTheme="minorEastAsia" w:cstheme="minorEastAsia"/>
                <w:color w:val="auto"/>
                <w:sz w:val="24"/>
                <w:highlight w:val="none"/>
              </w:rPr>
            </w:pPr>
          </w:p>
        </w:tc>
        <w:tc>
          <w:tcPr>
            <w:tcW w:w="1640" w:type="dxa"/>
            <w:tcBorders>
              <w:top w:val="single" w:color="000000" w:sz="8" w:space="0"/>
              <w:left w:val="single" w:color="000000" w:sz="8" w:space="0"/>
              <w:bottom w:val="single" w:color="000000" w:sz="8" w:space="0"/>
              <w:right w:val="single" w:color="000000" w:sz="8" w:space="0"/>
            </w:tcBorders>
            <w:vAlign w:val="center"/>
          </w:tcPr>
          <w:p w14:paraId="3CAB9EE0">
            <w:pPr>
              <w:widowControl/>
              <w:adjustRightInd w:val="0"/>
              <w:snapToGrid w:val="0"/>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巡逻岗</w:t>
            </w:r>
          </w:p>
        </w:tc>
        <w:tc>
          <w:tcPr>
            <w:tcW w:w="1387" w:type="dxa"/>
            <w:tcBorders>
              <w:top w:val="single" w:color="000000" w:sz="8" w:space="0"/>
              <w:left w:val="single" w:color="000000" w:sz="8" w:space="0"/>
              <w:bottom w:val="single" w:color="000000" w:sz="8" w:space="0"/>
              <w:right w:val="single" w:color="000000" w:sz="8" w:space="0"/>
            </w:tcBorders>
            <w:vAlign w:val="center"/>
          </w:tcPr>
          <w:p w14:paraId="1EFAD20A">
            <w:pPr>
              <w:widowControl/>
              <w:adjustRightInd w:val="0"/>
              <w:snapToGrid w:val="0"/>
              <w:ind w:firstLine="480"/>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3</w:t>
            </w:r>
          </w:p>
        </w:tc>
        <w:tc>
          <w:tcPr>
            <w:tcW w:w="4163" w:type="dxa"/>
            <w:vMerge w:val="continue"/>
            <w:tcBorders>
              <w:top w:val="single" w:color="000000" w:sz="8" w:space="0"/>
              <w:left w:val="single" w:color="000000" w:sz="8" w:space="0"/>
              <w:bottom w:val="single" w:color="000000" w:sz="8" w:space="0"/>
              <w:right w:val="single" w:color="000000" w:sz="8" w:space="0"/>
            </w:tcBorders>
            <w:vAlign w:val="center"/>
          </w:tcPr>
          <w:p w14:paraId="17589B3C">
            <w:pPr>
              <w:adjustRightInd w:val="0"/>
              <w:snapToGrid w:val="0"/>
              <w:ind w:firstLine="480"/>
              <w:jc w:val="left"/>
              <w:rPr>
                <w:rFonts w:hint="eastAsia" w:asciiTheme="minorEastAsia" w:hAnsiTheme="minorEastAsia" w:eastAsiaTheme="minorEastAsia" w:cstheme="minorEastAsia"/>
                <w:color w:val="auto"/>
                <w:sz w:val="24"/>
                <w:highlight w:val="none"/>
              </w:rPr>
            </w:pPr>
          </w:p>
        </w:tc>
      </w:tr>
      <w:tr w14:paraId="7B6B9FC9">
        <w:tblPrEx>
          <w:tblCellMar>
            <w:top w:w="0" w:type="dxa"/>
            <w:left w:w="108" w:type="dxa"/>
            <w:bottom w:w="0" w:type="dxa"/>
            <w:right w:w="108" w:type="dxa"/>
          </w:tblCellMar>
        </w:tblPrEx>
        <w:trPr>
          <w:jc w:val="center"/>
        </w:trPr>
        <w:tc>
          <w:tcPr>
            <w:tcW w:w="873" w:type="dxa"/>
            <w:vMerge w:val="restart"/>
            <w:tcBorders>
              <w:top w:val="single" w:color="000000" w:sz="8" w:space="0"/>
              <w:left w:val="single" w:color="000000" w:sz="8" w:space="0"/>
              <w:bottom w:val="single" w:color="000000" w:sz="8" w:space="0"/>
              <w:right w:val="single" w:color="000000" w:sz="8" w:space="0"/>
            </w:tcBorders>
            <w:vAlign w:val="center"/>
          </w:tcPr>
          <w:p w14:paraId="0D22BBE9">
            <w:pPr>
              <w:widowControl/>
              <w:adjustRightInd w:val="0"/>
              <w:snapToGrid w:val="0"/>
              <w:ind w:firstLine="480"/>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3</w:t>
            </w:r>
          </w:p>
        </w:tc>
        <w:tc>
          <w:tcPr>
            <w:tcW w:w="138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88F7EAA">
            <w:pPr>
              <w:widowControl/>
              <w:adjustRightInd w:val="0"/>
              <w:snapToGrid w:val="0"/>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环境保洁</w:t>
            </w:r>
          </w:p>
        </w:tc>
        <w:tc>
          <w:tcPr>
            <w:tcW w:w="1640" w:type="dxa"/>
            <w:tcBorders>
              <w:top w:val="single" w:color="000000" w:sz="8" w:space="0"/>
              <w:left w:val="single" w:color="000000" w:sz="8" w:space="0"/>
              <w:bottom w:val="single" w:color="000000" w:sz="8" w:space="0"/>
              <w:right w:val="single" w:color="000000" w:sz="8" w:space="0"/>
            </w:tcBorders>
            <w:vAlign w:val="center"/>
          </w:tcPr>
          <w:p w14:paraId="03FAE8E6">
            <w:pPr>
              <w:widowControl/>
              <w:adjustRightInd w:val="0"/>
              <w:snapToGrid w:val="0"/>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环境组长</w:t>
            </w:r>
          </w:p>
        </w:tc>
        <w:tc>
          <w:tcPr>
            <w:tcW w:w="1387" w:type="dxa"/>
            <w:tcBorders>
              <w:top w:val="single" w:color="000000" w:sz="8" w:space="0"/>
              <w:left w:val="single" w:color="000000" w:sz="8" w:space="0"/>
              <w:bottom w:val="single" w:color="000000" w:sz="8" w:space="0"/>
              <w:right w:val="single" w:color="000000" w:sz="8" w:space="0"/>
            </w:tcBorders>
            <w:vAlign w:val="center"/>
          </w:tcPr>
          <w:p w14:paraId="4BC56851">
            <w:pPr>
              <w:widowControl/>
              <w:adjustRightInd w:val="0"/>
              <w:snapToGrid w:val="0"/>
              <w:ind w:firstLine="480"/>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w:t>
            </w:r>
          </w:p>
        </w:tc>
        <w:tc>
          <w:tcPr>
            <w:tcW w:w="4163" w:type="dxa"/>
            <w:vMerge w:val="restart"/>
            <w:tcBorders>
              <w:top w:val="single" w:color="000000" w:sz="8" w:space="0"/>
              <w:left w:val="single" w:color="000000" w:sz="8" w:space="0"/>
              <w:bottom w:val="single" w:color="000000" w:sz="8" w:space="0"/>
              <w:right w:val="single" w:color="000000" w:sz="8" w:space="0"/>
            </w:tcBorders>
            <w:vAlign w:val="center"/>
          </w:tcPr>
          <w:p w14:paraId="6F3FBE12">
            <w:pPr>
              <w:widowControl/>
              <w:adjustRightInd w:val="0"/>
              <w:snapToGrid w:val="0"/>
              <w:ind w:firstLine="480"/>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年龄≤60周岁，初中及以上学历。</w:t>
            </w:r>
          </w:p>
        </w:tc>
      </w:tr>
      <w:tr w14:paraId="22E42CC1">
        <w:tblPrEx>
          <w:tblCellMar>
            <w:top w:w="0" w:type="dxa"/>
            <w:left w:w="108" w:type="dxa"/>
            <w:bottom w:w="0" w:type="dxa"/>
            <w:right w:w="108" w:type="dxa"/>
          </w:tblCellMar>
        </w:tblPrEx>
        <w:trPr>
          <w:jc w:val="center"/>
        </w:trPr>
        <w:tc>
          <w:tcPr>
            <w:tcW w:w="873" w:type="dxa"/>
            <w:vMerge w:val="continue"/>
            <w:tcBorders>
              <w:top w:val="single" w:color="000000" w:sz="8" w:space="0"/>
              <w:left w:val="single" w:color="000000" w:sz="8" w:space="0"/>
              <w:bottom w:val="single" w:color="000000" w:sz="8" w:space="0"/>
              <w:right w:val="single" w:color="000000" w:sz="8" w:space="0"/>
            </w:tcBorders>
            <w:vAlign w:val="center"/>
          </w:tcPr>
          <w:p w14:paraId="6ADDEDE9">
            <w:pPr>
              <w:adjustRightInd w:val="0"/>
              <w:snapToGrid w:val="0"/>
              <w:ind w:firstLine="480"/>
              <w:jc w:val="center"/>
              <w:rPr>
                <w:rFonts w:hint="eastAsia" w:asciiTheme="minorEastAsia" w:hAnsiTheme="minorEastAsia" w:eastAsiaTheme="minorEastAsia" w:cstheme="minorEastAsia"/>
                <w:color w:val="auto"/>
                <w:sz w:val="24"/>
                <w:highlight w:val="none"/>
              </w:rPr>
            </w:pPr>
          </w:p>
        </w:tc>
        <w:tc>
          <w:tcPr>
            <w:tcW w:w="138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FCE247">
            <w:pPr>
              <w:adjustRightInd w:val="0"/>
              <w:snapToGrid w:val="0"/>
              <w:ind w:firstLine="480"/>
              <w:jc w:val="center"/>
              <w:rPr>
                <w:rFonts w:hint="eastAsia" w:asciiTheme="minorEastAsia" w:hAnsiTheme="minorEastAsia" w:eastAsiaTheme="minorEastAsia" w:cstheme="minorEastAsia"/>
                <w:color w:val="auto"/>
                <w:sz w:val="24"/>
                <w:highlight w:val="none"/>
              </w:rPr>
            </w:pPr>
          </w:p>
        </w:tc>
        <w:tc>
          <w:tcPr>
            <w:tcW w:w="1640" w:type="dxa"/>
            <w:tcBorders>
              <w:top w:val="single" w:color="000000" w:sz="8" w:space="0"/>
              <w:left w:val="single" w:color="000000" w:sz="8" w:space="0"/>
              <w:bottom w:val="single" w:color="000000" w:sz="8" w:space="0"/>
              <w:right w:val="single" w:color="000000" w:sz="8" w:space="0"/>
            </w:tcBorders>
            <w:vAlign w:val="center"/>
          </w:tcPr>
          <w:p w14:paraId="2681A785">
            <w:pPr>
              <w:widowControl/>
              <w:adjustRightInd w:val="0"/>
              <w:snapToGrid w:val="0"/>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室外公区员工</w:t>
            </w:r>
          </w:p>
        </w:tc>
        <w:tc>
          <w:tcPr>
            <w:tcW w:w="1387" w:type="dxa"/>
            <w:tcBorders>
              <w:top w:val="single" w:color="000000" w:sz="8" w:space="0"/>
              <w:left w:val="single" w:color="000000" w:sz="8" w:space="0"/>
              <w:bottom w:val="single" w:color="000000" w:sz="8" w:space="0"/>
              <w:right w:val="single" w:color="000000" w:sz="8" w:space="0"/>
            </w:tcBorders>
            <w:vAlign w:val="center"/>
          </w:tcPr>
          <w:p w14:paraId="5704581B">
            <w:pPr>
              <w:widowControl/>
              <w:adjustRightInd w:val="0"/>
              <w:snapToGrid w:val="0"/>
              <w:ind w:firstLine="480"/>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6</w:t>
            </w:r>
          </w:p>
        </w:tc>
        <w:tc>
          <w:tcPr>
            <w:tcW w:w="4163" w:type="dxa"/>
            <w:vMerge w:val="continue"/>
            <w:tcBorders>
              <w:top w:val="single" w:color="000000" w:sz="8" w:space="0"/>
              <w:left w:val="single" w:color="000000" w:sz="8" w:space="0"/>
              <w:bottom w:val="single" w:color="000000" w:sz="8" w:space="0"/>
              <w:right w:val="single" w:color="000000" w:sz="8" w:space="0"/>
            </w:tcBorders>
            <w:vAlign w:val="center"/>
          </w:tcPr>
          <w:p w14:paraId="5CB4E5E3">
            <w:pPr>
              <w:adjustRightInd w:val="0"/>
              <w:snapToGrid w:val="0"/>
              <w:ind w:firstLine="480"/>
              <w:jc w:val="left"/>
              <w:rPr>
                <w:rFonts w:hint="eastAsia" w:asciiTheme="minorEastAsia" w:hAnsiTheme="minorEastAsia" w:eastAsiaTheme="minorEastAsia" w:cstheme="minorEastAsia"/>
                <w:color w:val="auto"/>
                <w:sz w:val="24"/>
                <w:highlight w:val="none"/>
              </w:rPr>
            </w:pPr>
          </w:p>
        </w:tc>
      </w:tr>
      <w:tr w14:paraId="6EE8E3A3">
        <w:tblPrEx>
          <w:tblCellMar>
            <w:top w:w="0" w:type="dxa"/>
            <w:left w:w="108" w:type="dxa"/>
            <w:bottom w:w="0" w:type="dxa"/>
            <w:right w:w="108" w:type="dxa"/>
          </w:tblCellMar>
        </w:tblPrEx>
        <w:trPr>
          <w:trHeight w:val="90" w:hRule="atLeast"/>
          <w:jc w:val="center"/>
        </w:trPr>
        <w:tc>
          <w:tcPr>
            <w:tcW w:w="873" w:type="dxa"/>
            <w:vMerge w:val="continue"/>
            <w:tcBorders>
              <w:top w:val="single" w:color="000000" w:sz="8" w:space="0"/>
              <w:left w:val="single" w:color="000000" w:sz="8" w:space="0"/>
              <w:bottom w:val="single" w:color="000000" w:sz="8" w:space="0"/>
              <w:right w:val="single" w:color="000000" w:sz="8" w:space="0"/>
            </w:tcBorders>
            <w:vAlign w:val="center"/>
          </w:tcPr>
          <w:p w14:paraId="2695A22F">
            <w:pPr>
              <w:adjustRightInd w:val="0"/>
              <w:snapToGrid w:val="0"/>
              <w:ind w:firstLine="480"/>
              <w:jc w:val="center"/>
              <w:rPr>
                <w:rFonts w:hint="eastAsia" w:asciiTheme="minorEastAsia" w:hAnsiTheme="minorEastAsia" w:eastAsiaTheme="minorEastAsia" w:cstheme="minorEastAsia"/>
                <w:color w:val="auto"/>
                <w:sz w:val="24"/>
                <w:highlight w:val="none"/>
              </w:rPr>
            </w:pPr>
          </w:p>
        </w:tc>
        <w:tc>
          <w:tcPr>
            <w:tcW w:w="138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7BB625">
            <w:pPr>
              <w:adjustRightInd w:val="0"/>
              <w:snapToGrid w:val="0"/>
              <w:ind w:firstLine="480"/>
              <w:jc w:val="center"/>
              <w:rPr>
                <w:rFonts w:hint="eastAsia" w:asciiTheme="minorEastAsia" w:hAnsiTheme="minorEastAsia" w:eastAsiaTheme="minorEastAsia" w:cstheme="minorEastAsia"/>
                <w:color w:val="auto"/>
                <w:sz w:val="24"/>
                <w:highlight w:val="none"/>
              </w:rPr>
            </w:pPr>
          </w:p>
        </w:tc>
        <w:tc>
          <w:tcPr>
            <w:tcW w:w="1640" w:type="dxa"/>
            <w:tcBorders>
              <w:top w:val="single" w:color="000000" w:sz="8" w:space="0"/>
              <w:left w:val="single" w:color="000000" w:sz="8" w:space="0"/>
              <w:bottom w:val="single" w:color="000000" w:sz="8" w:space="0"/>
              <w:right w:val="single" w:color="000000" w:sz="8" w:space="0"/>
            </w:tcBorders>
            <w:vAlign w:val="center"/>
          </w:tcPr>
          <w:p w14:paraId="060797D1">
            <w:pPr>
              <w:widowControl/>
              <w:adjustRightInd w:val="0"/>
              <w:snapToGrid w:val="0"/>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楼栋公区员工</w:t>
            </w:r>
          </w:p>
        </w:tc>
        <w:tc>
          <w:tcPr>
            <w:tcW w:w="1387" w:type="dxa"/>
            <w:tcBorders>
              <w:top w:val="single" w:color="000000" w:sz="8" w:space="0"/>
              <w:left w:val="single" w:color="000000" w:sz="8" w:space="0"/>
              <w:bottom w:val="single" w:color="000000" w:sz="8" w:space="0"/>
              <w:right w:val="single" w:color="000000" w:sz="8" w:space="0"/>
            </w:tcBorders>
            <w:vAlign w:val="center"/>
          </w:tcPr>
          <w:p w14:paraId="6C57CF64">
            <w:pPr>
              <w:widowControl/>
              <w:adjustRightInd w:val="0"/>
              <w:snapToGrid w:val="0"/>
              <w:ind w:firstLine="480"/>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3</w:t>
            </w:r>
          </w:p>
        </w:tc>
        <w:tc>
          <w:tcPr>
            <w:tcW w:w="4163" w:type="dxa"/>
            <w:vMerge w:val="continue"/>
            <w:tcBorders>
              <w:top w:val="single" w:color="000000" w:sz="8" w:space="0"/>
              <w:left w:val="single" w:color="000000" w:sz="8" w:space="0"/>
              <w:bottom w:val="single" w:color="000000" w:sz="8" w:space="0"/>
              <w:right w:val="single" w:color="000000" w:sz="8" w:space="0"/>
            </w:tcBorders>
            <w:vAlign w:val="center"/>
          </w:tcPr>
          <w:p w14:paraId="7FBC1E71">
            <w:pPr>
              <w:adjustRightInd w:val="0"/>
              <w:snapToGrid w:val="0"/>
              <w:ind w:firstLine="480"/>
              <w:jc w:val="left"/>
              <w:rPr>
                <w:rFonts w:hint="eastAsia" w:asciiTheme="minorEastAsia" w:hAnsiTheme="minorEastAsia" w:eastAsiaTheme="minorEastAsia" w:cstheme="minorEastAsia"/>
                <w:color w:val="auto"/>
                <w:sz w:val="24"/>
                <w:highlight w:val="none"/>
              </w:rPr>
            </w:pPr>
          </w:p>
        </w:tc>
      </w:tr>
      <w:tr w14:paraId="667D33BA">
        <w:tblPrEx>
          <w:tblCellMar>
            <w:top w:w="0" w:type="dxa"/>
            <w:left w:w="108" w:type="dxa"/>
            <w:bottom w:w="0" w:type="dxa"/>
            <w:right w:w="108" w:type="dxa"/>
          </w:tblCellMar>
        </w:tblPrEx>
        <w:trPr>
          <w:jc w:val="center"/>
        </w:trPr>
        <w:tc>
          <w:tcPr>
            <w:tcW w:w="873" w:type="dxa"/>
            <w:vMerge w:val="restart"/>
            <w:tcBorders>
              <w:top w:val="single" w:color="000000" w:sz="8" w:space="0"/>
              <w:left w:val="single" w:color="000000" w:sz="8" w:space="0"/>
              <w:bottom w:val="single" w:color="000000" w:sz="8" w:space="0"/>
              <w:right w:val="single" w:color="000000" w:sz="8" w:space="0"/>
            </w:tcBorders>
            <w:vAlign w:val="center"/>
          </w:tcPr>
          <w:p w14:paraId="7771D787">
            <w:pPr>
              <w:widowControl/>
              <w:adjustRightInd w:val="0"/>
              <w:snapToGrid w:val="0"/>
              <w:ind w:firstLine="480"/>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4</w:t>
            </w:r>
          </w:p>
        </w:tc>
        <w:tc>
          <w:tcPr>
            <w:tcW w:w="138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56644DC">
            <w:pPr>
              <w:widowControl/>
              <w:adjustRightInd w:val="0"/>
              <w:snapToGrid w:val="0"/>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绿化养护</w:t>
            </w:r>
          </w:p>
        </w:tc>
        <w:tc>
          <w:tcPr>
            <w:tcW w:w="1640" w:type="dxa"/>
            <w:tcBorders>
              <w:top w:val="single" w:color="000000" w:sz="8" w:space="0"/>
              <w:left w:val="single" w:color="000000" w:sz="8" w:space="0"/>
              <w:bottom w:val="single" w:color="000000" w:sz="8" w:space="0"/>
              <w:right w:val="single" w:color="000000" w:sz="8" w:space="0"/>
            </w:tcBorders>
            <w:vAlign w:val="center"/>
          </w:tcPr>
          <w:p w14:paraId="1F6C9EA4">
            <w:pPr>
              <w:widowControl/>
              <w:adjustRightInd w:val="0"/>
              <w:snapToGrid w:val="0"/>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绿化组长</w:t>
            </w:r>
          </w:p>
        </w:tc>
        <w:tc>
          <w:tcPr>
            <w:tcW w:w="1387" w:type="dxa"/>
            <w:tcBorders>
              <w:top w:val="single" w:color="000000" w:sz="8" w:space="0"/>
              <w:left w:val="single" w:color="000000" w:sz="8" w:space="0"/>
              <w:bottom w:val="single" w:color="000000" w:sz="8" w:space="0"/>
              <w:right w:val="single" w:color="000000" w:sz="8" w:space="0"/>
            </w:tcBorders>
            <w:vAlign w:val="center"/>
          </w:tcPr>
          <w:p w14:paraId="250EB094">
            <w:pPr>
              <w:widowControl/>
              <w:adjustRightInd w:val="0"/>
              <w:snapToGrid w:val="0"/>
              <w:ind w:firstLine="480"/>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w:t>
            </w:r>
          </w:p>
        </w:tc>
        <w:tc>
          <w:tcPr>
            <w:tcW w:w="4163" w:type="dxa"/>
            <w:vMerge w:val="restart"/>
            <w:tcBorders>
              <w:top w:val="single" w:color="000000" w:sz="8" w:space="0"/>
              <w:left w:val="single" w:color="000000" w:sz="8" w:space="0"/>
              <w:bottom w:val="single" w:color="000000" w:sz="8" w:space="0"/>
              <w:right w:val="single" w:color="000000" w:sz="8" w:space="0"/>
            </w:tcBorders>
            <w:vAlign w:val="center"/>
          </w:tcPr>
          <w:p w14:paraId="3F98DDAE">
            <w:pPr>
              <w:widowControl/>
              <w:adjustRightInd w:val="0"/>
              <w:snapToGrid w:val="0"/>
              <w:ind w:firstLine="480"/>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年龄≤60周岁，初中及以上学历。</w:t>
            </w:r>
          </w:p>
        </w:tc>
      </w:tr>
      <w:tr w14:paraId="681784E4">
        <w:tblPrEx>
          <w:tblCellMar>
            <w:top w:w="0" w:type="dxa"/>
            <w:left w:w="108" w:type="dxa"/>
            <w:bottom w:w="0" w:type="dxa"/>
            <w:right w:w="108" w:type="dxa"/>
          </w:tblCellMar>
        </w:tblPrEx>
        <w:trPr>
          <w:jc w:val="center"/>
        </w:trPr>
        <w:tc>
          <w:tcPr>
            <w:tcW w:w="873" w:type="dxa"/>
            <w:vMerge w:val="continue"/>
            <w:tcBorders>
              <w:top w:val="single" w:color="000000" w:sz="8" w:space="0"/>
              <w:left w:val="single" w:color="000000" w:sz="8" w:space="0"/>
              <w:bottom w:val="single" w:color="000000" w:sz="8" w:space="0"/>
              <w:right w:val="single" w:color="000000" w:sz="8" w:space="0"/>
            </w:tcBorders>
            <w:vAlign w:val="center"/>
          </w:tcPr>
          <w:p w14:paraId="6C364667">
            <w:pPr>
              <w:adjustRightInd w:val="0"/>
              <w:snapToGrid w:val="0"/>
              <w:ind w:firstLine="480"/>
              <w:jc w:val="center"/>
              <w:rPr>
                <w:rFonts w:hint="eastAsia" w:asciiTheme="minorEastAsia" w:hAnsiTheme="minorEastAsia" w:eastAsiaTheme="minorEastAsia" w:cstheme="minorEastAsia"/>
                <w:color w:val="auto"/>
                <w:sz w:val="24"/>
                <w:highlight w:val="none"/>
              </w:rPr>
            </w:pPr>
          </w:p>
        </w:tc>
        <w:tc>
          <w:tcPr>
            <w:tcW w:w="138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937C378">
            <w:pPr>
              <w:adjustRightInd w:val="0"/>
              <w:snapToGrid w:val="0"/>
              <w:ind w:firstLine="480"/>
              <w:jc w:val="center"/>
              <w:rPr>
                <w:rFonts w:hint="eastAsia" w:asciiTheme="minorEastAsia" w:hAnsiTheme="minorEastAsia" w:eastAsiaTheme="minorEastAsia" w:cstheme="minorEastAsia"/>
                <w:color w:val="auto"/>
                <w:sz w:val="24"/>
                <w:highlight w:val="none"/>
              </w:rPr>
            </w:pPr>
          </w:p>
        </w:tc>
        <w:tc>
          <w:tcPr>
            <w:tcW w:w="1640" w:type="dxa"/>
            <w:tcBorders>
              <w:top w:val="single" w:color="000000" w:sz="8" w:space="0"/>
              <w:left w:val="single" w:color="000000" w:sz="8" w:space="0"/>
              <w:bottom w:val="single" w:color="000000" w:sz="8" w:space="0"/>
              <w:right w:val="single" w:color="000000" w:sz="8" w:space="0"/>
            </w:tcBorders>
            <w:vAlign w:val="center"/>
          </w:tcPr>
          <w:p w14:paraId="6B52BBB7">
            <w:pPr>
              <w:widowControl/>
              <w:adjustRightInd w:val="0"/>
              <w:snapToGrid w:val="0"/>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绿化员工</w:t>
            </w:r>
          </w:p>
        </w:tc>
        <w:tc>
          <w:tcPr>
            <w:tcW w:w="1387" w:type="dxa"/>
            <w:tcBorders>
              <w:top w:val="single" w:color="000000" w:sz="8" w:space="0"/>
              <w:left w:val="single" w:color="000000" w:sz="8" w:space="0"/>
              <w:bottom w:val="single" w:color="000000" w:sz="8" w:space="0"/>
              <w:right w:val="single" w:color="000000" w:sz="8" w:space="0"/>
            </w:tcBorders>
            <w:vAlign w:val="center"/>
          </w:tcPr>
          <w:p w14:paraId="5FF855B0">
            <w:pPr>
              <w:widowControl/>
              <w:adjustRightInd w:val="0"/>
              <w:snapToGrid w:val="0"/>
              <w:ind w:firstLine="480"/>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10</w:t>
            </w:r>
          </w:p>
        </w:tc>
        <w:tc>
          <w:tcPr>
            <w:tcW w:w="4163" w:type="dxa"/>
            <w:vMerge w:val="continue"/>
            <w:tcBorders>
              <w:top w:val="single" w:color="000000" w:sz="8" w:space="0"/>
              <w:left w:val="single" w:color="000000" w:sz="8" w:space="0"/>
              <w:bottom w:val="single" w:color="000000" w:sz="8" w:space="0"/>
              <w:right w:val="single" w:color="000000" w:sz="8" w:space="0"/>
            </w:tcBorders>
            <w:vAlign w:val="center"/>
          </w:tcPr>
          <w:p w14:paraId="54FC24AB">
            <w:pPr>
              <w:adjustRightInd w:val="0"/>
              <w:snapToGrid w:val="0"/>
              <w:ind w:firstLine="480"/>
              <w:jc w:val="left"/>
              <w:rPr>
                <w:rFonts w:hint="eastAsia" w:asciiTheme="minorEastAsia" w:hAnsiTheme="minorEastAsia" w:eastAsiaTheme="minorEastAsia" w:cstheme="minorEastAsia"/>
                <w:color w:val="auto"/>
                <w:sz w:val="24"/>
                <w:highlight w:val="none"/>
              </w:rPr>
            </w:pPr>
          </w:p>
        </w:tc>
      </w:tr>
      <w:tr w14:paraId="1576F295">
        <w:tblPrEx>
          <w:tblCellMar>
            <w:top w:w="0" w:type="dxa"/>
            <w:left w:w="108" w:type="dxa"/>
            <w:bottom w:w="0" w:type="dxa"/>
            <w:right w:w="108" w:type="dxa"/>
          </w:tblCellMar>
        </w:tblPrEx>
        <w:trPr>
          <w:jc w:val="center"/>
        </w:trPr>
        <w:tc>
          <w:tcPr>
            <w:tcW w:w="873" w:type="dxa"/>
            <w:vMerge w:val="restart"/>
            <w:tcBorders>
              <w:top w:val="single" w:color="000000" w:sz="8" w:space="0"/>
              <w:left w:val="single" w:color="000000" w:sz="8" w:space="0"/>
              <w:bottom w:val="single" w:color="000000" w:sz="8" w:space="0"/>
              <w:right w:val="single" w:color="000000" w:sz="8" w:space="0"/>
            </w:tcBorders>
            <w:vAlign w:val="center"/>
          </w:tcPr>
          <w:p w14:paraId="695217AF">
            <w:pPr>
              <w:widowControl/>
              <w:adjustRightInd w:val="0"/>
              <w:snapToGrid w:val="0"/>
              <w:ind w:firstLine="480"/>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5</w:t>
            </w:r>
          </w:p>
        </w:tc>
        <w:tc>
          <w:tcPr>
            <w:tcW w:w="138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D639441">
            <w:pPr>
              <w:widowControl/>
              <w:adjustRightInd w:val="0"/>
              <w:snapToGrid w:val="0"/>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工程维保</w:t>
            </w:r>
          </w:p>
        </w:tc>
        <w:tc>
          <w:tcPr>
            <w:tcW w:w="1640" w:type="dxa"/>
            <w:tcBorders>
              <w:top w:val="single" w:color="000000" w:sz="8" w:space="0"/>
              <w:left w:val="single" w:color="000000" w:sz="8" w:space="0"/>
              <w:bottom w:val="single" w:color="000000" w:sz="8" w:space="0"/>
              <w:right w:val="single" w:color="000000" w:sz="8" w:space="0"/>
            </w:tcBorders>
            <w:vAlign w:val="center"/>
          </w:tcPr>
          <w:p w14:paraId="403B48DF">
            <w:pPr>
              <w:widowControl/>
              <w:adjustRightInd w:val="0"/>
              <w:snapToGrid w:val="0"/>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工程组长</w:t>
            </w:r>
          </w:p>
        </w:tc>
        <w:tc>
          <w:tcPr>
            <w:tcW w:w="1387" w:type="dxa"/>
            <w:tcBorders>
              <w:top w:val="single" w:color="000000" w:sz="8" w:space="0"/>
              <w:left w:val="single" w:color="000000" w:sz="8" w:space="0"/>
              <w:bottom w:val="single" w:color="000000" w:sz="8" w:space="0"/>
              <w:right w:val="single" w:color="000000" w:sz="8" w:space="0"/>
            </w:tcBorders>
            <w:vAlign w:val="center"/>
          </w:tcPr>
          <w:p w14:paraId="3D6762E3">
            <w:pPr>
              <w:widowControl/>
              <w:adjustRightInd w:val="0"/>
              <w:snapToGrid w:val="0"/>
              <w:ind w:firstLine="480"/>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w:t>
            </w:r>
          </w:p>
        </w:tc>
        <w:tc>
          <w:tcPr>
            <w:tcW w:w="4163" w:type="dxa"/>
            <w:vMerge w:val="restart"/>
            <w:tcBorders>
              <w:top w:val="single" w:color="000000" w:sz="8" w:space="0"/>
              <w:left w:val="single" w:color="000000" w:sz="8" w:space="0"/>
              <w:bottom w:val="single" w:color="000000" w:sz="8" w:space="0"/>
              <w:right w:val="single" w:color="000000" w:sz="8" w:space="0"/>
            </w:tcBorders>
            <w:vAlign w:val="center"/>
          </w:tcPr>
          <w:p w14:paraId="42496A11">
            <w:pPr>
              <w:widowControl/>
              <w:adjustRightInd w:val="0"/>
              <w:snapToGrid w:val="0"/>
              <w:ind w:firstLine="480"/>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年龄≤55周岁。初中及以上学历（组长高中及以上学历）。</w:t>
            </w:r>
          </w:p>
        </w:tc>
      </w:tr>
      <w:tr w14:paraId="6574C66A">
        <w:tblPrEx>
          <w:tblCellMar>
            <w:top w:w="0" w:type="dxa"/>
            <w:left w:w="108" w:type="dxa"/>
            <w:bottom w:w="0" w:type="dxa"/>
            <w:right w:w="108" w:type="dxa"/>
          </w:tblCellMar>
        </w:tblPrEx>
        <w:trPr>
          <w:jc w:val="center"/>
        </w:trPr>
        <w:tc>
          <w:tcPr>
            <w:tcW w:w="873" w:type="dxa"/>
            <w:vMerge w:val="continue"/>
            <w:tcBorders>
              <w:top w:val="single" w:color="000000" w:sz="8" w:space="0"/>
              <w:left w:val="single" w:color="000000" w:sz="8" w:space="0"/>
              <w:bottom w:val="single" w:color="000000" w:sz="8" w:space="0"/>
              <w:right w:val="single" w:color="000000" w:sz="8" w:space="0"/>
            </w:tcBorders>
            <w:vAlign w:val="center"/>
          </w:tcPr>
          <w:p w14:paraId="0F4500E5">
            <w:pPr>
              <w:adjustRightInd w:val="0"/>
              <w:snapToGrid w:val="0"/>
              <w:ind w:firstLine="480"/>
              <w:jc w:val="center"/>
              <w:rPr>
                <w:rFonts w:hint="eastAsia" w:asciiTheme="minorEastAsia" w:hAnsiTheme="minorEastAsia" w:eastAsiaTheme="minorEastAsia" w:cstheme="minorEastAsia"/>
                <w:color w:val="auto"/>
                <w:sz w:val="24"/>
                <w:highlight w:val="none"/>
              </w:rPr>
            </w:pPr>
          </w:p>
        </w:tc>
        <w:tc>
          <w:tcPr>
            <w:tcW w:w="138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3FFE99">
            <w:pPr>
              <w:adjustRightInd w:val="0"/>
              <w:snapToGrid w:val="0"/>
              <w:ind w:firstLine="480"/>
              <w:jc w:val="center"/>
              <w:rPr>
                <w:rFonts w:hint="eastAsia" w:asciiTheme="minorEastAsia" w:hAnsiTheme="minorEastAsia" w:eastAsiaTheme="minorEastAsia" w:cstheme="minorEastAsia"/>
                <w:color w:val="auto"/>
                <w:sz w:val="24"/>
                <w:highlight w:val="none"/>
              </w:rPr>
            </w:pPr>
          </w:p>
        </w:tc>
        <w:tc>
          <w:tcPr>
            <w:tcW w:w="1640" w:type="dxa"/>
            <w:tcBorders>
              <w:top w:val="single" w:color="000000" w:sz="8" w:space="0"/>
              <w:left w:val="single" w:color="000000" w:sz="8" w:space="0"/>
              <w:bottom w:val="single" w:color="000000" w:sz="8" w:space="0"/>
              <w:right w:val="single" w:color="000000" w:sz="8" w:space="0"/>
            </w:tcBorders>
            <w:vAlign w:val="center"/>
          </w:tcPr>
          <w:p w14:paraId="63171044">
            <w:pPr>
              <w:widowControl/>
              <w:adjustRightInd w:val="0"/>
              <w:snapToGrid w:val="0"/>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工程员工</w:t>
            </w:r>
          </w:p>
        </w:tc>
        <w:tc>
          <w:tcPr>
            <w:tcW w:w="1387" w:type="dxa"/>
            <w:tcBorders>
              <w:top w:val="single" w:color="000000" w:sz="8" w:space="0"/>
              <w:left w:val="single" w:color="000000" w:sz="8" w:space="0"/>
              <w:bottom w:val="single" w:color="000000" w:sz="8" w:space="0"/>
              <w:right w:val="single" w:color="000000" w:sz="8" w:space="0"/>
            </w:tcBorders>
            <w:vAlign w:val="center"/>
          </w:tcPr>
          <w:p w14:paraId="06D7F4FF">
            <w:pPr>
              <w:widowControl/>
              <w:adjustRightInd w:val="0"/>
              <w:snapToGrid w:val="0"/>
              <w:ind w:firstLine="480"/>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6</w:t>
            </w:r>
          </w:p>
        </w:tc>
        <w:tc>
          <w:tcPr>
            <w:tcW w:w="4163" w:type="dxa"/>
            <w:vMerge w:val="continue"/>
            <w:tcBorders>
              <w:top w:val="single" w:color="000000" w:sz="8" w:space="0"/>
              <w:left w:val="single" w:color="000000" w:sz="8" w:space="0"/>
              <w:bottom w:val="single" w:color="000000" w:sz="8" w:space="0"/>
              <w:right w:val="single" w:color="000000" w:sz="8" w:space="0"/>
            </w:tcBorders>
            <w:vAlign w:val="center"/>
          </w:tcPr>
          <w:p w14:paraId="25DE8A85">
            <w:pPr>
              <w:adjustRightInd w:val="0"/>
              <w:snapToGrid w:val="0"/>
              <w:ind w:firstLine="480"/>
              <w:jc w:val="left"/>
              <w:rPr>
                <w:rFonts w:hint="eastAsia" w:asciiTheme="minorEastAsia" w:hAnsiTheme="minorEastAsia" w:eastAsiaTheme="minorEastAsia" w:cstheme="minorEastAsia"/>
                <w:color w:val="auto"/>
                <w:sz w:val="24"/>
                <w:highlight w:val="none"/>
              </w:rPr>
            </w:pPr>
          </w:p>
        </w:tc>
      </w:tr>
      <w:bookmarkEnd w:id="495"/>
      <w:tr w14:paraId="439C5C7A">
        <w:tblPrEx>
          <w:tblCellMar>
            <w:top w:w="0" w:type="dxa"/>
            <w:left w:w="108" w:type="dxa"/>
            <w:bottom w:w="0" w:type="dxa"/>
            <w:right w:w="108" w:type="dxa"/>
          </w:tblCellMar>
        </w:tblPrEx>
        <w:trPr>
          <w:jc w:val="center"/>
        </w:trPr>
        <w:tc>
          <w:tcPr>
            <w:tcW w:w="873" w:type="dxa"/>
            <w:tcBorders>
              <w:top w:val="single" w:color="000000" w:sz="8" w:space="0"/>
              <w:left w:val="single" w:color="000000" w:sz="8" w:space="0"/>
              <w:bottom w:val="single" w:color="000000" w:sz="8" w:space="0"/>
              <w:right w:val="single" w:color="000000" w:sz="8" w:space="0"/>
            </w:tcBorders>
            <w:noWrap/>
            <w:vAlign w:val="center"/>
          </w:tcPr>
          <w:p w14:paraId="4BECAFE4">
            <w:pPr>
              <w:adjustRightInd w:val="0"/>
              <w:snapToGrid w:val="0"/>
              <w:ind w:firstLine="480"/>
              <w:jc w:val="center"/>
              <w:rPr>
                <w:rFonts w:hint="eastAsia" w:asciiTheme="minorEastAsia" w:hAnsiTheme="minorEastAsia" w:eastAsiaTheme="minorEastAsia" w:cstheme="minorEastAsia"/>
                <w:b/>
                <w:color w:val="auto"/>
                <w:sz w:val="24"/>
                <w:highlight w:val="none"/>
              </w:rPr>
            </w:pPr>
          </w:p>
        </w:tc>
        <w:tc>
          <w:tcPr>
            <w:tcW w:w="1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24A06F">
            <w:pPr>
              <w:widowControl/>
              <w:adjustRightInd w:val="0"/>
              <w:snapToGrid w:val="0"/>
              <w:ind w:firstLine="480"/>
              <w:textAlignment w:val="center"/>
              <w:rPr>
                <w:rFonts w:hint="eastAsia" w:asciiTheme="minorEastAsia" w:hAnsiTheme="minorEastAsia" w:eastAsiaTheme="minorEastAsia" w:cstheme="minorEastAsia"/>
                <w:b/>
                <w:bCs/>
                <w:color w:val="auto"/>
                <w:kern w:val="0"/>
                <w:sz w:val="24"/>
                <w:highlight w:val="none"/>
                <w:lang w:bidi="ar"/>
              </w:rPr>
            </w:pPr>
            <w:r>
              <w:rPr>
                <w:rFonts w:hint="eastAsia" w:asciiTheme="minorEastAsia" w:hAnsiTheme="minorEastAsia" w:eastAsiaTheme="minorEastAsia" w:cstheme="minorEastAsia"/>
                <w:b/>
                <w:bCs/>
                <w:color w:val="auto"/>
                <w:kern w:val="0"/>
                <w:sz w:val="24"/>
                <w:highlight w:val="none"/>
                <w:lang w:bidi="ar"/>
              </w:rPr>
              <w:t>小计</w:t>
            </w:r>
          </w:p>
        </w:tc>
        <w:tc>
          <w:tcPr>
            <w:tcW w:w="1640" w:type="dxa"/>
            <w:tcBorders>
              <w:top w:val="single" w:color="000000" w:sz="8" w:space="0"/>
              <w:left w:val="single" w:color="000000" w:sz="8" w:space="0"/>
              <w:bottom w:val="single" w:color="000000" w:sz="8" w:space="0"/>
              <w:right w:val="single" w:color="000000" w:sz="8" w:space="0"/>
            </w:tcBorders>
            <w:noWrap/>
            <w:vAlign w:val="center"/>
          </w:tcPr>
          <w:p w14:paraId="622B9DA9">
            <w:pPr>
              <w:widowControl/>
              <w:adjustRightInd w:val="0"/>
              <w:snapToGrid w:val="0"/>
              <w:ind w:firstLine="480"/>
              <w:jc w:val="center"/>
              <w:textAlignment w:val="center"/>
              <w:rPr>
                <w:rFonts w:hint="eastAsia" w:asciiTheme="minorEastAsia" w:hAnsiTheme="minorEastAsia" w:eastAsiaTheme="minorEastAsia" w:cstheme="minorEastAsia"/>
                <w:b/>
                <w:bCs/>
                <w:color w:val="auto"/>
                <w:kern w:val="0"/>
                <w:sz w:val="24"/>
                <w:highlight w:val="none"/>
                <w:lang w:bidi="ar"/>
              </w:rPr>
            </w:pPr>
          </w:p>
        </w:tc>
        <w:tc>
          <w:tcPr>
            <w:tcW w:w="1387" w:type="dxa"/>
            <w:tcBorders>
              <w:top w:val="single" w:color="000000" w:sz="8" w:space="0"/>
              <w:left w:val="single" w:color="000000" w:sz="8" w:space="0"/>
              <w:bottom w:val="single" w:color="000000" w:sz="8" w:space="0"/>
              <w:right w:val="single" w:color="000000" w:sz="8" w:space="0"/>
            </w:tcBorders>
            <w:vAlign w:val="center"/>
          </w:tcPr>
          <w:p w14:paraId="3E4C4658">
            <w:pPr>
              <w:widowControl/>
              <w:adjustRightInd w:val="0"/>
              <w:snapToGrid w:val="0"/>
              <w:ind w:firstLine="480"/>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lang w:bidi="ar"/>
              </w:rPr>
              <w:t>46</w:t>
            </w:r>
          </w:p>
        </w:tc>
        <w:tc>
          <w:tcPr>
            <w:tcW w:w="4163" w:type="dxa"/>
            <w:tcBorders>
              <w:top w:val="single" w:color="000000" w:sz="8" w:space="0"/>
              <w:left w:val="single" w:color="000000" w:sz="8" w:space="0"/>
              <w:bottom w:val="single" w:color="000000" w:sz="8" w:space="0"/>
              <w:right w:val="single" w:color="000000" w:sz="8" w:space="0"/>
            </w:tcBorders>
            <w:vAlign w:val="center"/>
          </w:tcPr>
          <w:p w14:paraId="0F3371AB">
            <w:pPr>
              <w:adjustRightInd w:val="0"/>
              <w:snapToGrid w:val="0"/>
              <w:ind w:firstLine="480"/>
              <w:jc w:val="left"/>
              <w:rPr>
                <w:rFonts w:hint="eastAsia" w:asciiTheme="minorEastAsia" w:hAnsiTheme="minorEastAsia" w:eastAsiaTheme="minorEastAsia" w:cstheme="minorEastAsia"/>
                <w:b/>
                <w:bCs/>
                <w:color w:val="auto"/>
                <w:sz w:val="24"/>
                <w:highlight w:val="none"/>
              </w:rPr>
            </w:pPr>
          </w:p>
        </w:tc>
      </w:tr>
    </w:tbl>
    <w:p w14:paraId="6094865D">
      <w:pPr>
        <w:ind w:firstLine="640"/>
        <w:rPr>
          <w:rFonts w:hint="eastAsia" w:asciiTheme="minorEastAsia" w:hAnsiTheme="minorEastAsia" w:eastAsiaTheme="minorEastAsia" w:cstheme="minorEastAsia"/>
          <w:color w:val="auto"/>
          <w:highlight w:val="none"/>
        </w:rPr>
      </w:pPr>
    </w:p>
    <w:p w14:paraId="3CF39A04">
      <w:pPr>
        <w:ind w:firstLine="640"/>
        <w:rPr>
          <w:color w:val="auto"/>
          <w:highlight w:val="none"/>
        </w:rPr>
      </w:pPr>
    </w:p>
    <w:p w14:paraId="68686B6F">
      <w:pPr>
        <w:rPr>
          <w:rFonts w:hint="eastAsia" w:asciiTheme="minorEastAsia" w:hAnsiTheme="minorEastAsia" w:eastAsiaTheme="minorEastAsia" w:cstheme="minorEastAsia"/>
          <w:color w:val="auto"/>
          <w:highlight w:val="none"/>
        </w:rPr>
      </w:pPr>
    </w:p>
    <w:p w14:paraId="08EE7551">
      <w:pPr>
        <w:pStyle w:val="47"/>
        <w:rPr>
          <w:rFonts w:hint="eastAsia" w:asciiTheme="minorEastAsia" w:hAnsiTheme="minorEastAsia" w:eastAsiaTheme="minorEastAsia" w:cstheme="minorEastAsia"/>
          <w:color w:val="auto"/>
          <w:szCs w:val="20"/>
          <w:highlight w:val="none"/>
        </w:rPr>
      </w:pPr>
    </w:p>
    <w:p w14:paraId="3F175ECC">
      <w:pPr>
        <w:rPr>
          <w:rFonts w:hint="eastAsia" w:asciiTheme="minorEastAsia" w:hAnsiTheme="minorEastAsia" w:eastAsiaTheme="minorEastAsia" w:cstheme="minorEastAsia"/>
          <w:color w:val="auto"/>
          <w:szCs w:val="20"/>
          <w:highlight w:val="none"/>
        </w:rPr>
      </w:pPr>
    </w:p>
    <w:p w14:paraId="7E9C7EB0">
      <w:pPr>
        <w:pStyle w:val="47"/>
        <w:rPr>
          <w:rFonts w:hint="eastAsia" w:asciiTheme="minorEastAsia" w:hAnsiTheme="minorEastAsia" w:eastAsiaTheme="minorEastAsia" w:cstheme="minorEastAsia"/>
          <w:color w:val="auto"/>
          <w:szCs w:val="20"/>
          <w:highlight w:val="none"/>
        </w:rPr>
      </w:pPr>
    </w:p>
    <w:bookmarkEnd w:id="462"/>
    <w:bookmarkEnd w:id="463"/>
    <w:p w14:paraId="54B52A2F">
      <w:pPr>
        <w:rPr>
          <w:rFonts w:hint="eastAsia" w:asciiTheme="minorEastAsia" w:hAnsiTheme="minorEastAsia" w:eastAsiaTheme="minorEastAsia" w:cstheme="minorEastAsia"/>
          <w:color w:val="auto"/>
          <w:sz w:val="52"/>
          <w:szCs w:val="52"/>
          <w:highlight w:val="none"/>
        </w:rPr>
      </w:pPr>
      <w:bookmarkStart w:id="496" w:name="_Toc13896"/>
      <w:bookmarkStart w:id="497" w:name="_Toc8804"/>
      <w:bookmarkStart w:id="498" w:name="_Toc6205"/>
      <w:r>
        <w:rPr>
          <w:rFonts w:hint="eastAsia" w:asciiTheme="minorEastAsia" w:hAnsiTheme="minorEastAsia" w:eastAsiaTheme="minorEastAsia" w:cstheme="minorEastAsia"/>
          <w:color w:val="auto"/>
          <w:sz w:val="52"/>
          <w:szCs w:val="52"/>
          <w:highlight w:val="none"/>
        </w:rPr>
        <w:br w:type="page"/>
      </w:r>
    </w:p>
    <w:p w14:paraId="45203DD7">
      <w:pPr>
        <w:pStyle w:val="3"/>
        <w:spacing w:before="0" w:after="0" w:line="360" w:lineRule="auto"/>
        <w:jc w:val="center"/>
        <w:rPr>
          <w:rFonts w:hint="eastAsia" w:asciiTheme="minorEastAsia" w:hAnsiTheme="minorEastAsia" w:eastAsiaTheme="minorEastAsia" w:cstheme="minorEastAsia"/>
          <w:color w:val="auto"/>
          <w:sz w:val="52"/>
          <w:szCs w:val="52"/>
          <w:highlight w:val="none"/>
        </w:rPr>
      </w:pPr>
      <w:r>
        <w:rPr>
          <w:rFonts w:hint="eastAsia" w:asciiTheme="minorEastAsia" w:hAnsiTheme="minorEastAsia" w:eastAsiaTheme="minorEastAsia" w:cstheme="minorEastAsia"/>
          <w:color w:val="auto"/>
          <w:sz w:val="52"/>
          <w:szCs w:val="52"/>
          <w:highlight w:val="none"/>
        </w:rPr>
        <w:t>第 三 卷</w:t>
      </w:r>
      <w:bookmarkEnd w:id="496"/>
      <w:bookmarkEnd w:id="497"/>
      <w:bookmarkEnd w:id="498"/>
      <w:bookmarkStart w:id="499" w:name="_Toc509218847"/>
      <w:bookmarkStart w:id="500" w:name="_Toc13210772"/>
      <w:bookmarkStart w:id="501" w:name="_Toc536796986"/>
      <w:bookmarkStart w:id="502" w:name="_Toc536797255"/>
      <w:bookmarkStart w:id="503" w:name="_Toc536620100"/>
      <w:bookmarkStart w:id="504" w:name="_Toc536797121"/>
      <w:bookmarkStart w:id="505" w:name="_Toc536796850"/>
      <w:bookmarkStart w:id="506" w:name="_Toc13211764"/>
      <w:bookmarkStart w:id="507" w:name="_Toc13211206"/>
      <w:bookmarkStart w:id="508" w:name="_Toc536628344"/>
      <w:bookmarkStart w:id="509" w:name="_Toc536619968"/>
      <w:bookmarkStart w:id="510" w:name="_Toc536797390"/>
      <w:bookmarkStart w:id="511" w:name="_Toc536621880"/>
      <w:bookmarkStart w:id="512" w:name="_Toc534185826"/>
    </w:p>
    <w:bookmarkEnd w:id="499"/>
    <w:p w14:paraId="00F1491C">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End w:id="500"/>
      <w:bookmarkEnd w:id="501"/>
      <w:bookmarkEnd w:id="502"/>
      <w:bookmarkEnd w:id="503"/>
      <w:bookmarkEnd w:id="504"/>
      <w:bookmarkEnd w:id="505"/>
      <w:bookmarkEnd w:id="506"/>
      <w:bookmarkEnd w:id="507"/>
      <w:bookmarkEnd w:id="508"/>
      <w:bookmarkEnd w:id="509"/>
      <w:bookmarkEnd w:id="510"/>
      <w:bookmarkEnd w:id="511"/>
      <w:bookmarkEnd w:id="512"/>
    </w:p>
    <w:p w14:paraId="438E6F25">
      <w:pPr>
        <w:pStyle w:val="3"/>
        <w:numPr>
          <w:ilvl w:val="0"/>
          <w:numId w:val="11"/>
        </w:numPr>
        <w:spacing w:line="360" w:lineRule="auto"/>
        <w:jc w:val="center"/>
        <w:rPr>
          <w:rFonts w:hint="eastAsia" w:asciiTheme="minorEastAsia" w:hAnsiTheme="minorEastAsia" w:eastAsiaTheme="minorEastAsia" w:cstheme="minorEastAsia"/>
          <w:color w:val="auto"/>
          <w:highlight w:val="none"/>
        </w:rPr>
      </w:pPr>
      <w:bookmarkStart w:id="513" w:name="招标文件07章技术标准和要求"/>
      <w:bookmarkEnd w:id="513"/>
      <w:bookmarkStart w:id="514" w:name="_Toc16451"/>
      <w:bookmarkStart w:id="515" w:name="_Toc17170"/>
      <w:r>
        <w:rPr>
          <w:rFonts w:hint="eastAsia" w:asciiTheme="minorEastAsia" w:hAnsiTheme="minorEastAsia" w:eastAsiaTheme="minorEastAsia" w:cstheme="minorEastAsia"/>
          <w:color w:val="auto"/>
          <w:highlight w:val="none"/>
        </w:rPr>
        <w:t xml:space="preserve"> 技术标准和要求</w:t>
      </w:r>
      <w:bookmarkEnd w:id="514"/>
      <w:bookmarkEnd w:id="515"/>
      <w:bookmarkStart w:id="516" w:name="招标文件07章技术标准和要求01"/>
      <w:bookmarkEnd w:id="516"/>
      <w:bookmarkStart w:id="517" w:name="_Toc430530524"/>
      <w:bookmarkStart w:id="518" w:name="_Toc287620808"/>
    </w:p>
    <w:p w14:paraId="4A4AAC38">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注：服务需求及服务要求里提到的相应人员证件资料（年龄要求提供身份证、学历要求提供毕业证、相应的岗位要求提供专业证书）需在投标文件格式其他资料里面提供。</w:t>
      </w:r>
    </w:p>
    <w:bookmarkEnd w:id="517"/>
    <w:bookmarkEnd w:id="518"/>
    <w:p w14:paraId="2DBDB41D">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bookmarkStart w:id="519" w:name="_Toc9598"/>
      <w:bookmarkStart w:id="520" w:name="_Toc28878"/>
      <w:bookmarkStart w:id="521" w:name="_Toc535311833"/>
      <w:bookmarkStart w:id="522" w:name="_Toc344475120"/>
      <w:bookmarkStart w:id="523" w:name="_Toc25270"/>
      <w:bookmarkStart w:id="524" w:name="_Toc5360"/>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
          <w:bCs/>
          <w:color w:val="auto"/>
          <w:sz w:val="24"/>
          <w:highlight w:val="none"/>
        </w:rPr>
        <w:t xml:space="preserve"> </w:t>
      </w:r>
      <w:bookmarkStart w:id="525" w:name="_Toc19592"/>
      <w:r>
        <w:rPr>
          <w:rFonts w:hint="eastAsia" w:asciiTheme="minorEastAsia" w:hAnsiTheme="minorEastAsia" w:eastAsiaTheme="minorEastAsia" w:cstheme="minorEastAsia"/>
          <w:b/>
          <w:bCs/>
          <w:color w:val="auto"/>
          <w:sz w:val="24"/>
          <w:highlight w:val="none"/>
        </w:rPr>
        <w:t>物业服务内容及要求</w:t>
      </w:r>
    </w:p>
    <w:p w14:paraId="61B39938">
      <w:pPr>
        <w:widowControl/>
        <w:spacing w:line="360" w:lineRule="auto"/>
        <w:ind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 xml:space="preserve">  一、比选项目概况及服务内容</w:t>
      </w:r>
    </w:p>
    <w:p w14:paraId="4209EDA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0"/>
          <w:highlight w:val="none"/>
          <w:lang w:bidi="ar"/>
        </w:rPr>
        <w:t>（一）</w:t>
      </w:r>
      <w:r>
        <w:rPr>
          <w:rFonts w:hint="eastAsia" w:asciiTheme="minorEastAsia" w:hAnsiTheme="minorEastAsia" w:eastAsiaTheme="minorEastAsia" w:cstheme="minorEastAsia"/>
          <w:color w:val="auto"/>
          <w:sz w:val="24"/>
          <w:highlight w:val="none"/>
        </w:rPr>
        <w:t>项目名称：重庆人工智能学院、重庆通用人工智能研究院筹备期过渡物业服务</w:t>
      </w:r>
    </w:p>
    <w:p w14:paraId="11EE3619">
      <w:pPr>
        <w:spacing w:line="360" w:lineRule="auto"/>
        <w:ind w:firstLine="480" w:firstLineChars="200"/>
        <w:rPr>
          <w:rFonts w:hint="eastAsia" w:asciiTheme="minorEastAsia" w:hAnsiTheme="minorEastAsia" w:eastAsiaTheme="minorEastAsia" w:cstheme="minorEastAsia"/>
          <w:color w:val="auto"/>
          <w:sz w:val="24"/>
          <w:szCs w:val="20"/>
          <w:highlight w:val="none"/>
          <w:lang w:bidi="ar"/>
        </w:rPr>
      </w:pPr>
      <w:r>
        <w:rPr>
          <w:rFonts w:hint="eastAsia" w:asciiTheme="minorEastAsia" w:hAnsiTheme="minorEastAsia" w:eastAsiaTheme="minorEastAsia" w:cstheme="minorEastAsia"/>
          <w:color w:val="auto"/>
          <w:sz w:val="24"/>
          <w:szCs w:val="20"/>
          <w:highlight w:val="none"/>
          <w:lang w:bidi="ar"/>
        </w:rPr>
        <w:t>（二）项目地点：</w:t>
      </w:r>
      <w:r>
        <w:rPr>
          <w:rFonts w:hint="eastAsia" w:asciiTheme="minorEastAsia" w:hAnsiTheme="minorEastAsia" w:eastAsiaTheme="minorEastAsia" w:cstheme="minorEastAsia"/>
          <w:color w:val="auto"/>
          <w:sz w:val="24"/>
          <w:highlight w:val="none"/>
        </w:rPr>
        <w:t>重庆市南岸区广阳湾路169号</w:t>
      </w:r>
      <w:r>
        <w:rPr>
          <w:rFonts w:hint="eastAsia" w:asciiTheme="minorEastAsia" w:hAnsiTheme="minorEastAsia" w:eastAsiaTheme="minorEastAsia" w:cstheme="minorEastAsia"/>
          <w:color w:val="auto"/>
          <w:sz w:val="24"/>
          <w:szCs w:val="20"/>
          <w:highlight w:val="none"/>
          <w:lang w:bidi="ar"/>
        </w:rPr>
        <w:t>。</w:t>
      </w:r>
    </w:p>
    <w:p w14:paraId="7A9E132D">
      <w:pPr>
        <w:spacing w:line="360" w:lineRule="auto"/>
        <w:ind w:left="5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0"/>
          <w:highlight w:val="none"/>
          <w:lang w:bidi="ar"/>
        </w:rPr>
        <w:t>（三）</w:t>
      </w:r>
      <w:r>
        <w:rPr>
          <w:rFonts w:hint="eastAsia" w:asciiTheme="minorEastAsia" w:hAnsiTheme="minorEastAsia" w:eastAsiaTheme="minorEastAsia" w:cstheme="minorEastAsia"/>
          <w:color w:val="auto"/>
          <w:sz w:val="24"/>
          <w:highlight w:val="none"/>
        </w:rPr>
        <w:t xml:space="preserve">项目规模、特征：占地面积共计332亩（约12万方），其中重庆人工智能学院建筑面积约10.51万平方米，重庆通用人工智能研究院建筑面积约1.27万平方米。园区建筑功能分布为教学楼、办公楼、会议厅、学生宿舍、教师宿舍、食堂、运动场馆、游泳池。项目已修建完成，现状交付。 </w:t>
      </w:r>
    </w:p>
    <w:p w14:paraId="1D52AB19">
      <w:pPr>
        <w:spacing w:line="360" w:lineRule="auto"/>
        <w:ind w:firstLine="482"/>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szCs w:val="20"/>
          <w:highlight w:val="none"/>
          <w:lang w:bidi="ar"/>
        </w:rPr>
        <w:t>（四）</w:t>
      </w:r>
      <w:r>
        <w:rPr>
          <w:rFonts w:hint="eastAsia" w:asciiTheme="minorEastAsia" w:hAnsiTheme="minorEastAsia" w:eastAsiaTheme="minorEastAsia" w:cstheme="minorEastAsia"/>
          <w:bCs/>
          <w:color w:val="auto"/>
          <w:sz w:val="24"/>
          <w:highlight w:val="none"/>
        </w:rPr>
        <w:t>校区主要标的物、建筑物情况</w:t>
      </w:r>
    </w:p>
    <w:p w14:paraId="077A9A67">
      <w:pPr>
        <w:spacing w:line="360" w:lineRule="auto"/>
        <w:ind w:firstLine="482"/>
        <w:rPr>
          <w:rFonts w:hint="eastAsia" w:asciiTheme="minorEastAsia" w:hAnsiTheme="minorEastAsia" w:eastAsiaTheme="minorEastAsia" w:cstheme="minorEastAsia"/>
          <w:b/>
          <w:color w:val="auto"/>
          <w:sz w:val="24"/>
          <w:szCs w:val="28"/>
          <w:highlight w:val="none"/>
        </w:rPr>
      </w:pPr>
      <w:r>
        <w:rPr>
          <w:rFonts w:hint="eastAsia" w:asciiTheme="minorEastAsia" w:hAnsiTheme="minorEastAsia" w:eastAsiaTheme="minorEastAsia" w:cstheme="minorEastAsia"/>
          <w:b/>
          <w:color w:val="auto"/>
          <w:sz w:val="24"/>
          <w:highlight w:val="none"/>
        </w:rPr>
        <w:t>表1：校区</w:t>
      </w:r>
      <w:r>
        <w:rPr>
          <w:rFonts w:hint="eastAsia" w:asciiTheme="minorEastAsia" w:hAnsiTheme="minorEastAsia" w:eastAsiaTheme="minorEastAsia" w:cstheme="minorEastAsia"/>
          <w:b/>
          <w:color w:val="auto"/>
          <w:sz w:val="24"/>
          <w:szCs w:val="28"/>
          <w:highlight w:val="none"/>
        </w:rPr>
        <w:t>各建筑物建筑面积汇总表</w:t>
      </w:r>
    </w:p>
    <w:tbl>
      <w:tblPr>
        <w:tblStyle w:val="48"/>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18"/>
        <w:gridCol w:w="1304"/>
        <w:gridCol w:w="904"/>
        <w:gridCol w:w="1217"/>
        <w:gridCol w:w="933"/>
        <w:gridCol w:w="956"/>
        <w:gridCol w:w="1089"/>
        <w:gridCol w:w="1044"/>
      </w:tblGrid>
      <w:tr w14:paraId="46F3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7" w:type="dxa"/>
            <w:vAlign w:val="center"/>
          </w:tcPr>
          <w:p w14:paraId="05821D5D">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楼栋号</w:t>
            </w:r>
          </w:p>
        </w:tc>
        <w:tc>
          <w:tcPr>
            <w:tcW w:w="1218" w:type="dxa"/>
            <w:vAlign w:val="center"/>
          </w:tcPr>
          <w:p w14:paraId="6BAD383F">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面积</w:t>
            </w:r>
          </w:p>
          <w:p w14:paraId="6F53C351">
            <w:pPr>
              <w:pStyle w:val="2"/>
              <w:rPr>
                <w:color w:val="auto"/>
                <w:highlight w:val="none"/>
              </w:rPr>
            </w:pPr>
            <w:r>
              <w:rPr>
                <w:rFonts w:hint="eastAsia"/>
                <w:color w:val="auto"/>
                <w:highlight w:val="none"/>
              </w:rPr>
              <w:t>（平方米）</w:t>
            </w:r>
          </w:p>
        </w:tc>
        <w:tc>
          <w:tcPr>
            <w:tcW w:w="1304" w:type="dxa"/>
            <w:vAlign w:val="center"/>
          </w:tcPr>
          <w:p w14:paraId="7B78F322">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功能</w:t>
            </w:r>
          </w:p>
        </w:tc>
        <w:tc>
          <w:tcPr>
            <w:tcW w:w="904" w:type="dxa"/>
            <w:vAlign w:val="center"/>
          </w:tcPr>
          <w:p w14:paraId="6A14512A">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楼栋号</w:t>
            </w:r>
          </w:p>
        </w:tc>
        <w:tc>
          <w:tcPr>
            <w:tcW w:w="1217" w:type="dxa"/>
            <w:vAlign w:val="center"/>
          </w:tcPr>
          <w:p w14:paraId="287AB52A">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面积</w:t>
            </w:r>
          </w:p>
          <w:p w14:paraId="0684DE3C">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color w:val="auto"/>
                <w:highlight w:val="none"/>
              </w:rPr>
              <w:t>（平方米）</w:t>
            </w:r>
          </w:p>
        </w:tc>
        <w:tc>
          <w:tcPr>
            <w:tcW w:w="933" w:type="dxa"/>
            <w:vAlign w:val="center"/>
          </w:tcPr>
          <w:p w14:paraId="324E4C56">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功能</w:t>
            </w:r>
          </w:p>
        </w:tc>
        <w:tc>
          <w:tcPr>
            <w:tcW w:w="956" w:type="dxa"/>
            <w:vAlign w:val="center"/>
          </w:tcPr>
          <w:p w14:paraId="00D33CFD">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楼栋号</w:t>
            </w:r>
          </w:p>
        </w:tc>
        <w:tc>
          <w:tcPr>
            <w:tcW w:w="1089" w:type="dxa"/>
            <w:vAlign w:val="center"/>
          </w:tcPr>
          <w:p w14:paraId="42D75CCC">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面积</w:t>
            </w:r>
          </w:p>
          <w:p w14:paraId="5B0FE25D">
            <w:pPr>
              <w:pStyle w:val="2"/>
              <w:rPr>
                <w:color w:val="auto"/>
                <w:highlight w:val="none"/>
              </w:rPr>
            </w:pPr>
            <w:r>
              <w:rPr>
                <w:rFonts w:hint="eastAsia"/>
                <w:color w:val="auto"/>
                <w:highlight w:val="none"/>
              </w:rPr>
              <w:t>（平方米）</w:t>
            </w:r>
          </w:p>
        </w:tc>
        <w:tc>
          <w:tcPr>
            <w:tcW w:w="1044" w:type="dxa"/>
            <w:vAlign w:val="center"/>
          </w:tcPr>
          <w:p w14:paraId="0B6BF071">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功能</w:t>
            </w:r>
          </w:p>
        </w:tc>
      </w:tr>
      <w:tr w14:paraId="7A4F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7" w:type="dxa"/>
            <w:vAlign w:val="center"/>
          </w:tcPr>
          <w:p w14:paraId="120020CE">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A4</w:t>
            </w:r>
          </w:p>
        </w:tc>
        <w:tc>
          <w:tcPr>
            <w:tcW w:w="1218" w:type="dxa"/>
            <w:vAlign w:val="center"/>
          </w:tcPr>
          <w:p w14:paraId="29F74066">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1519.67</w:t>
            </w:r>
          </w:p>
        </w:tc>
        <w:tc>
          <w:tcPr>
            <w:tcW w:w="1304" w:type="dxa"/>
            <w:vAlign w:val="center"/>
          </w:tcPr>
          <w:p w14:paraId="0D6E606D">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办公楼</w:t>
            </w:r>
          </w:p>
        </w:tc>
        <w:tc>
          <w:tcPr>
            <w:tcW w:w="904" w:type="dxa"/>
            <w:vAlign w:val="center"/>
          </w:tcPr>
          <w:p w14:paraId="5E75E121">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C1</w:t>
            </w:r>
          </w:p>
        </w:tc>
        <w:tc>
          <w:tcPr>
            <w:tcW w:w="1217" w:type="dxa"/>
            <w:vAlign w:val="center"/>
          </w:tcPr>
          <w:p w14:paraId="6B4A9D48">
            <w:pPr>
              <w:widowControl/>
              <w:adjustRightInd w:val="0"/>
              <w:snapToGrid w:val="0"/>
              <w:spacing w:line="360" w:lineRule="auto"/>
              <w:jc w:val="righ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2598.56</w:t>
            </w:r>
          </w:p>
        </w:tc>
        <w:tc>
          <w:tcPr>
            <w:tcW w:w="933" w:type="dxa"/>
            <w:vAlign w:val="center"/>
          </w:tcPr>
          <w:p w14:paraId="2880BB62">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宿舍楼</w:t>
            </w:r>
          </w:p>
        </w:tc>
        <w:tc>
          <w:tcPr>
            <w:tcW w:w="956" w:type="dxa"/>
            <w:vAlign w:val="center"/>
          </w:tcPr>
          <w:p w14:paraId="6DA16B8D">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A1</w:t>
            </w:r>
          </w:p>
        </w:tc>
        <w:tc>
          <w:tcPr>
            <w:tcW w:w="1089" w:type="dxa"/>
            <w:vAlign w:val="center"/>
          </w:tcPr>
          <w:p w14:paraId="64A7EEF7">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1734.87</w:t>
            </w:r>
          </w:p>
        </w:tc>
        <w:tc>
          <w:tcPr>
            <w:tcW w:w="1044" w:type="dxa"/>
            <w:vAlign w:val="center"/>
          </w:tcPr>
          <w:p w14:paraId="1987658E">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办公楼</w:t>
            </w:r>
          </w:p>
        </w:tc>
      </w:tr>
      <w:tr w14:paraId="359D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7" w:type="dxa"/>
            <w:vAlign w:val="center"/>
          </w:tcPr>
          <w:p w14:paraId="5FB93A44">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B1</w:t>
            </w:r>
          </w:p>
        </w:tc>
        <w:tc>
          <w:tcPr>
            <w:tcW w:w="1218" w:type="dxa"/>
            <w:vAlign w:val="center"/>
          </w:tcPr>
          <w:p w14:paraId="5FFD1E30">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3370.43</w:t>
            </w:r>
          </w:p>
        </w:tc>
        <w:tc>
          <w:tcPr>
            <w:tcW w:w="1304" w:type="dxa"/>
            <w:vAlign w:val="center"/>
          </w:tcPr>
          <w:p w14:paraId="0C7C0F54">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运动场馆</w:t>
            </w:r>
          </w:p>
        </w:tc>
        <w:tc>
          <w:tcPr>
            <w:tcW w:w="904" w:type="dxa"/>
            <w:vAlign w:val="center"/>
          </w:tcPr>
          <w:p w14:paraId="0E64AE9C">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C2</w:t>
            </w:r>
          </w:p>
        </w:tc>
        <w:tc>
          <w:tcPr>
            <w:tcW w:w="1217" w:type="dxa"/>
            <w:vAlign w:val="center"/>
          </w:tcPr>
          <w:p w14:paraId="478B46C7">
            <w:pPr>
              <w:widowControl/>
              <w:adjustRightInd w:val="0"/>
              <w:snapToGrid w:val="0"/>
              <w:spacing w:line="360" w:lineRule="auto"/>
              <w:jc w:val="righ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2314.16</w:t>
            </w:r>
          </w:p>
        </w:tc>
        <w:tc>
          <w:tcPr>
            <w:tcW w:w="933" w:type="dxa"/>
            <w:vAlign w:val="center"/>
          </w:tcPr>
          <w:p w14:paraId="45270B4C">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宿舍楼</w:t>
            </w:r>
          </w:p>
        </w:tc>
        <w:tc>
          <w:tcPr>
            <w:tcW w:w="956" w:type="dxa"/>
            <w:vAlign w:val="center"/>
          </w:tcPr>
          <w:p w14:paraId="05E935A2">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A2</w:t>
            </w:r>
          </w:p>
        </w:tc>
        <w:tc>
          <w:tcPr>
            <w:tcW w:w="1089" w:type="dxa"/>
            <w:vAlign w:val="center"/>
          </w:tcPr>
          <w:p w14:paraId="5EBB4537">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1479.35</w:t>
            </w:r>
          </w:p>
        </w:tc>
        <w:tc>
          <w:tcPr>
            <w:tcW w:w="1044" w:type="dxa"/>
            <w:vAlign w:val="center"/>
          </w:tcPr>
          <w:p w14:paraId="515B461E">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办公楼</w:t>
            </w:r>
          </w:p>
        </w:tc>
      </w:tr>
      <w:tr w14:paraId="029E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7" w:type="dxa"/>
            <w:vAlign w:val="center"/>
          </w:tcPr>
          <w:p w14:paraId="7FC45F01">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B2</w:t>
            </w:r>
          </w:p>
        </w:tc>
        <w:tc>
          <w:tcPr>
            <w:tcW w:w="1218" w:type="dxa"/>
            <w:vAlign w:val="center"/>
          </w:tcPr>
          <w:p w14:paraId="2B7D96FC">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1021.32</w:t>
            </w:r>
          </w:p>
        </w:tc>
        <w:tc>
          <w:tcPr>
            <w:tcW w:w="1304" w:type="dxa"/>
            <w:vAlign w:val="center"/>
          </w:tcPr>
          <w:p w14:paraId="0C161180">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游泳馆</w:t>
            </w:r>
          </w:p>
        </w:tc>
        <w:tc>
          <w:tcPr>
            <w:tcW w:w="904" w:type="dxa"/>
            <w:vAlign w:val="center"/>
          </w:tcPr>
          <w:p w14:paraId="45AA07B5">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C3</w:t>
            </w:r>
          </w:p>
        </w:tc>
        <w:tc>
          <w:tcPr>
            <w:tcW w:w="1217" w:type="dxa"/>
            <w:vAlign w:val="center"/>
          </w:tcPr>
          <w:p w14:paraId="26F68B0A">
            <w:pPr>
              <w:widowControl/>
              <w:adjustRightInd w:val="0"/>
              <w:snapToGrid w:val="0"/>
              <w:spacing w:line="360" w:lineRule="auto"/>
              <w:jc w:val="righ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1679.69</w:t>
            </w:r>
          </w:p>
        </w:tc>
        <w:tc>
          <w:tcPr>
            <w:tcW w:w="933" w:type="dxa"/>
            <w:vAlign w:val="center"/>
          </w:tcPr>
          <w:p w14:paraId="5B40C1C4">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宿舍楼</w:t>
            </w:r>
          </w:p>
        </w:tc>
        <w:tc>
          <w:tcPr>
            <w:tcW w:w="956" w:type="dxa"/>
            <w:vAlign w:val="center"/>
          </w:tcPr>
          <w:p w14:paraId="5E5672D0">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A3</w:t>
            </w:r>
          </w:p>
        </w:tc>
        <w:tc>
          <w:tcPr>
            <w:tcW w:w="1089" w:type="dxa"/>
            <w:vAlign w:val="center"/>
          </w:tcPr>
          <w:p w14:paraId="357F8402">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2129.91</w:t>
            </w:r>
          </w:p>
        </w:tc>
        <w:tc>
          <w:tcPr>
            <w:tcW w:w="1044" w:type="dxa"/>
            <w:vAlign w:val="center"/>
          </w:tcPr>
          <w:p w14:paraId="77F81086">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会议区</w:t>
            </w:r>
          </w:p>
        </w:tc>
      </w:tr>
      <w:tr w14:paraId="654A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87" w:type="dxa"/>
            <w:vAlign w:val="center"/>
          </w:tcPr>
          <w:p w14:paraId="21920860">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B3</w:t>
            </w:r>
          </w:p>
        </w:tc>
        <w:tc>
          <w:tcPr>
            <w:tcW w:w="1218" w:type="dxa"/>
            <w:vAlign w:val="center"/>
          </w:tcPr>
          <w:p w14:paraId="7A580D43">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1629.1</w:t>
            </w:r>
          </w:p>
        </w:tc>
        <w:tc>
          <w:tcPr>
            <w:tcW w:w="1304" w:type="dxa"/>
            <w:vAlign w:val="center"/>
          </w:tcPr>
          <w:p w14:paraId="1F01B1A3">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球馆</w:t>
            </w:r>
          </w:p>
        </w:tc>
        <w:tc>
          <w:tcPr>
            <w:tcW w:w="904" w:type="dxa"/>
            <w:vAlign w:val="center"/>
          </w:tcPr>
          <w:p w14:paraId="1F087C14">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C7</w:t>
            </w:r>
          </w:p>
        </w:tc>
        <w:tc>
          <w:tcPr>
            <w:tcW w:w="1217" w:type="dxa"/>
            <w:vAlign w:val="center"/>
          </w:tcPr>
          <w:p w14:paraId="238CD825">
            <w:pPr>
              <w:widowControl/>
              <w:adjustRightInd w:val="0"/>
              <w:snapToGrid w:val="0"/>
              <w:spacing w:line="360" w:lineRule="auto"/>
              <w:jc w:val="righ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1316.9</w:t>
            </w:r>
          </w:p>
        </w:tc>
        <w:tc>
          <w:tcPr>
            <w:tcW w:w="933" w:type="dxa"/>
            <w:vAlign w:val="center"/>
          </w:tcPr>
          <w:p w14:paraId="6D4CC4DA">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宿舍楼</w:t>
            </w:r>
          </w:p>
        </w:tc>
        <w:tc>
          <w:tcPr>
            <w:tcW w:w="956" w:type="dxa"/>
            <w:vAlign w:val="center"/>
          </w:tcPr>
          <w:p w14:paraId="3528CEFD">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C4</w:t>
            </w:r>
          </w:p>
        </w:tc>
        <w:tc>
          <w:tcPr>
            <w:tcW w:w="1089" w:type="dxa"/>
            <w:vAlign w:val="center"/>
          </w:tcPr>
          <w:p w14:paraId="79999A0C">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1430.19</w:t>
            </w:r>
          </w:p>
        </w:tc>
        <w:tc>
          <w:tcPr>
            <w:tcW w:w="1044" w:type="dxa"/>
            <w:vAlign w:val="center"/>
          </w:tcPr>
          <w:p w14:paraId="14B7ABE8">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宿舍楼</w:t>
            </w:r>
          </w:p>
        </w:tc>
      </w:tr>
      <w:tr w14:paraId="4B59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7" w:type="dxa"/>
            <w:vAlign w:val="center"/>
          </w:tcPr>
          <w:p w14:paraId="7CC23CE6">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B4</w:t>
            </w:r>
          </w:p>
        </w:tc>
        <w:tc>
          <w:tcPr>
            <w:tcW w:w="1218" w:type="dxa"/>
            <w:vAlign w:val="center"/>
          </w:tcPr>
          <w:p w14:paraId="42A745B5">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29402.34</w:t>
            </w:r>
          </w:p>
        </w:tc>
        <w:tc>
          <w:tcPr>
            <w:tcW w:w="1304" w:type="dxa"/>
            <w:vAlign w:val="center"/>
          </w:tcPr>
          <w:p w14:paraId="2629F7DD">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大报告厅</w:t>
            </w:r>
          </w:p>
        </w:tc>
        <w:tc>
          <w:tcPr>
            <w:tcW w:w="904" w:type="dxa"/>
            <w:vAlign w:val="center"/>
          </w:tcPr>
          <w:p w14:paraId="33169B39">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C8</w:t>
            </w:r>
          </w:p>
        </w:tc>
        <w:tc>
          <w:tcPr>
            <w:tcW w:w="1217" w:type="dxa"/>
            <w:vAlign w:val="center"/>
          </w:tcPr>
          <w:p w14:paraId="054DAD8E">
            <w:pPr>
              <w:widowControl/>
              <w:adjustRightInd w:val="0"/>
              <w:snapToGrid w:val="0"/>
              <w:spacing w:line="360" w:lineRule="auto"/>
              <w:jc w:val="righ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247.95</w:t>
            </w:r>
          </w:p>
        </w:tc>
        <w:tc>
          <w:tcPr>
            <w:tcW w:w="933" w:type="dxa"/>
            <w:vAlign w:val="center"/>
          </w:tcPr>
          <w:p w14:paraId="1007DDE1">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宿舍楼</w:t>
            </w:r>
          </w:p>
        </w:tc>
        <w:tc>
          <w:tcPr>
            <w:tcW w:w="956" w:type="dxa"/>
            <w:vAlign w:val="center"/>
          </w:tcPr>
          <w:p w14:paraId="18D7CA8C">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C5</w:t>
            </w:r>
          </w:p>
        </w:tc>
        <w:tc>
          <w:tcPr>
            <w:tcW w:w="1089" w:type="dxa"/>
            <w:vAlign w:val="center"/>
          </w:tcPr>
          <w:p w14:paraId="29820D1D">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4312.72</w:t>
            </w:r>
          </w:p>
        </w:tc>
        <w:tc>
          <w:tcPr>
            <w:tcW w:w="1044" w:type="dxa"/>
            <w:vAlign w:val="center"/>
          </w:tcPr>
          <w:p w14:paraId="7D3DEA79">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宿舍楼</w:t>
            </w:r>
          </w:p>
        </w:tc>
      </w:tr>
      <w:tr w14:paraId="36C9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7" w:type="dxa"/>
            <w:vAlign w:val="center"/>
          </w:tcPr>
          <w:p w14:paraId="338B44B6">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B5</w:t>
            </w:r>
          </w:p>
        </w:tc>
        <w:tc>
          <w:tcPr>
            <w:tcW w:w="1218" w:type="dxa"/>
            <w:vAlign w:val="center"/>
          </w:tcPr>
          <w:p w14:paraId="00D7D1CA">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13933.1</w:t>
            </w:r>
          </w:p>
        </w:tc>
        <w:tc>
          <w:tcPr>
            <w:tcW w:w="1304" w:type="dxa"/>
            <w:vAlign w:val="center"/>
          </w:tcPr>
          <w:p w14:paraId="7297D36C">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图书馆</w:t>
            </w:r>
          </w:p>
        </w:tc>
        <w:tc>
          <w:tcPr>
            <w:tcW w:w="904" w:type="dxa"/>
            <w:vAlign w:val="center"/>
          </w:tcPr>
          <w:p w14:paraId="4596DA69">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C9</w:t>
            </w:r>
          </w:p>
        </w:tc>
        <w:tc>
          <w:tcPr>
            <w:tcW w:w="1217" w:type="dxa"/>
            <w:vAlign w:val="center"/>
          </w:tcPr>
          <w:p w14:paraId="4745BD0B">
            <w:pPr>
              <w:widowControl/>
              <w:adjustRightInd w:val="0"/>
              <w:snapToGrid w:val="0"/>
              <w:spacing w:line="360" w:lineRule="auto"/>
              <w:jc w:val="righ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6484.92</w:t>
            </w:r>
          </w:p>
        </w:tc>
        <w:tc>
          <w:tcPr>
            <w:tcW w:w="933" w:type="dxa"/>
            <w:vAlign w:val="center"/>
          </w:tcPr>
          <w:p w14:paraId="59723319">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宿舍楼</w:t>
            </w:r>
          </w:p>
        </w:tc>
        <w:tc>
          <w:tcPr>
            <w:tcW w:w="956" w:type="dxa"/>
            <w:vAlign w:val="center"/>
          </w:tcPr>
          <w:p w14:paraId="0D1F39B3">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C6</w:t>
            </w:r>
          </w:p>
        </w:tc>
        <w:tc>
          <w:tcPr>
            <w:tcW w:w="1089" w:type="dxa"/>
            <w:vAlign w:val="center"/>
          </w:tcPr>
          <w:p w14:paraId="01F545EC">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1594.71</w:t>
            </w:r>
          </w:p>
        </w:tc>
        <w:tc>
          <w:tcPr>
            <w:tcW w:w="1044" w:type="dxa"/>
            <w:vAlign w:val="center"/>
          </w:tcPr>
          <w:p w14:paraId="3988238F">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宿舍楼</w:t>
            </w:r>
          </w:p>
        </w:tc>
      </w:tr>
      <w:tr w14:paraId="3E44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7" w:type="dxa"/>
            <w:vAlign w:val="center"/>
          </w:tcPr>
          <w:p w14:paraId="5836D04E">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B6</w:t>
            </w:r>
          </w:p>
        </w:tc>
        <w:tc>
          <w:tcPr>
            <w:tcW w:w="1218" w:type="dxa"/>
            <w:vAlign w:val="center"/>
          </w:tcPr>
          <w:p w14:paraId="49E2329A">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1595.1</w:t>
            </w:r>
          </w:p>
        </w:tc>
        <w:tc>
          <w:tcPr>
            <w:tcW w:w="1304" w:type="dxa"/>
            <w:vAlign w:val="center"/>
          </w:tcPr>
          <w:p w14:paraId="05BC17DD">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报告厅</w:t>
            </w:r>
          </w:p>
        </w:tc>
        <w:tc>
          <w:tcPr>
            <w:tcW w:w="904" w:type="dxa"/>
            <w:vAlign w:val="center"/>
          </w:tcPr>
          <w:p w14:paraId="1BEC2B91">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C9</w:t>
            </w:r>
          </w:p>
        </w:tc>
        <w:tc>
          <w:tcPr>
            <w:tcW w:w="1217" w:type="dxa"/>
            <w:vAlign w:val="center"/>
          </w:tcPr>
          <w:p w14:paraId="4E500895">
            <w:pPr>
              <w:widowControl/>
              <w:adjustRightInd w:val="0"/>
              <w:snapToGrid w:val="0"/>
              <w:spacing w:line="360" w:lineRule="auto"/>
              <w:jc w:val="righ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1600.00</w:t>
            </w:r>
          </w:p>
        </w:tc>
        <w:tc>
          <w:tcPr>
            <w:tcW w:w="933" w:type="dxa"/>
            <w:vAlign w:val="center"/>
          </w:tcPr>
          <w:p w14:paraId="6F660ABA">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餐厅</w:t>
            </w:r>
          </w:p>
        </w:tc>
        <w:tc>
          <w:tcPr>
            <w:tcW w:w="956" w:type="dxa"/>
            <w:vAlign w:val="center"/>
          </w:tcPr>
          <w:p w14:paraId="38B6702A">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089" w:type="dxa"/>
            <w:vAlign w:val="center"/>
          </w:tcPr>
          <w:p w14:paraId="49F9D8FE">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044" w:type="dxa"/>
            <w:vAlign w:val="center"/>
          </w:tcPr>
          <w:p w14:paraId="11066B08">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r>
      <w:tr w14:paraId="44CB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7" w:type="dxa"/>
            <w:vAlign w:val="center"/>
          </w:tcPr>
          <w:p w14:paraId="71A537A1">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B7</w:t>
            </w:r>
          </w:p>
        </w:tc>
        <w:tc>
          <w:tcPr>
            <w:tcW w:w="1218" w:type="dxa"/>
            <w:vAlign w:val="center"/>
          </w:tcPr>
          <w:p w14:paraId="6A54164B">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3112</w:t>
            </w:r>
          </w:p>
        </w:tc>
        <w:tc>
          <w:tcPr>
            <w:tcW w:w="1304" w:type="dxa"/>
            <w:vAlign w:val="center"/>
          </w:tcPr>
          <w:p w14:paraId="36E8305C">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教学楼</w:t>
            </w:r>
          </w:p>
        </w:tc>
        <w:tc>
          <w:tcPr>
            <w:tcW w:w="904" w:type="dxa"/>
            <w:vAlign w:val="center"/>
          </w:tcPr>
          <w:p w14:paraId="04940F98">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C10</w:t>
            </w:r>
          </w:p>
        </w:tc>
        <w:tc>
          <w:tcPr>
            <w:tcW w:w="1217" w:type="dxa"/>
            <w:vAlign w:val="center"/>
          </w:tcPr>
          <w:p w14:paraId="3F26E959">
            <w:pPr>
              <w:widowControl/>
              <w:adjustRightInd w:val="0"/>
              <w:snapToGrid w:val="0"/>
              <w:spacing w:line="360" w:lineRule="auto"/>
              <w:jc w:val="righ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 xml:space="preserve"> 3,520.50 </w:t>
            </w:r>
          </w:p>
        </w:tc>
        <w:tc>
          <w:tcPr>
            <w:tcW w:w="933" w:type="dxa"/>
            <w:vAlign w:val="center"/>
          </w:tcPr>
          <w:p w14:paraId="52D2DED6">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宿舍楼</w:t>
            </w:r>
          </w:p>
        </w:tc>
        <w:tc>
          <w:tcPr>
            <w:tcW w:w="956" w:type="dxa"/>
            <w:vAlign w:val="center"/>
          </w:tcPr>
          <w:p w14:paraId="7EBB99F8">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089" w:type="dxa"/>
            <w:vAlign w:val="center"/>
          </w:tcPr>
          <w:p w14:paraId="7E0EC450">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044" w:type="dxa"/>
            <w:vAlign w:val="center"/>
          </w:tcPr>
          <w:p w14:paraId="178E2FC5">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r>
      <w:tr w14:paraId="5414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7" w:type="dxa"/>
            <w:vAlign w:val="center"/>
          </w:tcPr>
          <w:p w14:paraId="47170952">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B8</w:t>
            </w:r>
          </w:p>
        </w:tc>
        <w:tc>
          <w:tcPr>
            <w:tcW w:w="1218" w:type="dxa"/>
            <w:vAlign w:val="center"/>
          </w:tcPr>
          <w:p w14:paraId="59CD77C3">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2736.9</w:t>
            </w:r>
          </w:p>
        </w:tc>
        <w:tc>
          <w:tcPr>
            <w:tcW w:w="1304" w:type="dxa"/>
            <w:vAlign w:val="center"/>
          </w:tcPr>
          <w:p w14:paraId="3A786009">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数学楼</w:t>
            </w:r>
          </w:p>
        </w:tc>
        <w:tc>
          <w:tcPr>
            <w:tcW w:w="904" w:type="dxa"/>
            <w:vAlign w:val="center"/>
          </w:tcPr>
          <w:p w14:paraId="37091E33">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C11</w:t>
            </w:r>
          </w:p>
        </w:tc>
        <w:tc>
          <w:tcPr>
            <w:tcW w:w="1217" w:type="dxa"/>
            <w:vAlign w:val="center"/>
          </w:tcPr>
          <w:p w14:paraId="73D857B3">
            <w:pPr>
              <w:widowControl/>
              <w:adjustRightInd w:val="0"/>
              <w:snapToGrid w:val="0"/>
              <w:spacing w:line="360" w:lineRule="auto"/>
              <w:jc w:val="righ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890.41</w:t>
            </w:r>
          </w:p>
        </w:tc>
        <w:tc>
          <w:tcPr>
            <w:tcW w:w="933" w:type="dxa"/>
            <w:vAlign w:val="center"/>
          </w:tcPr>
          <w:p w14:paraId="4DA971AD">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宿舍楼</w:t>
            </w:r>
          </w:p>
        </w:tc>
        <w:tc>
          <w:tcPr>
            <w:tcW w:w="956" w:type="dxa"/>
            <w:vAlign w:val="center"/>
          </w:tcPr>
          <w:p w14:paraId="787AD93A">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089" w:type="dxa"/>
            <w:vAlign w:val="center"/>
          </w:tcPr>
          <w:p w14:paraId="1BEC8F0B">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044" w:type="dxa"/>
            <w:vAlign w:val="center"/>
          </w:tcPr>
          <w:p w14:paraId="5D384DF8">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r>
      <w:tr w14:paraId="44F4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7" w:type="dxa"/>
            <w:vAlign w:val="center"/>
          </w:tcPr>
          <w:p w14:paraId="204532B1">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B9</w:t>
            </w:r>
          </w:p>
        </w:tc>
        <w:tc>
          <w:tcPr>
            <w:tcW w:w="1218" w:type="dxa"/>
            <w:vAlign w:val="center"/>
          </w:tcPr>
          <w:p w14:paraId="19B68605">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2678.92</w:t>
            </w:r>
          </w:p>
        </w:tc>
        <w:tc>
          <w:tcPr>
            <w:tcW w:w="1304" w:type="dxa"/>
            <w:vAlign w:val="center"/>
          </w:tcPr>
          <w:p w14:paraId="0A403FDE">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数学楼</w:t>
            </w:r>
          </w:p>
        </w:tc>
        <w:tc>
          <w:tcPr>
            <w:tcW w:w="904" w:type="dxa"/>
            <w:vAlign w:val="center"/>
          </w:tcPr>
          <w:p w14:paraId="5DDED727">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C12</w:t>
            </w:r>
          </w:p>
        </w:tc>
        <w:tc>
          <w:tcPr>
            <w:tcW w:w="1217" w:type="dxa"/>
            <w:vAlign w:val="center"/>
          </w:tcPr>
          <w:p w14:paraId="48F0D327">
            <w:pPr>
              <w:widowControl/>
              <w:adjustRightInd w:val="0"/>
              <w:snapToGrid w:val="0"/>
              <w:spacing w:line="360" w:lineRule="auto"/>
              <w:jc w:val="righ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3530.05</w:t>
            </w:r>
          </w:p>
        </w:tc>
        <w:tc>
          <w:tcPr>
            <w:tcW w:w="933" w:type="dxa"/>
            <w:vAlign w:val="center"/>
          </w:tcPr>
          <w:p w14:paraId="59E14CCB">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宿舍楼</w:t>
            </w:r>
          </w:p>
        </w:tc>
        <w:tc>
          <w:tcPr>
            <w:tcW w:w="956" w:type="dxa"/>
            <w:vAlign w:val="center"/>
          </w:tcPr>
          <w:p w14:paraId="334BE87B">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089" w:type="dxa"/>
            <w:vAlign w:val="center"/>
          </w:tcPr>
          <w:p w14:paraId="02227D45">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044" w:type="dxa"/>
            <w:vAlign w:val="center"/>
          </w:tcPr>
          <w:p w14:paraId="002C7798">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r>
      <w:tr w14:paraId="6D92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7" w:type="dxa"/>
            <w:vAlign w:val="center"/>
          </w:tcPr>
          <w:p w14:paraId="7898511A">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B10</w:t>
            </w:r>
          </w:p>
        </w:tc>
        <w:tc>
          <w:tcPr>
            <w:tcW w:w="1218" w:type="dxa"/>
            <w:vAlign w:val="center"/>
          </w:tcPr>
          <w:p w14:paraId="066C41F1">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3003.67</w:t>
            </w:r>
          </w:p>
        </w:tc>
        <w:tc>
          <w:tcPr>
            <w:tcW w:w="1304" w:type="dxa"/>
            <w:vAlign w:val="center"/>
          </w:tcPr>
          <w:p w14:paraId="022A78D2">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报告厅</w:t>
            </w:r>
          </w:p>
        </w:tc>
        <w:tc>
          <w:tcPr>
            <w:tcW w:w="904" w:type="dxa"/>
            <w:vAlign w:val="center"/>
          </w:tcPr>
          <w:p w14:paraId="3269C198">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C13</w:t>
            </w:r>
          </w:p>
        </w:tc>
        <w:tc>
          <w:tcPr>
            <w:tcW w:w="1217" w:type="dxa"/>
            <w:vAlign w:val="center"/>
          </w:tcPr>
          <w:p w14:paraId="1E34ABA1">
            <w:pPr>
              <w:widowControl/>
              <w:adjustRightInd w:val="0"/>
              <w:snapToGrid w:val="0"/>
              <w:spacing w:line="360" w:lineRule="auto"/>
              <w:jc w:val="righ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451.12</w:t>
            </w:r>
          </w:p>
        </w:tc>
        <w:tc>
          <w:tcPr>
            <w:tcW w:w="933" w:type="dxa"/>
            <w:vAlign w:val="center"/>
          </w:tcPr>
          <w:p w14:paraId="65A90DF0">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宿舍楼</w:t>
            </w:r>
          </w:p>
        </w:tc>
        <w:tc>
          <w:tcPr>
            <w:tcW w:w="956" w:type="dxa"/>
            <w:vAlign w:val="center"/>
          </w:tcPr>
          <w:p w14:paraId="218890D9">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089" w:type="dxa"/>
            <w:vAlign w:val="center"/>
          </w:tcPr>
          <w:p w14:paraId="0F299473">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044" w:type="dxa"/>
            <w:vAlign w:val="center"/>
          </w:tcPr>
          <w:p w14:paraId="4930BB6C">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r>
      <w:tr w14:paraId="2ACC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7" w:type="dxa"/>
            <w:vAlign w:val="center"/>
          </w:tcPr>
          <w:p w14:paraId="37E25DFE">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B11</w:t>
            </w:r>
          </w:p>
        </w:tc>
        <w:tc>
          <w:tcPr>
            <w:tcW w:w="1218" w:type="dxa"/>
            <w:vAlign w:val="center"/>
          </w:tcPr>
          <w:p w14:paraId="023CAA20">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1475.46</w:t>
            </w:r>
          </w:p>
        </w:tc>
        <w:tc>
          <w:tcPr>
            <w:tcW w:w="1304" w:type="dxa"/>
            <w:vAlign w:val="center"/>
          </w:tcPr>
          <w:p w14:paraId="6C5740B9">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数学楼</w:t>
            </w:r>
          </w:p>
        </w:tc>
        <w:tc>
          <w:tcPr>
            <w:tcW w:w="904" w:type="dxa"/>
            <w:vAlign w:val="center"/>
          </w:tcPr>
          <w:p w14:paraId="6A5AF4C4">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C14</w:t>
            </w:r>
          </w:p>
        </w:tc>
        <w:tc>
          <w:tcPr>
            <w:tcW w:w="1217" w:type="dxa"/>
            <w:vAlign w:val="center"/>
          </w:tcPr>
          <w:p w14:paraId="3E6CE1D7">
            <w:pPr>
              <w:widowControl/>
              <w:adjustRightInd w:val="0"/>
              <w:snapToGrid w:val="0"/>
              <w:spacing w:line="360" w:lineRule="auto"/>
              <w:jc w:val="righ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2613.21</w:t>
            </w:r>
          </w:p>
        </w:tc>
        <w:tc>
          <w:tcPr>
            <w:tcW w:w="933" w:type="dxa"/>
            <w:vAlign w:val="center"/>
          </w:tcPr>
          <w:p w14:paraId="7220B863">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宿舍楼</w:t>
            </w:r>
          </w:p>
        </w:tc>
        <w:tc>
          <w:tcPr>
            <w:tcW w:w="956" w:type="dxa"/>
            <w:vAlign w:val="center"/>
          </w:tcPr>
          <w:p w14:paraId="6C4EB283">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089" w:type="dxa"/>
            <w:vAlign w:val="center"/>
          </w:tcPr>
          <w:p w14:paraId="222331DE">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044" w:type="dxa"/>
            <w:vAlign w:val="center"/>
          </w:tcPr>
          <w:p w14:paraId="3B3CE93D">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r>
      <w:tr w14:paraId="63DD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7" w:type="dxa"/>
            <w:vAlign w:val="center"/>
          </w:tcPr>
          <w:p w14:paraId="0987524D">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其他</w:t>
            </w:r>
          </w:p>
        </w:tc>
        <w:tc>
          <w:tcPr>
            <w:tcW w:w="1218" w:type="dxa"/>
            <w:vAlign w:val="center"/>
          </w:tcPr>
          <w:p w14:paraId="276D16F6">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32.4</w:t>
            </w:r>
          </w:p>
        </w:tc>
        <w:tc>
          <w:tcPr>
            <w:tcW w:w="1304" w:type="dxa"/>
            <w:vAlign w:val="center"/>
          </w:tcPr>
          <w:p w14:paraId="1F169DAE">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保留建筑</w:t>
            </w:r>
          </w:p>
        </w:tc>
        <w:tc>
          <w:tcPr>
            <w:tcW w:w="904" w:type="dxa"/>
            <w:vAlign w:val="center"/>
          </w:tcPr>
          <w:p w14:paraId="41ABEC89">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C15</w:t>
            </w:r>
          </w:p>
        </w:tc>
        <w:tc>
          <w:tcPr>
            <w:tcW w:w="1217" w:type="dxa"/>
            <w:vAlign w:val="center"/>
          </w:tcPr>
          <w:p w14:paraId="7B9E12D1">
            <w:pPr>
              <w:widowControl/>
              <w:adjustRightInd w:val="0"/>
              <w:snapToGrid w:val="0"/>
              <w:spacing w:line="360" w:lineRule="auto"/>
              <w:jc w:val="righ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2110.99</w:t>
            </w:r>
          </w:p>
        </w:tc>
        <w:tc>
          <w:tcPr>
            <w:tcW w:w="933" w:type="dxa"/>
            <w:vAlign w:val="center"/>
          </w:tcPr>
          <w:p w14:paraId="7A44CDF7">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宿舍楼</w:t>
            </w:r>
          </w:p>
        </w:tc>
        <w:tc>
          <w:tcPr>
            <w:tcW w:w="956" w:type="dxa"/>
            <w:vAlign w:val="center"/>
          </w:tcPr>
          <w:p w14:paraId="3C9E6841">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089" w:type="dxa"/>
            <w:vAlign w:val="center"/>
          </w:tcPr>
          <w:p w14:paraId="24125244">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044" w:type="dxa"/>
            <w:vAlign w:val="center"/>
          </w:tcPr>
          <w:p w14:paraId="6DEACD92">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r>
      <w:tr w14:paraId="3001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7" w:type="dxa"/>
            <w:vAlign w:val="center"/>
          </w:tcPr>
          <w:p w14:paraId="3D409541">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其他</w:t>
            </w:r>
          </w:p>
        </w:tc>
        <w:tc>
          <w:tcPr>
            <w:tcW w:w="1218" w:type="dxa"/>
            <w:vAlign w:val="center"/>
          </w:tcPr>
          <w:p w14:paraId="71AAB753">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2572.13</w:t>
            </w:r>
          </w:p>
        </w:tc>
        <w:tc>
          <w:tcPr>
            <w:tcW w:w="1304" w:type="dxa"/>
            <w:vAlign w:val="center"/>
          </w:tcPr>
          <w:p w14:paraId="3D47EDC1">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风雨连廊</w:t>
            </w:r>
          </w:p>
        </w:tc>
        <w:tc>
          <w:tcPr>
            <w:tcW w:w="904" w:type="dxa"/>
            <w:vAlign w:val="center"/>
          </w:tcPr>
          <w:p w14:paraId="0B78CFAC">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C16</w:t>
            </w:r>
          </w:p>
        </w:tc>
        <w:tc>
          <w:tcPr>
            <w:tcW w:w="1217" w:type="dxa"/>
            <w:vAlign w:val="center"/>
          </w:tcPr>
          <w:p w14:paraId="34C3A2B2">
            <w:pPr>
              <w:widowControl/>
              <w:adjustRightInd w:val="0"/>
              <w:snapToGrid w:val="0"/>
              <w:spacing w:line="360" w:lineRule="auto"/>
              <w:jc w:val="righ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634.89</w:t>
            </w:r>
          </w:p>
        </w:tc>
        <w:tc>
          <w:tcPr>
            <w:tcW w:w="933" w:type="dxa"/>
            <w:vAlign w:val="center"/>
          </w:tcPr>
          <w:p w14:paraId="50455CC2">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宿舍楼</w:t>
            </w:r>
          </w:p>
        </w:tc>
        <w:tc>
          <w:tcPr>
            <w:tcW w:w="956" w:type="dxa"/>
            <w:vAlign w:val="center"/>
          </w:tcPr>
          <w:p w14:paraId="10044D01">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089" w:type="dxa"/>
            <w:vAlign w:val="center"/>
          </w:tcPr>
          <w:p w14:paraId="100AE0A1">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044" w:type="dxa"/>
            <w:vAlign w:val="center"/>
          </w:tcPr>
          <w:p w14:paraId="0C583BFC">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r>
      <w:tr w14:paraId="09BC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vAlign w:val="center"/>
          </w:tcPr>
          <w:p w14:paraId="5529F71B">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C5</w:t>
            </w:r>
          </w:p>
        </w:tc>
        <w:tc>
          <w:tcPr>
            <w:tcW w:w="1218" w:type="dxa"/>
            <w:vAlign w:val="center"/>
          </w:tcPr>
          <w:p w14:paraId="45F9BD1F">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337.28</w:t>
            </w:r>
          </w:p>
        </w:tc>
        <w:tc>
          <w:tcPr>
            <w:tcW w:w="1304" w:type="dxa"/>
            <w:vAlign w:val="center"/>
          </w:tcPr>
          <w:p w14:paraId="18D920D6">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首层医务室</w:t>
            </w:r>
          </w:p>
        </w:tc>
        <w:tc>
          <w:tcPr>
            <w:tcW w:w="904" w:type="dxa"/>
            <w:vAlign w:val="center"/>
          </w:tcPr>
          <w:p w14:paraId="5CCD6BA9">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C17</w:t>
            </w:r>
          </w:p>
        </w:tc>
        <w:tc>
          <w:tcPr>
            <w:tcW w:w="1217" w:type="dxa"/>
            <w:vAlign w:val="center"/>
          </w:tcPr>
          <w:p w14:paraId="4FA81BE5">
            <w:pPr>
              <w:widowControl/>
              <w:adjustRightInd w:val="0"/>
              <w:snapToGrid w:val="0"/>
              <w:spacing w:line="360" w:lineRule="auto"/>
              <w:jc w:val="righ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4191.99</w:t>
            </w:r>
          </w:p>
        </w:tc>
        <w:tc>
          <w:tcPr>
            <w:tcW w:w="933" w:type="dxa"/>
            <w:vAlign w:val="center"/>
          </w:tcPr>
          <w:p w14:paraId="7F42F070">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宿舍楼</w:t>
            </w:r>
          </w:p>
        </w:tc>
        <w:tc>
          <w:tcPr>
            <w:tcW w:w="956" w:type="dxa"/>
            <w:vAlign w:val="center"/>
          </w:tcPr>
          <w:p w14:paraId="460EE722">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089" w:type="dxa"/>
            <w:vAlign w:val="center"/>
          </w:tcPr>
          <w:p w14:paraId="44C5D34D">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044" w:type="dxa"/>
            <w:vAlign w:val="center"/>
          </w:tcPr>
          <w:p w14:paraId="7448038A">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r>
      <w:tr w14:paraId="7E8C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7" w:type="dxa"/>
            <w:vAlign w:val="center"/>
          </w:tcPr>
          <w:p w14:paraId="2AE27ADE">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C6</w:t>
            </w:r>
          </w:p>
        </w:tc>
        <w:tc>
          <w:tcPr>
            <w:tcW w:w="1218" w:type="dxa"/>
            <w:vAlign w:val="center"/>
          </w:tcPr>
          <w:p w14:paraId="4D906DDD">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660.66</w:t>
            </w:r>
          </w:p>
        </w:tc>
        <w:tc>
          <w:tcPr>
            <w:tcW w:w="1304" w:type="dxa"/>
            <w:vAlign w:val="center"/>
          </w:tcPr>
          <w:p w14:paraId="38D3A19C">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教师餐厅</w:t>
            </w:r>
          </w:p>
        </w:tc>
        <w:tc>
          <w:tcPr>
            <w:tcW w:w="904" w:type="dxa"/>
            <w:vAlign w:val="center"/>
          </w:tcPr>
          <w:p w14:paraId="29EBADD9">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C18</w:t>
            </w:r>
          </w:p>
        </w:tc>
        <w:tc>
          <w:tcPr>
            <w:tcW w:w="1217" w:type="dxa"/>
            <w:vAlign w:val="center"/>
          </w:tcPr>
          <w:p w14:paraId="51791EF2">
            <w:pPr>
              <w:widowControl/>
              <w:adjustRightInd w:val="0"/>
              <w:snapToGrid w:val="0"/>
              <w:spacing w:line="360" w:lineRule="auto"/>
              <w:jc w:val="righ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1718.45</w:t>
            </w:r>
          </w:p>
        </w:tc>
        <w:tc>
          <w:tcPr>
            <w:tcW w:w="933" w:type="dxa"/>
            <w:vAlign w:val="center"/>
          </w:tcPr>
          <w:p w14:paraId="2EA4FDD6">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宿舍楼</w:t>
            </w:r>
          </w:p>
        </w:tc>
        <w:tc>
          <w:tcPr>
            <w:tcW w:w="956" w:type="dxa"/>
            <w:vAlign w:val="center"/>
          </w:tcPr>
          <w:p w14:paraId="0AAABF01">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089" w:type="dxa"/>
            <w:vAlign w:val="center"/>
          </w:tcPr>
          <w:p w14:paraId="536E4F0C">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044" w:type="dxa"/>
            <w:vAlign w:val="center"/>
          </w:tcPr>
          <w:p w14:paraId="49DB565A">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r>
      <w:tr w14:paraId="3039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7" w:type="dxa"/>
            <w:vAlign w:val="center"/>
          </w:tcPr>
          <w:p w14:paraId="71818512">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218" w:type="dxa"/>
            <w:vAlign w:val="center"/>
          </w:tcPr>
          <w:p w14:paraId="10DAE9F8">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304" w:type="dxa"/>
            <w:vAlign w:val="center"/>
          </w:tcPr>
          <w:p w14:paraId="394E8E42">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904" w:type="dxa"/>
            <w:vAlign w:val="center"/>
          </w:tcPr>
          <w:p w14:paraId="15B4588A">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D1</w:t>
            </w:r>
          </w:p>
        </w:tc>
        <w:tc>
          <w:tcPr>
            <w:tcW w:w="1217" w:type="dxa"/>
            <w:vAlign w:val="center"/>
          </w:tcPr>
          <w:p w14:paraId="42B56273">
            <w:pPr>
              <w:widowControl/>
              <w:adjustRightInd w:val="0"/>
              <w:snapToGrid w:val="0"/>
              <w:spacing w:line="360" w:lineRule="auto"/>
              <w:jc w:val="righ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76.39</w:t>
            </w:r>
          </w:p>
        </w:tc>
        <w:tc>
          <w:tcPr>
            <w:tcW w:w="933" w:type="dxa"/>
            <w:vAlign w:val="center"/>
          </w:tcPr>
          <w:p w14:paraId="438EB815">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其他</w:t>
            </w:r>
          </w:p>
        </w:tc>
        <w:tc>
          <w:tcPr>
            <w:tcW w:w="956" w:type="dxa"/>
            <w:vAlign w:val="center"/>
          </w:tcPr>
          <w:p w14:paraId="5538E375">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089" w:type="dxa"/>
            <w:vAlign w:val="center"/>
          </w:tcPr>
          <w:p w14:paraId="027AD394">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c>
          <w:tcPr>
            <w:tcW w:w="1044" w:type="dxa"/>
            <w:vAlign w:val="center"/>
          </w:tcPr>
          <w:p w14:paraId="3D138099">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p>
        </w:tc>
      </w:tr>
      <w:tr w14:paraId="6A32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30" w:type="dxa"/>
            <w:gridSpan w:val="5"/>
            <w:vAlign w:val="center"/>
          </w:tcPr>
          <w:p w14:paraId="21F431B6">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人工智能学院合计面积</w:t>
            </w:r>
            <w:r>
              <w:rPr>
                <w:rFonts w:hint="eastAsia"/>
                <w:color w:val="auto"/>
                <w:highlight w:val="none"/>
              </w:rPr>
              <w:t>（平方米）</w:t>
            </w:r>
            <w:r>
              <w:rPr>
                <w:rFonts w:hint="eastAsia" w:asciiTheme="minorEastAsia" w:hAnsiTheme="minorEastAsia" w:eastAsiaTheme="minorEastAsia" w:cstheme="minorEastAsia"/>
                <w:bCs/>
                <w:color w:val="auto"/>
                <w:kern w:val="0"/>
                <w:szCs w:val="21"/>
                <w:highlight w:val="none"/>
              </w:rPr>
              <w:t>：105060.66</w:t>
            </w:r>
          </w:p>
        </w:tc>
        <w:tc>
          <w:tcPr>
            <w:tcW w:w="4022" w:type="dxa"/>
            <w:gridSpan w:val="4"/>
            <w:vAlign w:val="center"/>
          </w:tcPr>
          <w:p w14:paraId="3023D86D">
            <w:pPr>
              <w:widowControl/>
              <w:adjustRightInd w:val="0"/>
              <w:snapToGrid w:val="0"/>
              <w:spacing w:line="360" w:lineRule="auto"/>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研究院合计面积</w:t>
            </w:r>
            <w:r>
              <w:rPr>
                <w:rFonts w:hint="eastAsia"/>
                <w:color w:val="auto"/>
                <w:highlight w:val="none"/>
              </w:rPr>
              <w:t>（平方米）</w:t>
            </w:r>
            <w:r>
              <w:rPr>
                <w:rFonts w:hint="eastAsia" w:asciiTheme="minorEastAsia" w:hAnsiTheme="minorEastAsia" w:eastAsiaTheme="minorEastAsia" w:cstheme="minorEastAsia"/>
                <w:bCs/>
                <w:color w:val="auto"/>
                <w:kern w:val="0"/>
                <w:szCs w:val="21"/>
                <w:highlight w:val="none"/>
              </w:rPr>
              <w:t>：12681.75</w:t>
            </w:r>
          </w:p>
        </w:tc>
      </w:tr>
    </w:tbl>
    <w:p w14:paraId="34682432">
      <w:pPr>
        <w:spacing w:line="360" w:lineRule="auto"/>
        <w:rPr>
          <w:rFonts w:hint="eastAsia" w:asciiTheme="minorEastAsia" w:hAnsiTheme="minorEastAsia" w:eastAsiaTheme="minorEastAsia" w:cstheme="minorEastAsia"/>
          <w:color w:val="auto"/>
          <w:sz w:val="24"/>
          <w:highlight w:val="none"/>
        </w:rPr>
      </w:pPr>
    </w:p>
    <w:p w14:paraId="1A416CD4">
      <w:pPr>
        <w:widowControl/>
        <w:spacing w:line="240" w:lineRule="auto"/>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p>
    <w:p w14:paraId="5AF8D29C">
      <w:pPr>
        <w:widowControl/>
        <w:spacing w:line="360" w:lineRule="auto"/>
        <w:ind w:firstLine="482" w:firstLineChars="20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二、物业服务要求</w:t>
      </w:r>
    </w:p>
    <w:p w14:paraId="16B4A376">
      <w:pPr>
        <w:widowControl/>
        <w:spacing w:line="360" w:lineRule="auto"/>
        <w:ind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（一）人员配置及要求</w:t>
      </w:r>
    </w:p>
    <w:p w14:paraId="2AEF91DA">
      <w:pPr>
        <w:numPr>
          <w:ilvl w:val="0"/>
          <w:numId w:val="12"/>
        </w:numPr>
        <w:spacing w:line="360" w:lineRule="auto"/>
        <w:rPr>
          <w:rFonts w:ascii="Times New Roman Regular" w:hAnsi="Times New Roman Regular" w:cs="Times New Roman Regular" w:eastAsiaTheme="minorEastAsia"/>
          <w:b/>
          <w:bCs/>
          <w:color w:val="auto"/>
          <w:sz w:val="24"/>
          <w:highlight w:val="none"/>
        </w:rPr>
      </w:pPr>
      <w:r>
        <w:rPr>
          <w:rFonts w:ascii="Times New Roman Regular" w:hAnsi="Times New Roman Regular" w:cs="Times New Roman Regular" w:eastAsiaTheme="minorEastAsia"/>
          <w:b/>
          <w:bCs/>
          <w:color w:val="auto"/>
          <w:sz w:val="24"/>
          <w:highlight w:val="none"/>
        </w:rPr>
        <w:t>人员配置数量</w:t>
      </w:r>
    </w:p>
    <w:tbl>
      <w:tblPr>
        <w:tblStyle w:val="48"/>
        <w:tblW w:w="9504" w:type="dxa"/>
        <w:tblInd w:w="0" w:type="dxa"/>
        <w:tblLayout w:type="fixed"/>
        <w:tblCellMar>
          <w:top w:w="0" w:type="dxa"/>
          <w:left w:w="108" w:type="dxa"/>
          <w:bottom w:w="0" w:type="dxa"/>
          <w:right w:w="108" w:type="dxa"/>
        </w:tblCellMar>
      </w:tblPr>
      <w:tblGrid>
        <w:gridCol w:w="480"/>
        <w:gridCol w:w="818"/>
        <w:gridCol w:w="1678"/>
        <w:gridCol w:w="692"/>
        <w:gridCol w:w="603"/>
        <w:gridCol w:w="504"/>
        <w:gridCol w:w="4729"/>
      </w:tblGrid>
      <w:tr w14:paraId="0B6AB0FD">
        <w:tblPrEx>
          <w:tblCellMar>
            <w:top w:w="0" w:type="dxa"/>
            <w:left w:w="108" w:type="dxa"/>
            <w:bottom w:w="0" w:type="dxa"/>
            <w:right w:w="108" w:type="dxa"/>
          </w:tblCellMar>
        </w:tblPrEx>
        <w:trPr>
          <w:trHeight w:val="393" w:hRule="atLeast"/>
        </w:trPr>
        <w:tc>
          <w:tcPr>
            <w:tcW w:w="480" w:type="dxa"/>
            <w:tcBorders>
              <w:top w:val="single" w:color="000000" w:sz="8" w:space="0"/>
              <w:left w:val="single" w:color="000000" w:sz="8" w:space="0"/>
              <w:bottom w:val="single" w:color="000000" w:sz="8" w:space="0"/>
              <w:right w:val="single" w:color="000000" w:sz="8" w:space="0"/>
            </w:tcBorders>
            <w:vAlign w:val="center"/>
          </w:tcPr>
          <w:p w14:paraId="43BB2393">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b/>
                <w:bCs/>
                <w:color w:val="auto"/>
                <w:kern w:val="0"/>
                <w:sz w:val="24"/>
                <w:highlight w:val="none"/>
                <w:lang w:bidi="ar"/>
              </w:rPr>
              <w:t>序号</w:t>
            </w:r>
          </w:p>
        </w:tc>
        <w:tc>
          <w:tcPr>
            <w:tcW w:w="8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508DE6">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b/>
                <w:bCs/>
                <w:color w:val="auto"/>
                <w:kern w:val="0"/>
                <w:sz w:val="24"/>
                <w:highlight w:val="none"/>
                <w:lang w:bidi="ar"/>
              </w:rPr>
              <w:t>部门</w:t>
            </w:r>
          </w:p>
        </w:tc>
        <w:tc>
          <w:tcPr>
            <w:tcW w:w="1678" w:type="dxa"/>
            <w:tcBorders>
              <w:top w:val="single" w:color="000000" w:sz="8" w:space="0"/>
              <w:left w:val="single" w:color="000000" w:sz="8" w:space="0"/>
              <w:bottom w:val="single" w:color="000000" w:sz="8" w:space="0"/>
              <w:right w:val="single" w:color="000000" w:sz="8" w:space="0"/>
            </w:tcBorders>
            <w:vAlign w:val="center"/>
          </w:tcPr>
          <w:p w14:paraId="1660A60C">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b/>
                <w:bCs/>
                <w:color w:val="auto"/>
                <w:kern w:val="0"/>
                <w:sz w:val="24"/>
                <w:highlight w:val="none"/>
                <w:lang w:bidi="ar"/>
              </w:rPr>
              <w:t>岗位</w:t>
            </w:r>
          </w:p>
        </w:tc>
        <w:tc>
          <w:tcPr>
            <w:tcW w:w="692" w:type="dxa"/>
            <w:tcBorders>
              <w:top w:val="single" w:color="000000" w:sz="8" w:space="0"/>
              <w:left w:val="single" w:color="000000" w:sz="8" w:space="0"/>
              <w:bottom w:val="single" w:color="000000" w:sz="8" w:space="0"/>
              <w:right w:val="single" w:color="000000" w:sz="8" w:space="0"/>
            </w:tcBorders>
            <w:vAlign w:val="center"/>
          </w:tcPr>
          <w:p w14:paraId="14CEC6A5">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b/>
                <w:bCs/>
                <w:color w:val="auto"/>
                <w:kern w:val="0"/>
                <w:sz w:val="24"/>
                <w:highlight w:val="none"/>
                <w:lang w:bidi="ar"/>
              </w:rPr>
              <w:t>岗位人数</w:t>
            </w:r>
          </w:p>
        </w:tc>
        <w:tc>
          <w:tcPr>
            <w:tcW w:w="603" w:type="dxa"/>
            <w:tcBorders>
              <w:top w:val="single" w:color="000000" w:sz="8" w:space="0"/>
              <w:left w:val="single" w:color="000000" w:sz="8" w:space="0"/>
              <w:bottom w:val="single" w:color="000000" w:sz="8" w:space="0"/>
              <w:right w:val="single" w:color="000000" w:sz="8" w:space="0"/>
            </w:tcBorders>
            <w:vAlign w:val="center"/>
          </w:tcPr>
          <w:p w14:paraId="5BA768D4">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b/>
                <w:bCs/>
                <w:color w:val="auto"/>
                <w:kern w:val="0"/>
                <w:sz w:val="24"/>
                <w:highlight w:val="none"/>
                <w:lang w:bidi="ar"/>
              </w:rPr>
              <w:t>白班</w:t>
            </w:r>
          </w:p>
        </w:tc>
        <w:tc>
          <w:tcPr>
            <w:tcW w:w="504" w:type="dxa"/>
            <w:tcBorders>
              <w:top w:val="single" w:color="000000" w:sz="8" w:space="0"/>
              <w:left w:val="single" w:color="000000" w:sz="8" w:space="0"/>
              <w:bottom w:val="single" w:color="000000" w:sz="8" w:space="0"/>
              <w:right w:val="single" w:color="000000" w:sz="8" w:space="0"/>
            </w:tcBorders>
            <w:vAlign w:val="center"/>
          </w:tcPr>
          <w:p w14:paraId="406D7265">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b/>
                <w:bCs/>
                <w:color w:val="auto"/>
                <w:kern w:val="0"/>
                <w:sz w:val="24"/>
                <w:highlight w:val="none"/>
                <w:lang w:bidi="ar"/>
              </w:rPr>
              <w:t>夜班</w:t>
            </w:r>
          </w:p>
        </w:tc>
        <w:tc>
          <w:tcPr>
            <w:tcW w:w="4729" w:type="dxa"/>
            <w:tcBorders>
              <w:top w:val="single" w:color="000000" w:sz="8" w:space="0"/>
              <w:left w:val="single" w:color="000000" w:sz="8" w:space="0"/>
              <w:bottom w:val="single" w:color="000000" w:sz="8" w:space="0"/>
              <w:right w:val="single" w:color="000000" w:sz="8" w:space="0"/>
            </w:tcBorders>
            <w:vAlign w:val="center"/>
          </w:tcPr>
          <w:p w14:paraId="41CA5D51">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参照《高等学校物业服务规范》条例</w:t>
            </w:r>
          </w:p>
        </w:tc>
      </w:tr>
      <w:tr w14:paraId="595C36CF">
        <w:tblPrEx>
          <w:tblCellMar>
            <w:top w:w="0" w:type="dxa"/>
            <w:left w:w="108" w:type="dxa"/>
            <w:bottom w:w="0" w:type="dxa"/>
            <w:right w:w="108" w:type="dxa"/>
          </w:tblCellMar>
        </w:tblPrEx>
        <w:trPr>
          <w:trHeight w:val="393" w:hRule="atLeast"/>
        </w:trPr>
        <w:tc>
          <w:tcPr>
            <w:tcW w:w="480" w:type="dxa"/>
            <w:vMerge w:val="restart"/>
            <w:tcBorders>
              <w:top w:val="single" w:color="000000" w:sz="8" w:space="0"/>
              <w:left w:val="single" w:color="000000" w:sz="8" w:space="0"/>
              <w:bottom w:val="single" w:color="000000" w:sz="8" w:space="0"/>
              <w:right w:val="single" w:color="000000" w:sz="8" w:space="0"/>
            </w:tcBorders>
            <w:vAlign w:val="center"/>
          </w:tcPr>
          <w:p w14:paraId="1714951B">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bookmarkStart w:id="526" w:name="_Hlk216723423"/>
            <w:r>
              <w:rPr>
                <w:rFonts w:ascii="Times New Roman Regular" w:hAnsi="Times New Roman Regular" w:cs="Times New Roman Regular" w:eastAsiaTheme="minorEastAsia"/>
                <w:color w:val="auto"/>
                <w:kern w:val="0"/>
                <w:sz w:val="24"/>
                <w:highlight w:val="none"/>
                <w:lang w:bidi="ar"/>
              </w:rPr>
              <w:t>1</w:t>
            </w:r>
          </w:p>
        </w:tc>
        <w:tc>
          <w:tcPr>
            <w:tcW w:w="81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BA8F352">
            <w:pPr>
              <w:widowControl/>
              <w:adjustRightInd w:val="0"/>
              <w:snapToGrid w:val="0"/>
              <w:jc w:val="left"/>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管理团队</w:t>
            </w:r>
          </w:p>
        </w:tc>
        <w:tc>
          <w:tcPr>
            <w:tcW w:w="1678" w:type="dxa"/>
            <w:tcBorders>
              <w:top w:val="single" w:color="000000" w:sz="8" w:space="0"/>
              <w:left w:val="single" w:color="000000" w:sz="8" w:space="0"/>
              <w:bottom w:val="single" w:color="000000" w:sz="8" w:space="0"/>
              <w:right w:val="single" w:color="000000" w:sz="8" w:space="0"/>
            </w:tcBorders>
            <w:vAlign w:val="center"/>
          </w:tcPr>
          <w:p w14:paraId="6B8B4157">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hint="eastAsia" w:ascii="Times New Roman Regular" w:hAnsi="Times New Roman Regular" w:cs="Times New Roman Regular" w:eastAsiaTheme="minorEastAsia"/>
                <w:color w:val="auto"/>
                <w:kern w:val="0"/>
                <w:sz w:val="24"/>
                <w:highlight w:val="none"/>
                <w:lang w:bidi="ar"/>
              </w:rPr>
              <w:t>现场</w:t>
            </w:r>
            <w:r>
              <w:rPr>
                <w:rFonts w:ascii="Times New Roman Regular" w:hAnsi="Times New Roman Regular" w:cs="Times New Roman Regular" w:eastAsiaTheme="minorEastAsia"/>
                <w:color w:val="auto"/>
                <w:kern w:val="0"/>
                <w:sz w:val="24"/>
                <w:highlight w:val="none"/>
                <w:lang w:bidi="ar"/>
              </w:rPr>
              <w:t>负责人</w:t>
            </w:r>
          </w:p>
        </w:tc>
        <w:tc>
          <w:tcPr>
            <w:tcW w:w="692" w:type="dxa"/>
            <w:tcBorders>
              <w:top w:val="single" w:color="000000" w:sz="8" w:space="0"/>
              <w:left w:val="single" w:color="000000" w:sz="8" w:space="0"/>
              <w:bottom w:val="single" w:color="000000" w:sz="8" w:space="0"/>
              <w:right w:val="single" w:color="000000" w:sz="8" w:space="0"/>
            </w:tcBorders>
            <w:vAlign w:val="center"/>
          </w:tcPr>
          <w:p w14:paraId="58569B6B">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1</w:t>
            </w:r>
          </w:p>
        </w:tc>
        <w:tc>
          <w:tcPr>
            <w:tcW w:w="603" w:type="dxa"/>
            <w:tcBorders>
              <w:top w:val="single" w:color="000000" w:sz="8" w:space="0"/>
              <w:left w:val="single" w:color="000000" w:sz="8" w:space="0"/>
              <w:bottom w:val="single" w:color="000000" w:sz="8" w:space="0"/>
              <w:right w:val="single" w:color="000000" w:sz="8" w:space="0"/>
            </w:tcBorders>
            <w:vAlign w:val="center"/>
          </w:tcPr>
          <w:p w14:paraId="0D95389B">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1</w:t>
            </w:r>
          </w:p>
        </w:tc>
        <w:tc>
          <w:tcPr>
            <w:tcW w:w="504" w:type="dxa"/>
            <w:tcBorders>
              <w:top w:val="single" w:color="000000" w:sz="8" w:space="0"/>
              <w:left w:val="single" w:color="000000" w:sz="8" w:space="0"/>
              <w:bottom w:val="single" w:color="000000" w:sz="8" w:space="0"/>
              <w:right w:val="single" w:color="000000" w:sz="8" w:space="0"/>
            </w:tcBorders>
            <w:vAlign w:val="center"/>
          </w:tcPr>
          <w:p w14:paraId="30A958E4">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w:t>
            </w:r>
          </w:p>
        </w:tc>
        <w:tc>
          <w:tcPr>
            <w:tcW w:w="4729" w:type="dxa"/>
            <w:tcBorders>
              <w:top w:val="single" w:color="000000" w:sz="8" w:space="0"/>
              <w:left w:val="single" w:color="000000" w:sz="8" w:space="0"/>
              <w:bottom w:val="single" w:color="000000" w:sz="8" w:space="0"/>
              <w:right w:val="single" w:color="000000" w:sz="8" w:space="0"/>
            </w:tcBorders>
            <w:vAlign w:val="center"/>
          </w:tcPr>
          <w:p w14:paraId="6BC400B6">
            <w:pPr>
              <w:adjustRightInd w:val="0"/>
              <w:snapToGrid w:val="0"/>
              <w:rPr>
                <w:rFonts w:ascii="Times New Roman Regular" w:hAnsi="Times New Roman Regular" w:cs="Times New Roman Regular" w:eastAsiaTheme="minorEastAsia"/>
                <w:color w:val="auto"/>
                <w:sz w:val="24"/>
                <w:highlight w:val="none"/>
              </w:rPr>
            </w:pPr>
          </w:p>
        </w:tc>
      </w:tr>
      <w:tr w14:paraId="1815A79C">
        <w:tblPrEx>
          <w:tblCellMar>
            <w:top w:w="0" w:type="dxa"/>
            <w:left w:w="108" w:type="dxa"/>
            <w:bottom w:w="0" w:type="dxa"/>
            <w:right w:w="108" w:type="dxa"/>
          </w:tblCellMar>
        </w:tblPrEx>
        <w:trPr>
          <w:trHeight w:val="90" w:hRule="atLeast"/>
        </w:trPr>
        <w:tc>
          <w:tcPr>
            <w:tcW w:w="480" w:type="dxa"/>
            <w:vMerge w:val="continue"/>
            <w:tcBorders>
              <w:top w:val="single" w:color="000000" w:sz="8" w:space="0"/>
              <w:left w:val="single" w:color="000000" w:sz="8" w:space="0"/>
              <w:bottom w:val="single" w:color="000000" w:sz="8" w:space="0"/>
              <w:right w:val="single" w:color="000000" w:sz="8" w:space="0"/>
            </w:tcBorders>
            <w:vAlign w:val="center"/>
          </w:tcPr>
          <w:p w14:paraId="41AF843B">
            <w:pPr>
              <w:adjustRightInd w:val="0"/>
              <w:snapToGrid w:val="0"/>
              <w:jc w:val="center"/>
              <w:rPr>
                <w:rFonts w:ascii="Times New Roman Regular" w:hAnsi="Times New Roman Regular" w:cs="Times New Roman Regular" w:eastAsiaTheme="minorEastAsia"/>
                <w:color w:val="auto"/>
                <w:sz w:val="24"/>
                <w:highlight w:val="none"/>
              </w:rPr>
            </w:pPr>
          </w:p>
        </w:tc>
        <w:tc>
          <w:tcPr>
            <w:tcW w:w="81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570ADE5">
            <w:pPr>
              <w:adjustRightInd w:val="0"/>
              <w:snapToGrid w:val="0"/>
              <w:rPr>
                <w:rFonts w:ascii="Times New Roman Regular" w:hAnsi="Times New Roman Regular" w:cs="Times New Roman Regular" w:eastAsiaTheme="minorEastAsia"/>
                <w:color w:val="auto"/>
                <w:sz w:val="24"/>
                <w:highlight w:val="none"/>
              </w:rPr>
            </w:pPr>
          </w:p>
        </w:tc>
        <w:tc>
          <w:tcPr>
            <w:tcW w:w="1678" w:type="dxa"/>
            <w:tcBorders>
              <w:top w:val="single" w:color="000000" w:sz="8" w:space="0"/>
              <w:left w:val="single" w:color="000000" w:sz="8" w:space="0"/>
              <w:bottom w:val="single" w:color="000000" w:sz="8" w:space="0"/>
              <w:right w:val="single" w:color="000000" w:sz="8" w:space="0"/>
            </w:tcBorders>
            <w:vAlign w:val="center"/>
          </w:tcPr>
          <w:p w14:paraId="4ECBD13A">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品控/客服</w:t>
            </w:r>
          </w:p>
        </w:tc>
        <w:tc>
          <w:tcPr>
            <w:tcW w:w="692" w:type="dxa"/>
            <w:tcBorders>
              <w:top w:val="single" w:color="000000" w:sz="8" w:space="0"/>
              <w:left w:val="single" w:color="000000" w:sz="8" w:space="0"/>
              <w:bottom w:val="single" w:color="000000" w:sz="8" w:space="0"/>
              <w:right w:val="single" w:color="000000" w:sz="8" w:space="0"/>
            </w:tcBorders>
            <w:vAlign w:val="center"/>
          </w:tcPr>
          <w:p w14:paraId="7C269042">
            <w:pPr>
              <w:widowControl/>
              <w:adjustRightInd w:val="0"/>
              <w:snapToGrid w:val="0"/>
              <w:jc w:val="center"/>
              <w:textAlignment w:val="center"/>
              <w:rPr>
                <w:rFonts w:hint="eastAsia" w:ascii="Times New Roman Regular" w:hAnsi="Times New Roman Regular" w:cs="Times New Roman Regular" w:eastAsiaTheme="minorEastAsia"/>
                <w:color w:val="auto"/>
                <w:kern w:val="0"/>
                <w:sz w:val="24"/>
                <w:highlight w:val="none"/>
                <w:lang w:bidi="ar"/>
              </w:rPr>
            </w:pPr>
            <w:r>
              <w:rPr>
                <w:rFonts w:hint="eastAsia" w:ascii="Times New Roman Regular" w:hAnsi="Times New Roman Regular" w:cs="Times New Roman Regular" w:eastAsiaTheme="minorEastAsia"/>
                <w:color w:val="auto"/>
                <w:kern w:val="0"/>
                <w:sz w:val="24"/>
                <w:highlight w:val="none"/>
                <w:lang w:bidi="ar"/>
              </w:rPr>
              <w:t>1</w:t>
            </w:r>
          </w:p>
        </w:tc>
        <w:tc>
          <w:tcPr>
            <w:tcW w:w="603" w:type="dxa"/>
            <w:tcBorders>
              <w:top w:val="single" w:color="000000" w:sz="8" w:space="0"/>
              <w:left w:val="single" w:color="000000" w:sz="8" w:space="0"/>
              <w:bottom w:val="single" w:color="000000" w:sz="8" w:space="0"/>
              <w:right w:val="single" w:color="000000" w:sz="8" w:space="0"/>
            </w:tcBorders>
            <w:vAlign w:val="center"/>
          </w:tcPr>
          <w:p w14:paraId="6E792D48">
            <w:pPr>
              <w:widowControl/>
              <w:adjustRightInd w:val="0"/>
              <w:snapToGrid w:val="0"/>
              <w:jc w:val="center"/>
              <w:textAlignment w:val="center"/>
              <w:rPr>
                <w:rFonts w:hint="eastAsia" w:ascii="Times New Roman Regular" w:hAnsi="Times New Roman Regular" w:cs="Times New Roman Regular" w:eastAsiaTheme="minorEastAsia"/>
                <w:color w:val="auto"/>
                <w:kern w:val="0"/>
                <w:sz w:val="24"/>
                <w:highlight w:val="none"/>
                <w:lang w:bidi="ar"/>
              </w:rPr>
            </w:pPr>
            <w:r>
              <w:rPr>
                <w:rFonts w:hint="eastAsia" w:ascii="Times New Roman Regular" w:hAnsi="Times New Roman Regular" w:cs="Times New Roman Regular" w:eastAsiaTheme="minorEastAsia"/>
                <w:color w:val="auto"/>
                <w:kern w:val="0"/>
                <w:sz w:val="24"/>
                <w:highlight w:val="none"/>
                <w:lang w:bidi="ar"/>
              </w:rPr>
              <w:t>1</w:t>
            </w:r>
          </w:p>
        </w:tc>
        <w:tc>
          <w:tcPr>
            <w:tcW w:w="504" w:type="dxa"/>
            <w:tcBorders>
              <w:top w:val="single" w:color="000000" w:sz="8" w:space="0"/>
              <w:left w:val="single" w:color="000000" w:sz="8" w:space="0"/>
              <w:bottom w:val="single" w:color="000000" w:sz="8" w:space="0"/>
              <w:right w:val="single" w:color="000000" w:sz="8" w:space="0"/>
            </w:tcBorders>
            <w:vAlign w:val="center"/>
          </w:tcPr>
          <w:p w14:paraId="39CB265B">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w:t>
            </w:r>
          </w:p>
        </w:tc>
        <w:tc>
          <w:tcPr>
            <w:tcW w:w="4729" w:type="dxa"/>
            <w:tcBorders>
              <w:top w:val="single" w:color="000000" w:sz="8" w:space="0"/>
              <w:left w:val="single" w:color="000000" w:sz="8" w:space="0"/>
              <w:bottom w:val="single" w:color="000000" w:sz="8" w:space="0"/>
              <w:right w:val="single" w:color="000000" w:sz="8" w:space="0"/>
            </w:tcBorders>
            <w:vAlign w:val="center"/>
          </w:tcPr>
          <w:p w14:paraId="418B4CFF">
            <w:pPr>
              <w:widowControl/>
              <w:adjustRightInd w:val="0"/>
              <w:snapToGrid w:val="0"/>
              <w:jc w:val="left"/>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第4.1条 客服服务</w:t>
            </w:r>
          </w:p>
        </w:tc>
      </w:tr>
      <w:tr w14:paraId="6A06D44A">
        <w:tblPrEx>
          <w:tblCellMar>
            <w:top w:w="0" w:type="dxa"/>
            <w:left w:w="108" w:type="dxa"/>
            <w:bottom w:w="0" w:type="dxa"/>
            <w:right w:w="108" w:type="dxa"/>
          </w:tblCellMar>
        </w:tblPrEx>
        <w:trPr>
          <w:trHeight w:val="411" w:hRule="atLeast"/>
        </w:trPr>
        <w:tc>
          <w:tcPr>
            <w:tcW w:w="480" w:type="dxa"/>
            <w:vMerge w:val="restart"/>
            <w:tcBorders>
              <w:top w:val="single" w:color="000000" w:sz="8" w:space="0"/>
              <w:left w:val="single" w:color="000000" w:sz="8" w:space="0"/>
              <w:bottom w:val="single" w:color="000000" w:sz="8" w:space="0"/>
              <w:right w:val="single" w:color="000000" w:sz="8" w:space="0"/>
            </w:tcBorders>
            <w:vAlign w:val="center"/>
          </w:tcPr>
          <w:p w14:paraId="11CBBE67">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2</w:t>
            </w:r>
          </w:p>
        </w:tc>
        <w:tc>
          <w:tcPr>
            <w:tcW w:w="81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05427C5">
            <w:pPr>
              <w:widowControl/>
              <w:adjustRightInd w:val="0"/>
              <w:snapToGrid w:val="0"/>
              <w:jc w:val="left"/>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秩序安保</w:t>
            </w:r>
          </w:p>
        </w:tc>
        <w:tc>
          <w:tcPr>
            <w:tcW w:w="1678" w:type="dxa"/>
            <w:tcBorders>
              <w:top w:val="single" w:color="000000" w:sz="8" w:space="0"/>
              <w:left w:val="single" w:color="000000" w:sz="8" w:space="0"/>
              <w:bottom w:val="single" w:color="000000" w:sz="8" w:space="0"/>
              <w:right w:val="single" w:color="000000" w:sz="8" w:space="0"/>
            </w:tcBorders>
            <w:vAlign w:val="center"/>
          </w:tcPr>
          <w:p w14:paraId="47868CCE">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秩序班长</w:t>
            </w:r>
          </w:p>
        </w:tc>
        <w:tc>
          <w:tcPr>
            <w:tcW w:w="692" w:type="dxa"/>
            <w:tcBorders>
              <w:top w:val="single" w:color="000000" w:sz="8" w:space="0"/>
              <w:left w:val="single" w:color="000000" w:sz="8" w:space="0"/>
              <w:bottom w:val="single" w:color="000000" w:sz="8" w:space="0"/>
              <w:right w:val="single" w:color="000000" w:sz="8" w:space="0"/>
            </w:tcBorders>
            <w:vAlign w:val="center"/>
          </w:tcPr>
          <w:p w14:paraId="0FD48551">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1</w:t>
            </w:r>
          </w:p>
        </w:tc>
        <w:tc>
          <w:tcPr>
            <w:tcW w:w="603" w:type="dxa"/>
            <w:tcBorders>
              <w:top w:val="single" w:color="000000" w:sz="8" w:space="0"/>
              <w:left w:val="single" w:color="000000" w:sz="8" w:space="0"/>
              <w:bottom w:val="single" w:color="000000" w:sz="8" w:space="0"/>
              <w:right w:val="single" w:color="000000" w:sz="8" w:space="0"/>
            </w:tcBorders>
            <w:vAlign w:val="center"/>
          </w:tcPr>
          <w:p w14:paraId="670B3D07">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1</w:t>
            </w:r>
          </w:p>
        </w:tc>
        <w:tc>
          <w:tcPr>
            <w:tcW w:w="504" w:type="dxa"/>
            <w:tcBorders>
              <w:top w:val="single" w:color="000000" w:sz="8" w:space="0"/>
              <w:left w:val="single" w:color="000000" w:sz="8" w:space="0"/>
              <w:bottom w:val="single" w:color="000000" w:sz="8" w:space="0"/>
              <w:right w:val="single" w:color="000000" w:sz="8" w:space="0"/>
            </w:tcBorders>
            <w:vAlign w:val="center"/>
          </w:tcPr>
          <w:p w14:paraId="3531361F">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w:t>
            </w:r>
          </w:p>
        </w:tc>
        <w:tc>
          <w:tcPr>
            <w:tcW w:w="4729" w:type="dxa"/>
            <w:tcBorders>
              <w:top w:val="single" w:color="000000" w:sz="8" w:space="0"/>
              <w:left w:val="single" w:color="000000" w:sz="8" w:space="0"/>
              <w:bottom w:val="single" w:color="000000" w:sz="8" w:space="0"/>
              <w:right w:val="single" w:color="000000" w:sz="8" w:space="0"/>
            </w:tcBorders>
            <w:vAlign w:val="center"/>
          </w:tcPr>
          <w:p w14:paraId="3BF6116A">
            <w:pPr>
              <w:widowControl/>
              <w:adjustRightInd w:val="0"/>
              <w:snapToGrid w:val="0"/>
              <w:jc w:val="left"/>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兼换班工作和临时应急</w:t>
            </w:r>
          </w:p>
        </w:tc>
      </w:tr>
      <w:tr w14:paraId="20E03794">
        <w:tblPrEx>
          <w:tblCellMar>
            <w:top w:w="0" w:type="dxa"/>
            <w:left w:w="108" w:type="dxa"/>
            <w:bottom w:w="0" w:type="dxa"/>
            <w:right w:w="108" w:type="dxa"/>
          </w:tblCellMar>
        </w:tblPrEx>
        <w:trPr>
          <w:trHeight w:val="411" w:hRule="atLeast"/>
        </w:trPr>
        <w:tc>
          <w:tcPr>
            <w:tcW w:w="480" w:type="dxa"/>
            <w:vMerge w:val="continue"/>
            <w:tcBorders>
              <w:top w:val="single" w:color="000000" w:sz="8" w:space="0"/>
              <w:left w:val="single" w:color="000000" w:sz="8" w:space="0"/>
              <w:bottom w:val="single" w:color="000000" w:sz="8" w:space="0"/>
              <w:right w:val="single" w:color="000000" w:sz="8" w:space="0"/>
            </w:tcBorders>
            <w:vAlign w:val="center"/>
          </w:tcPr>
          <w:p w14:paraId="230B1159">
            <w:pPr>
              <w:adjustRightInd w:val="0"/>
              <w:snapToGrid w:val="0"/>
              <w:jc w:val="center"/>
              <w:rPr>
                <w:rFonts w:ascii="Times New Roman Regular" w:hAnsi="Times New Roman Regular" w:cs="Times New Roman Regular" w:eastAsiaTheme="minorEastAsia"/>
                <w:color w:val="auto"/>
                <w:sz w:val="24"/>
                <w:highlight w:val="none"/>
              </w:rPr>
            </w:pPr>
          </w:p>
        </w:tc>
        <w:tc>
          <w:tcPr>
            <w:tcW w:w="81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AA53D79">
            <w:pPr>
              <w:adjustRightInd w:val="0"/>
              <w:snapToGrid w:val="0"/>
              <w:rPr>
                <w:rFonts w:ascii="Times New Roman Regular" w:hAnsi="Times New Roman Regular" w:cs="Times New Roman Regular" w:eastAsiaTheme="minorEastAsia"/>
                <w:color w:val="auto"/>
                <w:sz w:val="24"/>
                <w:highlight w:val="none"/>
              </w:rPr>
            </w:pPr>
          </w:p>
        </w:tc>
        <w:tc>
          <w:tcPr>
            <w:tcW w:w="1678" w:type="dxa"/>
            <w:tcBorders>
              <w:top w:val="single" w:color="000000" w:sz="8" w:space="0"/>
              <w:left w:val="single" w:color="000000" w:sz="8" w:space="0"/>
              <w:bottom w:val="single" w:color="000000" w:sz="8" w:space="0"/>
              <w:right w:val="single" w:color="000000" w:sz="8" w:space="0"/>
            </w:tcBorders>
            <w:vAlign w:val="center"/>
          </w:tcPr>
          <w:p w14:paraId="3034495D">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院区门岗</w:t>
            </w:r>
          </w:p>
        </w:tc>
        <w:tc>
          <w:tcPr>
            <w:tcW w:w="692" w:type="dxa"/>
            <w:tcBorders>
              <w:top w:val="single" w:color="000000" w:sz="8" w:space="0"/>
              <w:left w:val="single" w:color="000000" w:sz="8" w:space="0"/>
              <w:bottom w:val="single" w:color="000000" w:sz="8" w:space="0"/>
              <w:right w:val="single" w:color="000000" w:sz="8" w:space="0"/>
            </w:tcBorders>
            <w:vAlign w:val="center"/>
          </w:tcPr>
          <w:p w14:paraId="60EF38BE">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6</w:t>
            </w:r>
          </w:p>
        </w:tc>
        <w:tc>
          <w:tcPr>
            <w:tcW w:w="603" w:type="dxa"/>
            <w:tcBorders>
              <w:top w:val="single" w:color="000000" w:sz="8" w:space="0"/>
              <w:left w:val="single" w:color="000000" w:sz="8" w:space="0"/>
              <w:bottom w:val="single" w:color="000000" w:sz="8" w:space="0"/>
              <w:right w:val="single" w:color="000000" w:sz="8" w:space="0"/>
            </w:tcBorders>
            <w:vAlign w:val="center"/>
          </w:tcPr>
          <w:p w14:paraId="5460C78F">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2</w:t>
            </w:r>
          </w:p>
        </w:tc>
        <w:tc>
          <w:tcPr>
            <w:tcW w:w="504" w:type="dxa"/>
            <w:tcBorders>
              <w:top w:val="single" w:color="000000" w:sz="8" w:space="0"/>
              <w:left w:val="single" w:color="000000" w:sz="8" w:space="0"/>
              <w:bottom w:val="single" w:color="000000" w:sz="8" w:space="0"/>
              <w:right w:val="single" w:color="000000" w:sz="8" w:space="0"/>
            </w:tcBorders>
            <w:vAlign w:val="center"/>
          </w:tcPr>
          <w:p w14:paraId="1FD4A06D">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2</w:t>
            </w:r>
          </w:p>
        </w:tc>
        <w:tc>
          <w:tcPr>
            <w:tcW w:w="4729" w:type="dxa"/>
            <w:tcBorders>
              <w:top w:val="single" w:color="000000" w:sz="8" w:space="0"/>
              <w:left w:val="single" w:color="000000" w:sz="8" w:space="0"/>
              <w:bottom w:val="single" w:color="000000" w:sz="8" w:space="0"/>
              <w:right w:val="single" w:color="000000" w:sz="8" w:space="0"/>
            </w:tcBorders>
            <w:vAlign w:val="center"/>
          </w:tcPr>
          <w:p w14:paraId="3B1B4985">
            <w:pPr>
              <w:widowControl/>
              <w:adjustRightInd w:val="0"/>
              <w:snapToGrid w:val="0"/>
              <w:jc w:val="left"/>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 xml:space="preserve">4.3.1 出入与监控管理 </w:t>
            </w:r>
          </w:p>
        </w:tc>
      </w:tr>
      <w:tr w14:paraId="21E6D503">
        <w:tblPrEx>
          <w:tblCellMar>
            <w:top w:w="0" w:type="dxa"/>
            <w:left w:w="108" w:type="dxa"/>
            <w:bottom w:w="0" w:type="dxa"/>
            <w:right w:w="108" w:type="dxa"/>
          </w:tblCellMar>
        </w:tblPrEx>
        <w:trPr>
          <w:trHeight w:val="570" w:hRule="atLeast"/>
        </w:trPr>
        <w:tc>
          <w:tcPr>
            <w:tcW w:w="480" w:type="dxa"/>
            <w:vMerge w:val="continue"/>
            <w:tcBorders>
              <w:top w:val="single" w:color="000000" w:sz="8" w:space="0"/>
              <w:left w:val="single" w:color="000000" w:sz="8" w:space="0"/>
              <w:bottom w:val="single" w:color="000000" w:sz="8" w:space="0"/>
              <w:right w:val="single" w:color="000000" w:sz="8" w:space="0"/>
            </w:tcBorders>
            <w:vAlign w:val="center"/>
          </w:tcPr>
          <w:p w14:paraId="54C0EE73">
            <w:pPr>
              <w:adjustRightInd w:val="0"/>
              <w:snapToGrid w:val="0"/>
              <w:jc w:val="center"/>
              <w:rPr>
                <w:rFonts w:ascii="Times New Roman Regular" w:hAnsi="Times New Roman Regular" w:cs="Times New Roman Regular" w:eastAsiaTheme="minorEastAsia"/>
                <w:color w:val="auto"/>
                <w:sz w:val="24"/>
                <w:highlight w:val="none"/>
              </w:rPr>
            </w:pPr>
          </w:p>
        </w:tc>
        <w:tc>
          <w:tcPr>
            <w:tcW w:w="81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88888C6">
            <w:pPr>
              <w:adjustRightInd w:val="0"/>
              <w:snapToGrid w:val="0"/>
              <w:rPr>
                <w:rFonts w:ascii="Times New Roman Regular" w:hAnsi="Times New Roman Regular" w:cs="Times New Roman Regular" w:eastAsiaTheme="minorEastAsia"/>
                <w:color w:val="auto"/>
                <w:sz w:val="24"/>
                <w:highlight w:val="none"/>
              </w:rPr>
            </w:pPr>
          </w:p>
        </w:tc>
        <w:tc>
          <w:tcPr>
            <w:tcW w:w="1678" w:type="dxa"/>
            <w:tcBorders>
              <w:top w:val="single" w:color="000000" w:sz="8" w:space="0"/>
              <w:left w:val="single" w:color="000000" w:sz="8" w:space="0"/>
              <w:bottom w:val="single" w:color="000000" w:sz="8" w:space="0"/>
              <w:right w:val="single" w:color="000000" w:sz="8" w:space="0"/>
            </w:tcBorders>
            <w:vAlign w:val="center"/>
          </w:tcPr>
          <w:p w14:paraId="78F3C2FB">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中控/消防</w:t>
            </w:r>
          </w:p>
        </w:tc>
        <w:tc>
          <w:tcPr>
            <w:tcW w:w="692" w:type="dxa"/>
            <w:tcBorders>
              <w:top w:val="single" w:color="000000" w:sz="8" w:space="0"/>
              <w:left w:val="single" w:color="000000" w:sz="8" w:space="0"/>
              <w:bottom w:val="single" w:color="000000" w:sz="8" w:space="0"/>
              <w:right w:val="single" w:color="000000" w:sz="8" w:space="0"/>
            </w:tcBorders>
            <w:vAlign w:val="center"/>
          </w:tcPr>
          <w:p w14:paraId="3A8C1A15">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6</w:t>
            </w:r>
          </w:p>
        </w:tc>
        <w:tc>
          <w:tcPr>
            <w:tcW w:w="603" w:type="dxa"/>
            <w:tcBorders>
              <w:top w:val="single" w:color="000000" w:sz="8" w:space="0"/>
              <w:left w:val="single" w:color="000000" w:sz="8" w:space="0"/>
              <w:bottom w:val="single" w:color="000000" w:sz="8" w:space="0"/>
              <w:right w:val="single" w:color="000000" w:sz="8" w:space="0"/>
            </w:tcBorders>
            <w:vAlign w:val="center"/>
          </w:tcPr>
          <w:p w14:paraId="2BD17E0F">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2</w:t>
            </w:r>
          </w:p>
        </w:tc>
        <w:tc>
          <w:tcPr>
            <w:tcW w:w="504" w:type="dxa"/>
            <w:tcBorders>
              <w:top w:val="single" w:color="000000" w:sz="8" w:space="0"/>
              <w:left w:val="single" w:color="000000" w:sz="8" w:space="0"/>
              <w:bottom w:val="single" w:color="000000" w:sz="8" w:space="0"/>
              <w:right w:val="single" w:color="000000" w:sz="8" w:space="0"/>
            </w:tcBorders>
            <w:vAlign w:val="center"/>
          </w:tcPr>
          <w:p w14:paraId="1EDDC48B">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2</w:t>
            </w:r>
          </w:p>
        </w:tc>
        <w:tc>
          <w:tcPr>
            <w:tcW w:w="4729" w:type="dxa"/>
            <w:tcBorders>
              <w:top w:val="single" w:color="000000" w:sz="8" w:space="0"/>
              <w:left w:val="single" w:color="000000" w:sz="8" w:space="0"/>
              <w:bottom w:val="single" w:color="000000" w:sz="8" w:space="0"/>
              <w:right w:val="single" w:color="000000" w:sz="8" w:space="0"/>
            </w:tcBorders>
            <w:vAlign w:val="center"/>
          </w:tcPr>
          <w:p w14:paraId="3CC9B9B9">
            <w:pPr>
              <w:widowControl/>
              <w:adjustRightInd w:val="0"/>
              <w:snapToGrid w:val="0"/>
              <w:jc w:val="left"/>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第4.3.3消防管理，24 h 双人双岗值班</w:t>
            </w:r>
          </w:p>
        </w:tc>
      </w:tr>
      <w:tr w14:paraId="6FEBFEFE">
        <w:tblPrEx>
          <w:tblCellMar>
            <w:top w:w="0" w:type="dxa"/>
            <w:left w:w="108" w:type="dxa"/>
            <w:bottom w:w="0" w:type="dxa"/>
            <w:right w:w="108" w:type="dxa"/>
          </w:tblCellMar>
        </w:tblPrEx>
        <w:trPr>
          <w:trHeight w:val="493" w:hRule="atLeast"/>
        </w:trPr>
        <w:tc>
          <w:tcPr>
            <w:tcW w:w="480" w:type="dxa"/>
            <w:vMerge w:val="continue"/>
            <w:tcBorders>
              <w:top w:val="single" w:color="000000" w:sz="8" w:space="0"/>
              <w:left w:val="single" w:color="000000" w:sz="8" w:space="0"/>
              <w:bottom w:val="single" w:color="000000" w:sz="8" w:space="0"/>
              <w:right w:val="single" w:color="000000" w:sz="8" w:space="0"/>
            </w:tcBorders>
            <w:vAlign w:val="center"/>
          </w:tcPr>
          <w:p w14:paraId="2F868FA9">
            <w:pPr>
              <w:adjustRightInd w:val="0"/>
              <w:snapToGrid w:val="0"/>
              <w:jc w:val="center"/>
              <w:rPr>
                <w:rFonts w:ascii="Times New Roman Regular" w:hAnsi="Times New Roman Regular" w:cs="Times New Roman Regular" w:eastAsiaTheme="minorEastAsia"/>
                <w:color w:val="auto"/>
                <w:sz w:val="24"/>
                <w:highlight w:val="none"/>
              </w:rPr>
            </w:pPr>
          </w:p>
        </w:tc>
        <w:tc>
          <w:tcPr>
            <w:tcW w:w="81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8420961">
            <w:pPr>
              <w:adjustRightInd w:val="0"/>
              <w:snapToGrid w:val="0"/>
              <w:rPr>
                <w:rFonts w:ascii="Times New Roman Regular" w:hAnsi="Times New Roman Regular" w:cs="Times New Roman Regular" w:eastAsiaTheme="minorEastAsia"/>
                <w:color w:val="auto"/>
                <w:sz w:val="24"/>
                <w:highlight w:val="none"/>
              </w:rPr>
            </w:pPr>
          </w:p>
        </w:tc>
        <w:tc>
          <w:tcPr>
            <w:tcW w:w="1678" w:type="dxa"/>
            <w:tcBorders>
              <w:top w:val="single" w:color="000000" w:sz="8" w:space="0"/>
              <w:left w:val="single" w:color="000000" w:sz="8" w:space="0"/>
              <w:bottom w:val="single" w:color="000000" w:sz="8" w:space="0"/>
              <w:right w:val="single" w:color="000000" w:sz="8" w:space="0"/>
            </w:tcBorders>
            <w:vAlign w:val="center"/>
          </w:tcPr>
          <w:p w14:paraId="786EB6E9">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巡逻岗</w:t>
            </w:r>
          </w:p>
        </w:tc>
        <w:tc>
          <w:tcPr>
            <w:tcW w:w="692" w:type="dxa"/>
            <w:tcBorders>
              <w:top w:val="single" w:color="000000" w:sz="8" w:space="0"/>
              <w:left w:val="single" w:color="000000" w:sz="8" w:space="0"/>
              <w:bottom w:val="single" w:color="000000" w:sz="8" w:space="0"/>
              <w:right w:val="single" w:color="000000" w:sz="8" w:space="0"/>
            </w:tcBorders>
            <w:vAlign w:val="center"/>
          </w:tcPr>
          <w:p w14:paraId="4A6BFF55">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3</w:t>
            </w:r>
          </w:p>
        </w:tc>
        <w:tc>
          <w:tcPr>
            <w:tcW w:w="603" w:type="dxa"/>
            <w:tcBorders>
              <w:top w:val="single" w:color="000000" w:sz="8" w:space="0"/>
              <w:left w:val="single" w:color="000000" w:sz="8" w:space="0"/>
              <w:bottom w:val="single" w:color="000000" w:sz="8" w:space="0"/>
              <w:right w:val="single" w:color="000000" w:sz="8" w:space="0"/>
            </w:tcBorders>
            <w:vAlign w:val="center"/>
          </w:tcPr>
          <w:p w14:paraId="2C2F2EEE">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3</w:t>
            </w:r>
          </w:p>
        </w:tc>
        <w:tc>
          <w:tcPr>
            <w:tcW w:w="504" w:type="dxa"/>
            <w:tcBorders>
              <w:top w:val="single" w:color="000000" w:sz="8" w:space="0"/>
              <w:left w:val="single" w:color="000000" w:sz="8" w:space="0"/>
              <w:bottom w:val="single" w:color="000000" w:sz="8" w:space="0"/>
              <w:right w:val="single" w:color="000000" w:sz="8" w:space="0"/>
            </w:tcBorders>
            <w:vAlign w:val="center"/>
          </w:tcPr>
          <w:p w14:paraId="29282C24">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0</w:t>
            </w:r>
          </w:p>
        </w:tc>
        <w:tc>
          <w:tcPr>
            <w:tcW w:w="4729" w:type="dxa"/>
            <w:tcBorders>
              <w:top w:val="single" w:color="000000" w:sz="8" w:space="0"/>
              <w:left w:val="single" w:color="000000" w:sz="8" w:space="0"/>
              <w:bottom w:val="single" w:color="000000" w:sz="8" w:space="0"/>
              <w:right w:val="single" w:color="000000" w:sz="8" w:space="0"/>
            </w:tcBorders>
            <w:vAlign w:val="center"/>
          </w:tcPr>
          <w:p w14:paraId="05322617">
            <w:pPr>
              <w:widowControl/>
              <w:adjustRightInd w:val="0"/>
              <w:snapToGrid w:val="0"/>
              <w:jc w:val="left"/>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 xml:space="preserve">4.3.2 巡查管理 </w:t>
            </w:r>
          </w:p>
        </w:tc>
      </w:tr>
      <w:tr w14:paraId="205E556A">
        <w:tblPrEx>
          <w:tblCellMar>
            <w:top w:w="0" w:type="dxa"/>
            <w:left w:w="108" w:type="dxa"/>
            <w:bottom w:w="0" w:type="dxa"/>
            <w:right w:w="108" w:type="dxa"/>
          </w:tblCellMar>
        </w:tblPrEx>
        <w:trPr>
          <w:trHeight w:val="442" w:hRule="atLeast"/>
        </w:trPr>
        <w:tc>
          <w:tcPr>
            <w:tcW w:w="480" w:type="dxa"/>
            <w:vMerge w:val="restart"/>
            <w:tcBorders>
              <w:top w:val="single" w:color="000000" w:sz="8" w:space="0"/>
              <w:left w:val="single" w:color="000000" w:sz="8" w:space="0"/>
              <w:bottom w:val="single" w:color="000000" w:sz="8" w:space="0"/>
              <w:right w:val="single" w:color="000000" w:sz="8" w:space="0"/>
            </w:tcBorders>
            <w:vAlign w:val="center"/>
          </w:tcPr>
          <w:p w14:paraId="4BA250C8">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3</w:t>
            </w:r>
          </w:p>
        </w:tc>
        <w:tc>
          <w:tcPr>
            <w:tcW w:w="81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D01E1E6">
            <w:pPr>
              <w:widowControl/>
              <w:adjustRightInd w:val="0"/>
              <w:snapToGrid w:val="0"/>
              <w:jc w:val="left"/>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环境保洁</w:t>
            </w:r>
          </w:p>
        </w:tc>
        <w:tc>
          <w:tcPr>
            <w:tcW w:w="1678" w:type="dxa"/>
            <w:tcBorders>
              <w:top w:val="single" w:color="000000" w:sz="8" w:space="0"/>
              <w:left w:val="single" w:color="000000" w:sz="8" w:space="0"/>
              <w:bottom w:val="single" w:color="000000" w:sz="8" w:space="0"/>
              <w:right w:val="single" w:color="000000" w:sz="8" w:space="0"/>
            </w:tcBorders>
            <w:vAlign w:val="center"/>
          </w:tcPr>
          <w:p w14:paraId="3C43F4D8">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环境组长</w:t>
            </w:r>
          </w:p>
        </w:tc>
        <w:tc>
          <w:tcPr>
            <w:tcW w:w="692" w:type="dxa"/>
            <w:tcBorders>
              <w:top w:val="single" w:color="000000" w:sz="8" w:space="0"/>
              <w:left w:val="single" w:color="000000" w:sz="8" w:space="0"/>
              <w:bottom w:val="single" w:color="000000" w:sz="8" w:space="0"/>
              <w:right w:val="single" w:color="000000" w:sz="8" w:space="0"/>
            </w:tcBorders>
            <w:vAlign w:val="center"/>
          </w:tcPr>
          <w:p w14:paraId="1614D677">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1</w:t>
            </w:r>
          </w:p>
        </w:tc>
        <w:tc>
          <w:tcPr>
            <w:tcW w:w="603" w:type="dxa"/>
            <w:tcBorders>
              <w:top w:val="single" w:color="000000" w:sz="8" w:space="0"/>
              <w:left w:val="single" w:color="000000" w:sz="8" w:space="0"/>
              <w:bottom w:val="single" w:color="000000" w:sz="8" w:space="0"/>
              <w:right w:val="single" w:color="000000" w:sz="8" w:space="0"/>
            </w:tcBorders>
            <w:vAlign w:val="center"/>
          </w:tcPr>
          <w:p w14:paraId="38745E76">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1</w:t>
            </w:r>
          </w:p>
        </w:tc>
        <w:tc>
          <w:tcPr>
            <w:tcW w:w="504" w:type="dxa"/>
            <w:tcBorders>
              <w:top w:val="single" w:color="000000" w:sz="8" w:space="0"/>
              <w:left w:val="single" w:color="000000" w:sz="8" w:space="0"/>
              <w:bottom w:val="single" w:color="000000" w:sz="8" w:space="0"/>
              <w:right w:val="single" w:color="000000" w:sz="8" w:space="0"/>
            </w:tcBorders>
            <w:vAlign w:val="center"/>
          </w:tcPr>
          <w:p w14:paraId="6358966D">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w:t>
            </w:r>
          </w:p>
        </w:tc>
        <w:tc>
          <w:tcPr>
            <w:tcW w:w="4729" w:type="dxa"/>
            <w:tcBorders>
              <w:top w:val="single" w:color="000000" w:sz="8" w:space="0"/>
              <w:left w:val="single" w:color="000000" w:sz="8" w:space="0"/>
              <w:bottom w:val="single" w:color="000000" w:sz="8" w:space="0"/>
              <w:right w:val="single" w:color="000000" w:sz="8" w:space="0"/>
            </w:tcBorders>
            <w:vAlign w:val="center"/>
          </w:tcPr>
          <w:p w14:paraId="588FD153">
            <w:pPr>
              <w:widowControl/>
              <w:adjustRightInd w:val="0"/>
              <w:snapToGrid w:val="0"/>
              <w:jc w:val="left"/>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兼换班工作和临时应急</w:t>
            </w:r>
          </w:p>
        </w:tc>
      </w:tr>
      <w:tr w14:paraId="4B541C16">
        <w:tblPrEx>
          <w:tblCellMar>
            <w:top w:w="0" w:type="dxa"/>
            <w:left w:w="108" w:type="dxa"/>
            <w:bottom w:w="0" w:type="dxa"/>
            <w:right w:w="108" w:type="dxa"/>
          </w:tblCellMar>
        </w:tblPrEx>
        <w:trPr>
          <w:trHeight w:val="444" w:hRule="atLeast"/>
        </w:trPr>
        <w:tc>
          <w:tcPr>
            <w:tcW w:w="480" w:type="dxa"/>
            <w:vMerge w:val="continue"/>
            <w:tcBorders>
              <w:top w:val="single" w:color="000000" w:sz="8" w:space="0"/>
              <w:left w:val="single" w:color="000000" w:sz="8" w:space="0"/>
              <w:bottom w:val="single" w:color="000000" w:sz="8" w:space="0"/>
              <w:right w:val="single" w:color="000000" w:sz="8" w:space="0"/>
            </w:tcBorders>
            <w:vAlign w:val="center"/>
          </w:tcPr>
          <w:p w14:paraId="5DFF8B70">
            <w:pPr>
              <w:adjustRightInd w:val="0"/>
              <w:snapToGrid w:val="0"/>
              <w:jc w:val="center"/>
              <w:rPr>
                <w:rFonts w:ascii="Times New Roman Regular" w:hAnsi="Times New Roman Regular" w:cs="Times New Roman Regular" w:eastAsiaTheme="minorEastAsia"/>
                <w:color w:val="auto"/>
                <w:sz w:val="24"/>
                <w:highlight w:val="none"/>
              </w:rPr>
            </w:pPr>
          </w:p>
        </w:tc>
        <w:tc>
          <w:tcPr>
            <w:tcW w:w="81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952FEA">
            <w:pPr>
              <w:adjustRightInd w:val="0"/>
              <w:snapToGrid w:val="0"/>
              <w:rPr>
                <w:rFonts w:ascii="Times New Roman Regular" w:hAnsi="Times New Roman Regular" w:cs="Times New Roman Regular" w:eastAsiaTheme="minorEastAsia"/>
                <w:color w:val="auto"/>
                <w:sz w:val="24"/>
                <w:highlight w:val="none"/>
              </w:rPr>
            </w:pPr>
          </w:p>
        </w:tc>
        <w:tc>
          <w:tcPr>
            <w:tcW w:w="1678" w:type="dxa"/>
            <w:tcBorders>
              <w:top w:val="single" w:color="000000" w:sz="8" w:space="0"/>
              <w:left w:val="single" w:color="000000" w:sz="8" w:space="0"/>
              <w:bottom w:val="single" w:color="000000" w:sz="8" w:space="0"/>
              <w:right w:val="single" w:color="000000" w:sz="8" w:space="0"/>
            </w:tcBorders>
            <w:vAlign w:val="center"/>
          </w:tcPr>
          <w:p w14:paraId="095BF0E3">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室外公区员工</w:t>
            </w:r>
          </w:p>
        </w:tc>
        <w:tc>
          <w:tcPr>
            <w:tcW w:w="692" w:type="dxa"/>
            <w:tcBorders>
              <w:top w:val="single" w:color="000000" w:sz="8" w:space="0"/>
              <w:left w:val="single" w:color="000000" w:sz="8" w:space="0"/>
              <w:bottom w:val="single" w:color="000000" w:sz="8" w:space="0"/>
              <w:right w:val="single" w:color="000000" w:sz="8" w:space="0"/>
            </w:tcBorders>
            <w:vAlign w:val="center"/>
          </w:tcPr>
          <w:p w14:paraId="2734F5E1">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6</w:t>
            </w:r>
          </w:p>
        </w:tc>
        <w:tc>
          <w:tcPr>
            <w:tcW w:w="603" w:type="dxa"/>
            <w:tcBorders>
              <w:top w:val="single" w:color="000000" w:sz="8" w:space="0"/>
              <w:left w:val="single" w:color="000000" w:sz="8" w:space="0"/>
              <w:bottom w:val="single" w:color="000000" w:sz="8" w:space="0"/>
              <w:right w:val="single" w:color="000000" w:sz="8" w:space="0"/>
            </w:tcBorders>
            <w:vAlign w:val="center"/>
          </w:tcPr>
          <w:p w14:paraId="35C9822B">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6</w:t>
            </w:r>
          </w:p>
        </w:tc>
        <w:tc>
          <w:tcPr>
            <w:tcW w:w="504" w:type="dxa"/>
            <w:tcBorders>
              <w:top w:val="single" w:color="000000" w:sz="8" w:space="0"/>
              <w:left w:val="single" w:color="000000" w:sz="8" w:space="0"/>
              <w:bottom w:val="single" w:color="000000" w:sz="8" w:space="0"/>
              <w:right w:val="single" w:color="000000" w:sz="8" w:space="0"/>
            </w:tcBorders>
            <w:vAlign w:val="center"/>
          </w:tcPr>
          <w:p w14:paraId="0E9385C3">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w:t>
            </w:r>
          </w:p>
        </w:tc>
        <w:tc>
          <w:tcPr>
            <w:tcW w:w="4729" w:type="dxa"/>
            <w:tcBorders>
              <w:top w:val="single" w:color="000000" w:sz="8" w:space="0"/>
              <w:left w:val="single" w:color="000000" w:sz="8" w:space="0"/>
              <w:bottom w:val="single" w:color="000000" w:sz="8" w:space="0"/>
              <w:right w:val="single" w:color="000000" w:sz="8" w:space="0"/>
            </w:tcBorders>
            <w:vAlign w:val="center"/>
          </w:tcPr>
          <w:p w14:paraId="4C7F5105">
            <w:pPr>
              <w:widowControl/>
              <w:adjustRightInd w:val="0"/>
              <w:snapToGrid w:val="0"/>
              <w:jc w:val="left"/>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4.4.1 保洁管理</w:t>
            </w:r>
          </w:p>
        </w:tc>
      </w:tr>
      <w:tr w14:paraId="62FB9F1A">
        <w:tblPrEx>
          <w:tblCellMar>
            <w:top w:w="0" w:type="dxa"/>
            <w:left w:w="108" w:type="dxa"/>
            <w:bottom w:w="0" w:type="dxa"/>
            <w:right w:w="108" w:type="dxa"/>
          </w:tblCellMar>
        </w:tblPrEx>
        <w:trPr>
          <w:trHeight w:val="540" w:hRule="atLeast"/>
        </w:trPr>
        <w:tc>
          <w:tcPr>
            <w:tcW w:w="480" w:type="dxa"/>
            <w:vMerge w:val="continue"/>
            <w:tcBorders>
              <w:top w:val="single" w:color="000000" w:sz="8" w:space="0"/>
              <w:left w:val="single" w:color="000000" w:sz="8" w:space="0"/>
              <w:bottom w:val="single" w:color="000000" w:sz="8" w:space="0"/>
              <w:right w:val="single" w:color="000000" w:sz="8" w:space="0"/>
            </w:tcBorders>
            <w:vAlign w:val="center"/>
          </w:tcPr>
          <w:p w14:paraId="74C647B7">
            <w:pPr>
              <w:adjustRightInd w:val="0"/>
              <w:snapToGrid w:val="0"/>
              <w:jc w:val="center"/>
              <w:rPr>
                <w:rFonts w:ascii="Times New Roman Regular" w:hAnsi="Times New Roman Regular" w:cs="Times New Roman Regular" w:eastAsiaTheme="minorEastAsia"/>
                <w:color w:val="auto"/>
                <w:sz w:val="24"/>
                <w:highlight w:val="none"/>
              </w:rPr>
            </w:pPr>
          </w:p>
        </w:tc>
        <w:tc>
          <w:tcPr>
            <w:tcW w:w="81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BA1B82">
            <w:pPr>
              <w:adjustRightInd w:val="0"/>
              <w:snapToGrid w:val="0"/>
              <w:rPr>
                <w:rFonts w:ascii="Times New Roman Regular" w:hAnsi="Times New Roman Regular" w:cs="Times New Roman Regular" w:eastAsiaTheme="minorEastAsia"/>
                <w:color w:val="auto"/>
                <w:sz w:val="24"/>
                <w:highlight w:val="none"/>
              </w:rPr>
            </w:pPr>
          </w:p>
        </w:tc>
        <w:tc>
          <w:tcPr>
            <w:tcW w:w="1678" w:type="dxa"/>
            <w:tcBorders>
              <w:top w:val="single" w:color="000000" w:sz="8" w:space="0"/>
              <w:left w:val="single" w:color="000000" w:sz="8" w:space="0"/>
              <w:bottom w:val="single" w:color="000000" w:sz="8" w:space="0"/>
              <w:right w:val="single" w:color="000000" w:sz="8" w:space="0"/>
            </w:tcBorders>
            <w:vAlign w:val="center"/>
          </w:tcPr>
          <w:p w14:paraId="7FBE36F2">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楼栋公区员工</w:t>
            </w:r>
          </w:p>
        </w:tc>
        <w:tc>
          <w:tcPr>
            <w:tcW w:w="692" w:type="dxa"/>
            <w:tcBorders>
              <w:top w:val="single" w:color="000000" w:sz="8" w:space="0"/>
              <w:left w:val="single" w:color="000000" w:sz="8" w:space="0"/>
              <w:bottom w:val="single" w:color="000000" w:sz="8" w:space="0"/>
              <w:right w:val="single" w:color="000000" w:sz="8" w:space="0"/>
            </w:tcBorders>
            <w:vAlign w:val="center"/>
          </w:tcPr>
          <w:p w14:paraId="3F4ED155">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3</w:t>
            </w:r>
          </w:p>
        </w:tc>
        <w:tc>
          <w:tcPr>
            <w:tcW w:w="603" w:type="dxa"/>
            <w:tcBorders>
              <w:top w:val="single" w:color="000000" w:sz="8" w:space="0"/>
              <w:left w:val="single" w:color="000000" w:sz="8" w:space="0"/>
              <w:bottom w:val="single" w:color="000000" w:sz="8" w:space="0"/>
              <w:right w:val="single" w:color="000000" w:sz="8" w:space="0"/>
            </w:tcBorders>
            <w:vAlign w:val="center"/>
          </w:tcPr>
          <w:p w14:paraId="4DC1879D">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3</w:t>
            </w:r>
          </w:p>
        </w:tc>
        <w:tc>
          <w:tcPr>
            <w:tcW w:w="504" w:type="dxa"/>
            <w:tcBorders>
              <w:top w:val="single" w:color="000000" w:sz="8" w:space="0"/>
              <w:left w:val="single" w:color="000000" w:sz="8" w:space="0"/>
              <w:bottom w:val="single" w:color="000000" w:sz="8" w:space="0"/>
              <w:right w:val="single" w:color="000000" w:sz="8" w:space="0"/>
            </w:tcBorders>
            <w:vAlign w:val="center"/>
          </w:tcPr>
          <w:p w14:paraId="147C74CB">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w:t>
            </w:r>
          </w:p>
        </w:tc>
        <w:tc>
          <w:tcPr>
            <w:tcW w:w="4729" w:type="dxa"/>
            <w:tcBorders>
              <w:top w:val="single" w:color="000000" w:sz="8" w:space="0"/>
              <w:left w:val="single" w:color="000000" w:sz="8" w:space="0"/>
              <w:bottom w:val="single" w:color="000000" w:sz="8" w:space="0"/>
              <w:right w:val="single" w:color="000000" w:sz="8" w:space="0"/>
            </w:tcBorders>
            <w:vAlign w:val="center"/>
          </w:tcPr>
          <w:p w14:paraId="059952A9">
            <w:pPr>
              <w:pStyle w:val="2"/>
              <w:adjustRightInd w:val="0"/>
              <w:snapToGrid w:val="0"/>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4.4.1 保洁管理</w:t>
            </w:r>
          </w:p>
          <w:p w14:paraId="6604D8BC">
            <w:pPr>
              <w:adjustRightInd w:val="0"/>
              <w:snapToGrid w:val="0"/>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兼垃圾清运</w:t>
            </w:r>
          </w:p>
        </w:tc>
      </w:tr>
      <w:tr w14:paraId="5778977B">
        <w:tblPrEx>
          <w:tblCellMar>
            <w:top w:w="0" w:type="dxa"/>
            <w:left w:w="108" w:type="dxa"/>
            <w:bottom w:w="0" w:type="dxa"/>
            <w:right w:w="108" w:type="dxa"/>
          </w:tblCellMar>
        </w:tblPrEx>
        <w:trPr>
          <w:trHeight w:val="447" w:hRule="atLeast"/>
        </w:trPr>
        <w:tc>
          <w:tcPr>
            <w:tcW w:w="480" w:type="dxa"/>
            <w:vMerge w:val="restart"/>
            <w:tcBorders>
              <w:top w:val="single" w:color="000000" w:sz="8" w:space="0"/>
              <w:left w:val="single" w:color="000000" w:sz="8" w:space="0"/>
              <w:bottom w:val="single" w:color="000000" w:sz="8" w:space="0"/>
              <w:right w:val="single" w:color="000000" w:sz="8" w:space="0"/>
            </w:tcBorders>
            <w:vAlign w:val="center"/>
          </w:tcPr>
          <w:p w14:paraId="6A139D7B">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4</w:t>
            </w:r>
          </w:p>
        </w:tc>
        <w:tc>
          <w:tcPr>
            <w:tcW w:w="81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D8D6D40">
            <w:pPr>
              <w:widowControl/>
              <w:adjustRightInd w:val="0"/>
              <w:snapToGrid w:val="0"/>
              <w:jc w:val="left"/>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绿化养护</w:t>
            </w:r>
          </w:p>
        </w:tc>
        <w:tc>
          <w:tcPr>
            <w:tcW w:w="1678" w:type="dxa"/>
            <w:tcBorders>
              <w:top w:val="single" w:color="000000" w:sz="8" w:space="0"/>
              <w:left w:val="single" w:color="000000" w:sz="8" w:space="0"/>
              <w:bottom w:val="single" w:color="000000" w:sz="8" w:space="0"/>
              <w:right w:val="single" w:color="000000" w:sz="8" w:space="0"/>
            </w:tcBorders>
            <w:vAlign w:val="center"/>
          </w:tcPr>
          <w:p w14:paraId="05A4E381">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绿化组长</w:t>
            </w:r>
          </w:p>
        </w:tc>
        <w:tc>
          <w:tcPr>
            <w:tcW w:w="692" w:type="dxa"/>
            <w:tcBorders>
              <w:top w:val="single" w:color="000000" w:sz="8" w:space="0"/>
              <w:left w:val="single" w:color="000000" w:sz="8" w:space="0"/>
              <w:bottom w:val="single" w:color="000000" w:sz="8" w:space="0"/>
              <w:right w:val="single" w:color="000000" w:sz="8" w:space="0"/>
            </w:tcBorders>
            <w:vAlign w:val="center"/>
          </w:tcPr>
          <w:p w14:paraId="21B888A2">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1</w:t>
            </w:r>
          </w:p>
        </w:tc>
        <w:tc>
          <w:tcPr>
            <w:tcW w:w="603" w:type="dxa"/>
            <w:tcBorders>
              <w:top w:val="single" w:color="000000" w:sz="8" w:space="0"/>
              <w:left w:val="single" w:color="000000" w:sz="8" w:space="0"/>
              <w:bottom w:val="single" w:color="000000" w:sz="8" w:space="0"/>
              <w:right w:val="single" w:color="000000" w:sz="8" w:space="0"/>
            </w:tcBorders>
            <w:vAlign w:val="center"/>
          </w:tcPr>
          <w:p w14:paraId="3F5E6E3E">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1</w:t>
            </w:r>
          </w:p>
        </w:tc>
        <w:tc>
          <w:tcPr>
            <w:tcW w:w="504" w:type="dxa"/>
            <w:tcBorders>
              <w:top w:val="single" w:color="000000" w:sz="8" w:space="0"/>
              <w:left w:val="single" w:color="000000" w:sz="8" w:space="0"/>
              <w:bottom w:val="single" w:color="000000" w:sz="8" w:space="0"/>
              <w:right w:val="single" w:color="000000" w:sz="8" w:space="0"/>
            </w:tcBorders>
            <w:vAlign w:val="center"/>
          </w:tcPr>
          <w:p w14:paraId="24B80DA0">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w:t>
            </w:r>
          </w:p>
        </w:tc>
        <w:tc>
          <w:tcPr>
            <w:tcW w:w="4729" w:type="dxa"/>
            <w:tcBorders>
              <w:top w:val="single" w:color="000000" w:sz="8" w:space="0"/>
              <w:left w:val="single" w:color="000000" w:sz="8" w:space="0"/>
              <w:bottom w:val="single" w:color="000000" w:sz="8" w:space="0"/>
              <w:right w:val="single" w:color="000000" w:sz="8" w:space="0"/>
            </w:tcBorders>
            <w:vAlign w:val="center"/>
          </w:tcPr>
          <w:p w14:paraId="43EF8971">
            <w:pPr>
              <w:widowControl/>
              <w:adjustRightInd w:val="0"/>
              <w:snapToGrid w:val="0"/>
              <w:jc w:val="left"/>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兼技术组长</w:t>
            </w:r>
          </w:p>
        </w:tc>
      </w:tr>
      <w:tr w14:paraId="474B46F0">
        <w:tblPrEx>
          <w:tblCellMar>
            <w:top w:w="0" w:type="dxa"/>
            <w:left w:w="108" w:type="dxa"/>
            <w:bottom w:w="0" w:type="dxa"/>
            <w:right w:w="108" w:type="dxa"/>
          </w:tblCellMar>
        </w:tblPrEx>
        <w:trPr>
          <w:trHeight w:val="429" w:hRule="atLeast"/>
        </w:trPr>
        <w:tc>
          <w:tcPr>
            <w:tcW w:w="480" w:type="dxa"/>
            <w:vMerge w:val="continue"/>
            <w:tcBorders>
              <w:top w:val="single" w:color="000000" w:sz="8" w:space="0"/>
              <w:left w:val="single" w:color="000000" w:sz="8" w:space="0"/>
              <w:bottom w:val="single" w:color="000000" w:sz="8" w:space="0"/>
              <w:right w:val="single" w:color="000000" w:sz="8" w:space="0"/>
            </w:tcBorders>
            <w:vAlign w:val="center"/>
          </w:tcPr>
          <w:p w14:paraId="485824F2">
            <w:pPr>
              <w:adjustRightInd w:val="0"/>
              <w:snapToGrid w:val="0"/>
              <w:jc w:val="center"/>
              <w:rPr>
                <w:rFonts w:ascii="Times New Roman Regular" w:hAnsi="Times New Roman Regular" w:cs="Times New Roman Regular" w:eastAsiaTheme="minorEastAsia"/>
                <w:color w:val="auto"/>
                <w:sz w:val="24"/>
                <w:highlight w:val="none"/>
              </w:rPr>
            </w:pPr>
          </w:p>
        </w:tc>
        <w:tc>
          <w:tcPr>
            <w:tcW w:w="81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88E3AE4">
            <w:pPr>
              <w:adjustRightInd w:val="0"/>
              <w:snapToGrid w:val="0"/>
              <w:rPr>
                <w:rFonts w:ascii="Times New Roman Regular" w:hAnsi="Times New Roman Regular" w:cs="Times New Roman Regular" w:eastAsiaTheme="minorEastAsia"/>
                <w:color w:val="auto"/>
                <w:sz w:val="24"/>
                <w:highlight w:val="none"/>
              </w:rPr>
            </w:pPr>
          </w:p>
        </w:tc>
        <w:tc>
          <w:tcPr>
            <w:tcW w:w="1678" w:type="dxa"/>
            <w:tcBorders>
              <w:top w:val="single" w:color="000000" w:sz="8" w:space="0"/>
              <w:left w:val="single" w:color="000000" w:sz="8" w:space="0"/>
              <w:bottom w:val="single" w:color="000000" w:sz="8" w:space="0"/>
              <w:right w:val="single" w:color="000000" w:sz="8" w:space="0"/>
            </w:tcBorders>
            <w:vAlign w:val="center"/>
          </w:tcPr>
          <w:p w14:paraId="03763B03">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绿化员工</w:t>
            </w:r>
          </w:p>
        </w:tc>
        <w:tc>
          <w:tcPr>
            <w:tcW w:w="692" w:type="dxa"/>
            <w:tcBorders>
              <w:top w:val="single" w:color="000000" w:sz="8" w:space="0"/>
              <w:left w:val="single" w:color="000000" w:sz="8" w:space="0"/>
              <w:bottom w:val="single" w:color="000000" w:sz="8" w:space="0"/>
              <w:right w:val="single" w:color="000000" w:sz="8" w:space="0"/>
            </w:tcBorders>
            <w:vAlign w:val="center"/>
          </w:tcPr>
          <w:p w14:paraId="69C29111">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10</w:t>
            </w:r>
          </w:p>
        </w:tc>
        <w:tc>
          <w:tcPr>
            <w:tcW w:w="603" w:type="dxa"/>
            <w:tcBorders>
              <w:top w:val="single" w:color="000000" w:sz="8" w:space="0"/>
              <w:left w:val="single" w:color="000000" w:sz="8" w:space="0"/>
              <w:bottom w:val="single" w:color="000000" w:sz="8" w:space="0"/>
              <w:right w:val="single" w:color="000000" w:sz="8" w:space="0"/>
            </w:tcBorders>
            <w:vAlign w:val="center"/>
          </w:tcPr>
          <w:p w14:paraId="6844351B">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10</w:t>
            </w:r>
          </w:p>
        </w:tc>
        <w:tc>
          <w:tcPr>
            <w:tcW w:w="504" w:type="dxa"/>
            <w:tcBorders>
              <w:top w:val="single" w:color="000000" w:sz="8" w:space="0"/>
              <w:left w:val="single" w:color="000000" w:sz="8" w:space="0"/>
              <w:bottom w:val="single" w:color="000000" w:sz="8" w:space="0"/>
              <w:right w:val="single" w:color="000000" w:sz="8" w:space="0"/>
            </w:tcBorders>
            <w:vAlign w:val="center"/>
          </w:tcPr>
          <w:p w14:paraId="1BB63749">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w:t>
            </w:r>
          </w:p>
        </w:tc>
        <w:tc>
          <w:tcPr>
            <w:tcW w:w="4729" w:type="dxa"/>
            <w:tcBorders>
              <w:top w:val="single" w:color="000000" w:sz="8" w:space="0"/>
              <w:left w:val="single" w:color="000000" w:sz="8" w:space="0"/>
              <w:bottom w:val="single" w:color="000000" w:sz="8" w:space="0"/>
              <w:right w:val="single" w:color="000000" w:sz="8" w:space="0"/>
            </w:tcBorders>
            <w:vAlign w:val="center"/>
          </w:tcPr>
          <w:p w14:paraId="3873A344">
            <w:pPr>
              <w:widowControl/>
              <w:adjustRightInd w:val="0"/>
              <w:snapToGrid w:val="0"/>
              <w:jc w:val="left"/>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 xml:space="preserve">4.4.3 绿化管理 </w:t>
            </w:r>
          </w:p>
        </w:tc>
      </w:tr>
      <w:tr w14:paraId="299ADF9B">
        <w:tblPrEx>
          <w:tblCellMar>
            <w:top w:w="0" w:type="dxa"/>
            <w:left w:w="108" w:type="dxa"/>
            <w:bottom w:w="0" w:type="dxa"/>
            <w:right w:w="108" w:type="dxa"/>
          </w:tblCellMar>
        </w:tblPrEx>
        <w:trPr>
          <w:trHeight w:val="411" w:hRule="atLeast"/>
        </w:trPr>
        <w:tc>
          <w:tcPr>
            <w:tcW w:w="480" w:type="dxa"/>
            <w:vMerge w:val="restart"/>
            <w:tcBorders>
              <w:top w:val="single" w:color="000000" w:sz="8" w:space="0"/>
              <w:left w:val="single" w:color="000000" w:sz="8" w:space="0"/>
              <w:bottom w:val="single" w:color="000000" w:sz="8" w:space="0"/>
              <w:right w:val="single" w:color="000000" w:sz="8" w:space="0"/>
            </w:tcBorders>
            <w:vAlign w:val="center"/>
          </w:tcPr>
          <w:p w14:paraId="2DED39DC">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5</w:t>
            </w:r>
          </w:p>
        </w:tc>
        <w:tc>
          <w:tcPr>
            <w:tcW w:w="81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0D16A24">
            <w:pPr>
              <w:widowControl/>
              <w:adjustRightInd w:val="0"/>
              <w:snapToGrid w:val="0"/>
              <w:jc w:val="left"/>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工程维保</w:t>
            </w:r>
          </w:p>
        </w:tc>
        <w:tc>
          <w:tcPr>
            <w:tcW w:w="1678" w:type="dxa"/>
            <w:tcBorders>
              <w:top w:val="single" w:color="000000" w:sz="8" w:space="0"/>
              <w:left w:val="single" w:color="000000" w:sz="8" w:space="0"/>
              <w:bottom w:val="single" w:color="000000" w:sz="8" w:space="0"/>
              <w:right w:val="single" w:color="000000" w:sz="8" w:space="0"/>
            </w:tcBorders>
            <w:vAlign w:val="center"/>
          </w:tcPr>
          <w:p w14:paraId="7CE1A9E9">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工程组长</w:t>
            </w:r>
          </w:p>
        </w:tc>
        <w:tc>
          <w:tcPr>
            <w:tcW w:w="692" w:type="dxa"/>
            <w:tcBorders>
              <w:top w:val="single" w:color="000000" w:sz="8" w:space="0"/>
              <w:left w:val="single" w:color="000000" w:sz="8" w:space="0"/>
              <w:bottom w:val="single" w:color="000000" w:sz="8" w:space="0"/>
              <w:right w:val="single" w:color="000000" w:sz="8" w:space="0"/>
            </w:tcBorders>
            <w:vAlign w:val="center"/>
          </w:tcPr>
          <w:p w14:paraId="784050BE">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1</w:t>
            </w:r>
          </w:p>
        </w:tc>
        <w:tc>
          <w:tcPr>
            <w:tcW w:w="603" w:type="dxa"/>
            <w:tcBorders>
              <w:top w:val="single" w:color="000000" w:sz="8" w:space="0"/>
              <w:left w:val="single" w:color="000000" w:sz="8" w:space="0"/>
              <w:bottom w:val="single" w:color="000000" w:sz="8" w:space="0"/>
              <w:right w:val="single" w:color="000000" w:sz="8" w:space="0"/>
            </w:tcBorders>
            <w:vAlign w:val="center"/>
          </w:tcPr>
          <w:p w14:paraId="56669391">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1</w:t>
            </w:r>
          </w:p>
        </w:tc>
        <w:tc>
          <w:tcPr>
            <w:tcW w:w="504" w:type="dxa"/>
            <w:tcBorders>
              <w:top w:val="single" w:color="000000" w:sz="8" w:space="0"/>
              <w:left w:val="single" w:color="000000" w:sz="8" w:space="0"/>
              <w:bottom w:val="single" w:color="000000" w:sz="8" w:space="0"/>
              <w:right w:val="single" w:color="000000" w:sz="8" w:space="0"/>
            </w:tcBorders>
            <w:vAlign w:val="center"/>
          </w:tcPr>
          <w:p w14:paraId="3837F5F9">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w:t>
            </w:r>
          </w:p>
        </w:tc>
        <w:tc>
          <w:tcPr>
            <w:tcW w:w="4729" w:type="dxa"/>
            <w:tcBorders>
              <w:top w:val="single" w:color="000000" w:sz="8" w:space="0"/>
              <w:left w:val="single" w:color="000000" w:sz="8" w:space="0"/>
              <w:bottom w:val="single" w:color="000000" w:sz="8" w:space="0"/>
              <w:right w:val="single" w:color="000000" w:sz="8" w:space="0"/>
            </w:tcBorders>
            <w:vAlign w:val="center"/>
          </w:tcPr>
          <w:p w14:paraId="55E41232">
            <w:pPr>
              <w:widowControl/>
              <w:adjustRightInd w:val="0"/>
              <w:snapToGrid w:val="0"/>
              <w:jc w:val="left"/>
              <w:textAlignment w:val="center"/>
              <w:rPr>
                <w:rFonts w:ascii="Times New Roman Regular" w:hAnsi="Times New Roman Regular" w:cs="Times New Roman Regular" w:eastAsiaTheme="minorEastAsia"/>
                <w:color w:val="auto"/>
                <w:sz w:val="24"/>
                <w:highlight w:val="none"/>
              </w:rPr>
            </w:pPr>
          </w:p>
        </w:tc>
      </w:tr>
      <w:tr w14:paraId="5E1FC23F">
        <w:tblPrEx>
          <w:tblCellMar>
            <w:top w:w="0" w:type="dxa"/>
            <w:left w:w="108" w:type="dxa"/>
            <w:bottom w:w="0" w:type="dxa"/>
            <w:right w:w="108" w:type="dxa"/>
          </w:tblCellMar>
        </w:tblPrEx>
        <w:trPr>
          <w:trHeight w:val="411" w:hRule="atLeast"/>
        </w:trPr>
        <w:tc>
          <w:tcPr>
            <w:tcW w:w="480" w:type="dxa"/>
            <w:vMerge w:val="continue"/>
            <w:tcBorders>
              <w:top w:val="single" w:color="000000" w:sz="8" w:space="0"/>
              <w:left w:val="single" w:color="000000" w:sz="8" w:space="0"/>
              <w:bottom w:val="single" w:color="000000" w:sz="8" w:space="0"/>
              <w:right w:val="single" w:color="000000" w:sz="8" w:space="0"/>
            </w:tcBorders>
            <w:vAlign w:val="center"/>
          </w:tcPr>
          <w:p w14:paraId="3581162D">
            <w:pPr>
              <w:adjustRightInd w:val="0"/>
              <w:snapToGrid w:val="0"/>
              <w:jc w:val="center"/>
              <w:rPr>
                <w:rFonts w:ascii="Times New Roman Regular" w:hAnsi="Times New Roman Regular" w:cs="Times New Roman Regular" w:eastAsiaTheme="minorEastAsia"/>
                <w:color w:val="auto"/>
                <w:sz w:val="24"/>
                <w:highlight w:val="none"/>
              </w:rPr>
            </w:pPr>
          </w:p>
        </w:tc>
        <w:tc>
          <w:tcPr>
            <w:tcW w:w="81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43C8029">
            <w:pPr>
              <w:adjustRightInd w:val="0"/>
              <w:snapToGrid w:val="0"/>
              <w:rPr>
                <w:rFonts w:ascii="Times New Roman Regular" w:hAnsi="Times New Roman Regular" w:cs="Times New Roman Regular" w:eastAsiaTheme="minorEastAsia"/>
                <w:color w:val="auto"/>
                <w:sz w:val="24"/>
                <w:highlight w:val="none"/>
              </w:rPr>
            </w:pPr>
          </w:p>
        </w:tc>
        <w:tc>
          <w:tcPr>
            <w:tcW w:w="1678" w:type="dxa"/>
            <w:tcBorders>
              <w:top w:val="single" w:color="000000" w:sz="8" w:space="0"/>
              <w:left w:val="single" w:color="000000" w:sz="8" w:space="0"/>
              <w:bottom w:val="single" w:color="000000" w:sz="8" w:space="0"/>
              <w:right w:val="single" w:color="000000" w:sz="8" w:space="0"/>
            </w:tcBorders>
            <w:vAlign w:val="center"/>
          </w:tcPr>
          <w:p w14:paraId="100D6722">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工程员工</w:t>
            </w:r>
          </w:p>
        </w:tc>
        <w:tc>
          <w:tcPr>
            <w:tcW w:w="692" w:type="dxa"/>
            <w:tcBorders>
              <w:top w:val="single" w:color="000000" w:sz="8" w:space="0"/>
              <w:left w:val="single" w:color="000000" w:sz="8" w:space="0"/>
              <w:bottom w:val="single" w:color="000000" w:sz="8" w:space="0"/>
              <w:right w:val="single" w:color="000000" w:sz="8" w:space="0"/>
            </w:tcBorders>
            <w:vAlign w:val="center"/>
          </w:tcPr>
          <w:p w14:paraId="6D3A4CB4">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6</w:t>
            </w:r>
          </w:p>
        </w:tc>
        <w:tc>
          <w:tcPr>
            <w:tcW w:w="603" w:type="dxa"/>
            <w:tcBorders>
              <w:top w:val="single" w:color="000000" w:sz="8" w:space="0"/>
              <w:left w:val="single" w:color="000000" w:sz="8" w:space="0"/>
              <w:bottom w:val="single" w:color="000000" w:sz="8" w:space="0"/>
              <w:right w:val="single" w:color="000000" w:sz="8" w:space="0"/>
            </w:tcBorders>
            <w:vAlign w:val="center"/>
          </w:tcPr>
          <w:p w14:paraId="709D8EEC">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6</w:t>
            </w:r>
          </w:p>
        </w:tc>
        <w:tc>
          <w:tcPr>
            <w:tcW w:w="504" w:type="dxa"/>
            <w:tcBorders>
              <w:top w:val="single" w:color="000000" w:sz="8" w:space="0"/>
              <w:left w:val="single" w:color="000000" w:sz="8" w:space="0"/>
              <w:bottom w:val="single" w:color="000000" w:sz="8" w:space="0"/>
              <w:right w:val="single" w:color="000000" w:sz="8" w:space="0"/>
            </w:tcBorders>
            <w:vAlign w:val="center"/>
          </w:tcPr>
          <w:p w14:paraId="6780E58C">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w:t>
            </w:r>
          </w:p>
        </w:tc>
        <w:tc>
          <w:tcPr>
            <w:tcW w:w="4729" w:type="dxa"/>
            <w:tcBorders>
              <w:top w:val="single" w:color="000000" w:sz="8" w:space="0"/>
              <w:left w:val="single" w:color="000000" w:sz="8" w:space="0"/>
              <w:bottom w:val="single" w:color="000000" w:sz="8" w:space="0"/>
              <w:right w:val="single" w:color="000000" w:sz="8" w:space="0"/>
            </w:tcBorders>
            <w:vAlign w:val="center"/>
          </w:tcPr>
          <w:p w14:paraId="56F328C4">
            <w:pPr>
              <w:widowControl/>
              <w:adjustRightInd w:val="0"/>
              <w:snapToGrid w:val="0"/>
              <w:jc w:val="left"/>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 xml:space="preserve">4.2.2 房屋及共用设施管理 </w:t>
            </w:r>
          </w:p>
          <w:p w14:paraId="496FB92D">
            <w:pPr>
              <w:widowControl/>
              <w:adjustRightInd w:val="0"/>
              <w:snapToGrid w:val="0"/>
              <w:jc w:val="left"/>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本项目不涉及承接查验，但现场整改关联施工方协同量大。</w:t>
            </w:r>
          </w:p>
        </w:tc>
      </w:tr>
      <w:bookmarkEnd w:id="526"/>
      <w:tr w14:paraId="74513D8F">
        <w:tblPrEx>
          <w:tblCellMar>
            <w:top w:w="0" w:type="dxa"/>
            <w:left w:w="108" w:type="dxa"/>
            <w:bottom w:w="0" w:type="dxa"/>
            <w:right w:w="108" w:type="dxa"/>
          </w:tblCellMar>
        </w:tblPrEx>
        <w:trPr>
          <w:trHeight w:val="540" w:hRule="atLeast"/>
        </w:trPr>
        <w:tc>
          <w:tcPr>
            <w:tcW w:w="480" w:type="dxa"/>
            <w:tcBorders>
              <w:top w:val="single" w:color="000000" w:sz="8" w:space="0"/>
              <w:left w:val="single" w:color="000000" w:sz="8" w:space="0"/>
              <w:bottom w:val="single" w:color="000000" w:sz="8" w:space="0"/>
              <w:right w:val="single" w:color="000000" w:sz="8" w:space="0"/>
            </w:tcBorders>
            <w:noWrap/>
            <w:vAlign w:val="center"/>
          </w:tcPr>
          <w:p w14:paraId="036BCEFF">
            <w:pPr>
              <w:adjustRightInd w:val="0"/>
              <w:snapToGrid w:val="0"/>
              <w:jc w:val="center"/>
              <w:rPr>
                <w:rFonts w:ascii="Times New Roman Regular" w:hAnsi="Times New Roman Regular" w:cs="Times New Roman Regular" w:eastAsiaTheme="minorEastAsia"/>
                <w:color w:val="auto"/>
                <w:sz w:val="24"/>
                <w:highlight w:val="none"/>
              </w:rPr>
            </w:pPr>
          </w:p>
        </w:tc>
        <w:tc>
          <w:tcPr>
            <w:tcW w:w="8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F0B386">
            <w:pPr>
              <w:widowControl/>
              <w:adjustRightInd w:val="0"/>
              <w:snapToGrid w:val="0"/>
              <w:jc w:val="left"/>
              <w:textAlignment w:val="center"/>
              <w:rPr>
                <w:rFonts w:ascii="Times New Roman Regular" w:hAnsi="Times New Roman Regular" w:cs="Times New Roman Regular" w:eastAsiaTheme="minorEastAsia"/>
                <w:b/>
                <w:bCs/>
                <w:color w:val="auto"/>
                <w:sz w:val="24"/>
                <w:highlight w:val="none"/>
              </w:rPr>
            </w:pPr>
            <w:r>
              <w:rPr>
                <w:rFonts w:ascii="Times New Roman Regular" w:hAnsi="Times New Roman Regular" w:cs="Times New Roman Regular" w:eastAsiaTheme="minorEastAsia"/>
                <w:b/>
                <w:bCs/>
                <w:color w:val="auto"/>
                <w:kern w:val="0"/>
                <w:sz w:val="24"/>
                <w:highlight w:val="none"/>
                <w:lang w:bidi="ar"/>
              </w:rPr>
              <w:t>小计</w:t>
            </w:r>
          </w:p>
        </w:tc>
        <w:tc>
          <w:tcPr>
            <w:tcW w:w="1678" w:type="dxa"/>
            <w:tcBorders>
              <w:top w:val="single" w:color="000000" w:sz="8" w:space="0"/>
              <w:left w:val="single" w:color="000000" w:sz="8" w:space="0"/>
              <w:bottom w:val="single" w:color="000000" w:sz="8" w:space="0"/>
              <w:right w:val="single" w:color="000000" w:sz="8" w:space="0"/>
            </w:tcBorders>
            <w:noWrap/>
            <w:vAlign w:val="center"/>
          </w:tcPr>
          <w:p w14:paraId="0223FFF0">
            <w:pPr>
              <w:adjustRightInd w:val="0"/>
              <w:snapToGrid w:val="0"/>
              <w:rPr>
                <w:rFonts w:ascii="Times New Roman Regular" w:hAnsi="Times New Roman Regular" w:cs="Times New Roman Regular" w:eastAsiaTheme="minorEastAsia"/>
                <w:b/>
                <w:bCs/>
                <w:color w:val="auto"/>
                <w:sz w:val="24"/>
                <w:highlight w:val="none"/>
              </w:rPr>
            </w:pPr>
          </w:p>
        </w:tc>
        <w:tc>
          <w:tcPr>
            <w:tcW w:w="692" w:type="dxa"/>
            <w:tcBorders>
              <w:top w:val="single" w:color="000000" w:sz="8" w:space="0"/>
              <w:left w:val="single" w:color="000000" w:sz="8" w:space="0"/>
              <w:bottom w:val="single" w:color="000000" w:sz="8" w:space="0"/>
              <w:right w:val="single" w:color="000000" w:sz="8" w:space="0"/>
            </w:tcBorders>
            <w:vAlign w:val="center"/>
          </w:tcPr>
          <w:p w14:paraId="3A1E4F03">
            <w:pPr>
              <w:widowControl/>
              <w:adjustRightInd w:val="0"/>
              <w:snapToGrid w:val="0"/>
              <w:jc w:val="center"/>
              <w:textAlignment w:val="center"/>
              <w:rPr>
                <w:rFonts w:hint="eastAsia" w:ascii="Times New Roman Regular" w:hAnsi="Times New Roman Regular" w:cs="Times New Roman Regular" w:eastAsiaTheme="minorEastAsia"/>
                <w:b/>
                <w:bCs/>
                <w:color w:val="auto"/>
                <w:kern w:val="0"/>
                <w:sz w:val="24"/>
                <w:highlight w:val="none"/>
                <w:lang w:bidi="ar"/>
              </w:rPr>
            </w:pPr>
            <w:r>
              <w:rPr>
                <w:rFonts w:ascii="Times New Roman Regular" w:hAnsi="Times New Roman Regular" w:cs="Times New Roman Regular" w:eastAsiaTheme="minorEastAsia"/>
                <w:b/>
                <w:bCs/>
                <w:color w:val="auto"/>
                <w:kern w:val="0"/>
                <w:sz w:val="24"/>
                <w:highlight w:val="none"/>
                <w:lang w:bidi="ar"/>
              </w:rPr>
              <w:t>4</w:t>
            </w:r>
            <w:r>
              <w:rPr>
                <w:rFonts w:hint="eastAsia" w:ascii="Times New Roman Regular" w:hAnsi="Times New Roman Regular" w:cs="Times New Roman Regular" w:eastAsiaTheme="minorEastAsia"/>
                <w:b/>
                <w:bCs/>
                <w:color w:val="auto"/>
                <w:kern w:val="0"/>
                <w:sz w:val="24"/>
                <w:highlight w:val="none"/>
                <w:lang w:bidi="ar"/>
              </w:rPr>
              <w:t>6</w:t>
            </w:r>
          </w:p>
        </w:tc>
        <w:tc>
          <w:tcPr>
            <w:tcW w:w="603" w:type="dxa"/>
            <w:tcBorders>
              <w:top w:val="single" w:color="000000" w:sz="8" w:space="0"/>
              <w:left w:val="single" w:color="000000" w:sz="8" w:space="0"/>
              <w:bottom w:val="single" w:color="000000" w:sz="8" w:space="0"/>
              <w:right w:val="single" w:color="000000" w:sz="8" w:space="0"/>
            </w:tcBorders>
            <w:vAlign w:val="center"/>
          </w:tcPr>
          <w:p w14:paraId="37CA021B">
            <w:pPr>
              <w:widowControl/>
              <w:adjustRightInd w:val="0"/>
              <w:snapToGrid w:val="0"/>
              <w:jc w:val="center"/>
              <w:textAlignment w:val="center"/>
              <w:rPr>
                <w:rFonts w:hint="eastAsia" w:ascii="Times New Roman Regular" w:hAnsi="Times New Roman Regular" w:cs="Times New Roman Regular" w:eastAsiaTheme="minorEastAsia"/>
                <w:b/>
                <w:bCs/>
                <w:color w:val="auto"/>
                <w:kern w:val="0"/>
                <w:sz w:val="24"/>
                <w:highlight w:val="none"/>
                <w:lang w:bidi="ar"/>
              </w:rPr>
            </w:pPr>
            <w:r>
              <w:rPr>
                <w:rFonts w:ascii="Times New Roman Regular" w:hAnsi="Times New Roman Regular" w:cs="Times New Roman Regular" w:eastAsiaTheme="minorEastAsia"/>
                <w:b/>
                <w:bCs/>
                <w:color w:val="auto"/>
                <w:kern w:val="0"/>
                <w:sz w:val="24"/>
                <w:highlight w:val="none"/>
                <w:lang w:bidi="ar"/>
              </w:rPr>
              <w:t>3</w:t>
            </w:r>
            <w:r>
              <w:rPr>
                <w:rFonts w:hint="eastAsia" w:ascii="Times New Roman Regular" w:hAnsi="Times New Roman Regular" w:cs="Times New Roman Regular" w:eastAsiaTheme="minorEastAsia"/>
                <w:b/>
                <w:bCs/>
                <w:color w:val="auto"/>
                <w:kern w:val="0"/>
                <w:sz w:val="24"/>
                <w:highlight w:val="none"/>
                <w:lang w:bidi="ar"/>
              </w:rPr>
              <w:t>8</w:t>
            </w:r>
          </w:p>
        </w:tc>
        <w:tc>
          <w:tcPr>
            <w:tcW w:w="504" w:type="dxa"/>
            <w:tcBorders>
              <w:top w:val="single" w:color="000000" w:sz="8" w:space="0"/>
              <w:left w:val="single" w:color="000000" w:sz="8" w:space="0"/>
              <w:bottom w:val="single" w:color="000000" w:sz="8" w:space="0"/>
              <w:right w:val="single" w:color="000000" w:sz="8" w:space="0"/>
            </w:tcBorders>
            <w:vAlign w:val="center"/>
          </w:tcPr>
          <w:p w14:paraId="5BBF9262">
            <w:pPr>
              <w:widowControl/>
              <w:adjustRightInd w:val="0"/>
              <w:snapToGrid w:val="0"/>
              <w:jc w:val="center"/>
              <w:textAlignment w:val="center"/>
              <w:rPr>
                <w:rFonts w:ascii="Times New Roman Regular" w:hAnsi="Times New Roman Regular" w:cs="Times New Roman Regular" w:eastAsiaTheme="minorEastAsia"/>
                <w:b/>
                <w:bCs/>
                <w:color w:val="auto"/>
                <w:kern w:val="0"/>
                <w:sz w:val="24"/>
                <w:highlight w:val="none"/>
                <w:lang w:bidi="ar"/>
              </w:rPr>
            </w:pPr>
            <w:r>
              <w:rPr>
                <w:rFonts w:ascii="Times New Roman Regular" w:hAnsi="Times New Roman Regular" w:cs="Times New Roman Regular" w:eastAsiaTheme="minorEastAsia"/>
                <w:b/>
                <w:bCs/>
                <w:color w:val="auto"/>
                <w:kern w:val="0"/>
                <w:sz w:val="24"/>
                <w:highlight w:val="none"/>
                <w:lang w:bidi="ar"/>
              </w:rPr>
              <w:t>4</w:t>
            </w:r>
          </w:p>
        </w:tc>
        <w:tc>
          <w:tcPr>
            <w:tcW w:w="4729" w:type="dxa"/>
            <w:tcBorders>
              <w:top w:val="single" w:color="000000" w:sz="8" w:space="0"/>
              <w:left w:val="single" w:color="000000" w:sz="8" w:space="0"/>
              <w:bottom w:val="single" w:color="000000" w:sz="8" w:space="0"/>
              <w:right w:val="single" w:color="000000" w:sz="8" w:space="0"/>
            </w:tcBorders>
            <w:vAlign w:val="center"/>
          </w:tcPr>
          <w:p w14:paraId="5F5FABDE">
            <w:pPr>
              <w:adjustRightInd w:val="0"/>
              <w:snapToGrid w:val="0"/>
              <w:rPr>
                <w:rFonts w:ascii="Times New Roman Regular" w:hAnsi="Times New Roman Regular" w:cs="Times New Roman Regular" w:eastAsiaTheme="minorEastAsia"/>
                <w:b/>
                <w:bCs/>
                <w:color w:val="auto"/>
                <w:sz w:val="24"/>
                <w:highlight w:val="none"/>
              </w:rPr>
            </w:pPr>
            <w:r>
              <w:rPr>
                <w:rFonts w:ascii="Times New Roman Regular" w:hAnsi="Times New Roman Regular" w:cs="Times New Roman Regular" w:eastAsiaTheme="minorEastAsia"/>
                <w:b/>
                <w:bCs/>
                <w:color w:val="auto"/>
                <w:sz w:val="24"/>
                <w:highlight w:val="none"/>
              </w:rPr>
              <w:t>另4人为消防中控室/大门岗三班倒轮岗</w:t>
            </w:r>
          </w:p>
        </w:tc>
      </w:tr>
    </w:tbl>
    <w:p w14:paraId="6BB395F3">
      <w:pPr>
        <w:numPr>
          <w:ilvl w:val="0"/>
          <w:numId w:val="12"/>
        </w:numPr>
        <w:adjustRightInd w:val="0"/>
        <w:snapToGrid w:val="0"/>
        <w:spacing w:line="360" w:lineRule="auto"/>
        <w:ind w:left="0" w:firstLine="482" w:firstLineChars="200"/>
        <w:rPr>
          <w:rFonts w:ascii="Times New Roman Regular" w:hAnsi="Times New Roman Regular" w:cs="Times New Roman Regular" w:eastAsiaTheme="minorEastAsia"/>
          <w:b/>
          <w:bCs/>
          <w:color w:val="auto"/>
          <w:sz w:val="24"/>
          <w:highlight w:val="none"/>
        </w:rPr>
      </w:pPr>
      <w:r>
        <w:rPr>
          <w:rFonts w:ascii="Times New Roman Regular" w:hAnsi="Times New Roman Regular" w:cs="Times New Roman Regular" w:eastAsiaTheme="minorEastAsia"/>
          <w:b/>
          <w:bCs/>
          <w:color w:val="auto"/>
          <w:sz w:val="24"/>
          <w:highlight w:val="none"/>
        </w:rPr>
        <w:t>人员配置标准</w:t>
      </w:r>
      <w:r>
        <w:rPr>
          <w:rFonts w:ascii="Times New Roman Regular" w:hAnsi="Times New Roman Regular" w:cs="Times New Roman Regular" w:eastAsiaTheme="minorEastAsia"/>
          <w:b/>
          <w:bCs/>
          <w:color w:val="auto"/>
          <w:sz w:val="24"/>
          <w:highlight w:val="none"/>
        </w:rPr>
        <w:br w:type="textWrapping"/>
      </w:r>
      <w:r>
        <w:rPr>
          <w:rFonts w:ascii="Times New Roman Regular" w:hAnsi="Times New Roman Regular" w:cs="Times New Roman Regular" w:eastAsiaTheme="minorEastAsia"/>
          <w:color w:val="auto"/>
          <w:sz w:val="24"/>
          <w:highlight w:val="none"/>
        </w:rPr>
        <w:t xml:space="preserve">    参照《高等学校物业服务规范》4.1.1服务人员形象礼仪，以客服岗位为例，要求着装统一、保持仪容整洁、精神面貌佳、举止文明。</w:t>
      </w:r>
    </w:p>
    <w:tbl>
      <w:tblPr>
        <w:tblStyle w:val="48"/>
        <w:tblW w:w="9504" w:type="dxa"/>
        <w:jc w:val="center"/>
        <w:tblLayout w:type="fixed"/>
        <w:tblCellMar>
          <w:top w:w="0" w:type="dxa"/>
          <w:left w:w="108" w:type="dxa"/>
          <w:bottom w:w="0" w:type="dxa"/>
          <w:right w:w="108" w:type="dxa"/>
        </w:tblCellMar>
      </w:tblPr>
      <w:tblGrid>
        <w:gridCol w:w="879"/>
        <w:gridCol w:w="1393"/>
        <w:gridCol w:w="1650"/>
        <w:gridCol w:w="1395"/>
        <w:gridCol w:w="4187"/>
      </w:tblGrid>
      <w:tr w14:paraId="542A92DB">
        <w:tblPrEx>
          <w:tblCellMar>
            <w:top w:w="0" w:type="dxa"/>
            <w:left w:w="108" w:type="dxa"/>
            <w:bottom w:w="0" w:type="dxa"/>
            <w:right w:w="108" w:type="dxa"/>
          </w:tblCellMar>
        </w:tblPrEx>
        <w:trPr>
          <w:trHeight w:val="436" w:hRule="atLeast"/>
          <w:jc w:val="center"/>
        </w:trPr>
        <w:tc>
          <w:tcPr>
            <w:tcW w:w="879" w:type="dxa"/>
            <w:tcBorders>
              <w:top w:val="single" w:color="000000" w:sz="8" w:space="0"/>
              <w:left w:val="single" w:color="000000" w:sz="8" w:space="0"/>
              <w:bottom w:val="single" w:color="000000" w:sz="8" w:space="0"/>
              <w:right w:val="single" w:color="000000" w:sz="8" w:space="0"/>
            </w:tcBorders>
            <w:vAlign w:val="center"/>
          </w:tcPr>
          <w:p w14:paraId="638C86FB">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b/>
                <w:bCs/>
                <w:color w:val="auto"/>
                <w:kern w:val="0"/>
                <w:sz w:val="24"/>
                <w:highlight w:val="none"/>
                <w:lang w:bidi="ar"/>
              </w:rPr>
              <w:t>序号</w:t>
            </w:r>
          </w:p>
        </w:tc>
        <w:tc>
          <w:tcPr>
            <w:tcW w:w="13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234731">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b/>
                <w:bCs/>
                <w:color w:val="auto"/>
                <w:kern w:val="0"/>
                <w:sz w:val="24"/>
                <w:highlight w:val="none"/>
                <w:lang w:bidi="ar"/>
              </w:rPr>
              <w:t>部门</w:t>
            </w:r>
          </w:p>
        </w:tc>
        <w:tc>
          <w:tcPr>
            <w:tcW w:w="1650" w:type="dxa"/>
            <w:tcBorders>
              <w:top w:val="single" w:color="000000" w:sz="8" w:space="0"/>
              <w:left w:val="single" w:color="000000" w:sz="8" w:space="0"/>
              <w:bottom w:val="single" w:color="000000" w:sz="8" w:space="0"/>
              <w:right w:val="single" w:color="000000" w:sz="8" w:space="0"/>
            </w:tcBorders>
            <w:vAlign w:val="center"/>
          </w:tcPr>
          <w:p w14:paraId="616EEDE1">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b/>
                <w:bCs/>
                <w:color w:val="auto"/>
                <w:kern w:val="0"/>
                <w:sz w:val="24"/>
                <w:highlight w:val="none"/>
                <w:lang w:bidi="ar"/>
              </w:rPr>
              <w:t>岗位</w:t>
            </w:r>
          </w:p>
        </w:tc>
        <w:tc>
          <w:tcPr>
            <w:tcW w:w="1395" w:type="dxa"/>
            <w:tcBorders>
              <w:top w:val="single" w:color="000000" w:sz="8" w:space="0"/>
              <w:left w:val="single" w:color="000000" w:sz="8" w:space="0"/>
              <w:bottom w:val="single" w:color="000000" w:sz="8" w:space="0"/>
              <w:right w:val="single" w:color="000000" w:sz="8" w:space="0"/>
            </w:tcBorders>
            <w:vAlign w:val="center"/>
          </w:tcPr>
          <w:p w14:paraId="77A8AAB9">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b/>
                <w:bCs/>
                <w:color w:val="auto"/>
                <w:kern w:val="0"/>
                <w:sz w:val="24"/>
                <w:highlight w:val="none"/>
                <w:lang w:bidi="ar"/>
              </w:rPr>
              <w:t>岗位人数</w:t>
            </w:r>
          </w:p>
        </w:tc>
        <w:tc>
          <w:tcPr>
            <w:tcW w:w="4187" w:type="dxa"/>
            <w:tcBorders>
              <w:top w:val="single" w:color="000000" w:sz="8" w:space="0"/>
              <w:left w:val="single" w:color="000000" w:sz="8" w:space="0"/>
              <w:bottom w:val="single" w:color="000000" w:sz="8" w:space="0"/>
              <w:right w:val="single" w:color="000000" w:sz="8" w:space="0"/>
            </w:tcBorders>
            <w:vAlign w:val="center"/>
          </w:tcPr>
          <w:p w14:paraId="1CAA812E">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b/>
                <w:bCs/>
                <w:color w:val="auto"/>
                <w:kern w:val="0"/>
                <w:sz w:val="24"/>
                <w:highlight w:val="none"/>
                <w:lang w:bidi="ar"/>
              </w:rPr>
              <w:t>用人标准</w:t>
            </w:r>
          </w:p>
        </w:tc>
      </w:tr>
      <w:tr w14:paraId="1E082242">
        <w:tblPrEx>
          <w:tblCellMar>
            <w:top w:w="0" w:type="dxa"/>
            <w:left w:w="108" w:type="dxa"/>
            <w:bottom w:w="0" w:type="dxa"/>
            <w:right w:w="108" w:type="dxa"/>
          </w:tblCellMar>
        </w:tblPrEx>
        <w:trPr>
          <w:trHeight w:val="301" w:hRule="atLeast"/>
          <w:jc w:val="center"/>
        </w:trPr>
        <w:tc>
          <w:tcPr>
            <w:tcW w:w="879" w:type="dxa"/>
            <w:vMerge w:val="restart"/>
            <w:tcBorders>
              <w:top w:val="single" w:color="000000" w:sz="8" w:space="0"/>
              <w:left w:val="single" w:color="000000" w:sz="8" w:space="0"/>
              <w:bottom w:val="single" w:color="000000" w:sz="8" w:space="0"/>
              <w:right w:val="single" w:color="000000" w:sz="8" w:space="0"/>
            </w:tcBorders>
            <w:vAlign w:val="center"/>
          </w:tcPr>
          <w:p w14:paraId="0050D0E7">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1</w:t>
            </w:r>
          </w:p>
        </w:tc>
        <w:tc>
          <w:tcPr>
            <w:tcW w:w="139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76ACC44">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管理团队</w:t>
            </w:r>
          </w:p>
        </w:tc>
        <w:tc>
          <w:tcPr>
            <w:tcW w:w="1650" w:type="dxa"/>
            <w:tcBorders>
              <w:top w:val="single" w:color="000000" w:sz="8" w:space="0"/>
              <w:left w:val="single" w:color="000000" w:sz="8" w:space="0"/>
              <w:bottom w:val="single" w:color="000000" w:sz="8" w:space="0"/>
              <w:right w:val="single" w:color="000000" w:sz="8" w:space="0"/>
            </w:tcBorders>
            <w:vAlign w:val="center"/>
          </w:tcPr>
          <w:p w14:paraId="172B15D6">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hint="eastAsia" w:ascii="Times New Roman Regular" w:hAnsi="Times New Roman Regular" w:cs="Times New Roman Regular" w:eastAsiaTheme="minorEastAsia"/>
                <w:color w:val="auto"/>
                <w:kern w:val="0"/>
                <w:sz w:val="24"/>
                <w:highlight w:val="none"/>
                <w:lang w:bidi="ar"/>
              </w:rPr>
              <w:t>现场</w:t>
            </w:r>
            <w:r>
              <w:rPr>
                <w:rFonts w:ascii="Times New Roman Regular" w:hAnsi="Times New Roman Regular" w:cs="Times New Roman Regular" w:eastAsiaTheme="minorEastAsia"/>
                <w:color w:val="auto"/>
                <w:kern w:val="0"/>
                <w:sz w:val="24"/>
                <w:highlight w:val="none"/>
                <w:lang w:bidi="ar"/>
              </w:rPr>
              <w:t>负责人</w:t>
            </w:r>
          </w:p>
        </w:tc>
        <w:tc>
          <w:tcPr>
            <w:tcW w:w="1395" w:type="dxa"/>
            <w:tcBorders>
              <w:top w:val="single" w:color="000000" w:sz="8" w:space="0"/>
              <w:left w:val="single" w:color="000000" w:sz="8" w:space="0"/>
              <w:bottom w:val="single" w:color="000000" w:sz="8" w:space="0"/>
              <w:right w:val="single" w:color="000000" w:sz="8" w:space="0"/>
            </w:tcBorders>
            <w:vAlign w:val="center"/>
          </w:tcPr>
          <w:p w14:paraId="6AF17F64">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1</w:t>
            </w:r>
          </w:p>
        </w:tc>
        <w:tc>
          <w:tcPr>
            <w:tcW w:w="4187" w:type="dxa"/>
            <w:vMerge w:val="restart"/>
            <w:tcBorders>
              <w:top w:val="single" w:color="000000" w:sz="8" w:space="0"/>
              <w:left w:val="single" w:color="000000" w:sz="8" w:space="0"/>
              <w:bottom w:val="single" w:color="000000" w:sz="8" w:space="0"/>
              <w:right w:val="single" w:color="000000" w:sz="8" w:space="0"/>
            </w:tcBorders>
            <w:vAlign w:val="center"/>
          </w:tcPr>
          <w:p w14:paraId="4DB11890">
            <w:pPr>
              <w:widowControl/>
              <w:adjustRightInd w:val="0"/>
              <w:snapToGrid w:val="0"/>
              <w:jc w:val="left"/>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大学本科及以上学历，有丰富的物业服务经验。年龄≤45周岁。</w:t>
            </w:r>
          </w:p>
        </w:tc>
      </w:tr>
      <w:tr w14:paraId="1FAA6A06">
        <w:tblPrEx>
          <w:tblCellMar>
            <w:top w:w="0" w:type="dxa"/>
            <w:left w:w="108" w:type="dxa"/>
            <w:bottom w:w="0" w:type="dxa"/>
            <w:right w:w="108" w:type="dxa"/>
          </w:tblCellMar>
        </w:tblPrEx>
        <w:trPr>
          <w:trHeight w:val="90" w:hRule="atLeast"/>
          <w:jc w:val="center"/>
        </w:trPr>
        <w:tc>
          <w:tcPr>
            <w:tcW w:w="879" w:type="dxa"/>
            <w:vMerge w:val="continue"/>
            <w:tcBorders>
              <w:top w:val="single" w:color="000000" w:sz="8" w:space="0"/>
              <w:left w:val="single" w:color="000000" w:sz="8" w:space="0"/>
              <w:bottom w:val="single" w:color="000000" w:sz="8" w:space="0"/>
              <w:right w:val="single" w:color="000000" w:sz="8" w:space="0"/>
            </w:tcBorders>
            <w:vAlign w:val="center"/>
          </w:tcPr>
          <w:p w14:paraId="3916FE91">
            <w:pPr>
              <w:adjustRightInd w:val="0"/>
              <w:snapToGrid w:val="0"/>
              <w:jc w:val="center"/>
              <w:rPr>
                <w:rFonts w:ascii="Times New Roman Regular" w:hAnsi="Times New Roman Regular" w:cs="Times New Roman Regular" w:eastAsiaTheme="minorEastAsia"/>
                <w:color w:val="auto"/>
                <w:sz w:val="24"/>
                <w:highlight w:val="none"/>
              </w:rPr>
            </w:pPr>
          </w:p>
        </w:tc>
        <w:tc>
          <w:tcPr>
            <w:tcW w:w="139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230CA2E">
            <w:pPr>
              <w:adjustRightInd w:val="0"/>
              <w:snapToGrid w:val="0"/>
              <w:jc w:val="center"/>
              <w:rPr>
                <w:rFonts w:ascii="Times New Roman Regular" w:hAnsi="Times New Roman Regular" w:cs="Times New Roman Regular" w:eastAsiaTheme="minorEastAsia"/>
                <w:color w:val="auto"/>
                <w:sz w:val="24"/>
                <w:highlight w:val="none"/>
              </w:rPr>
            </w:pPr>
          </w:p>
        </w:tc>
        <w:tc>
          <w:tcPr>
            <w:tcW w:w="1650" w:type="dxa"/>
            <w:tcBorders>
              <w:top w:val="single" w:color="000000" w:sz="8" w:space="0"/>
              <w:left w:val="single" w:color="000000" w:sz="8" w:space="0"/>
              <w:bottom w:val="single" w:color="000000" w:sz="8" w:space="0"/>
              <w:right w:val="single" w:color="000000" w:sz="8" w:space="0"/>
            </w:tcBorders>
            <w:vAlign w:val="center"/>
          </w:tcPr>
          <w:p w14:paraId="64C927D1">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品控/客服</w:t>
            </w:r>
          </w:p>
        </w:tc>
        <w:tc>
          <w:tcPr>
            <w:tcW w:w="1395" w:type="dxa"/>
            <w:tcBorders>
              <w:top w:val="single" w:color="000000" w:sz="8" w:space="0"/>
              <w:left w:val="single" w:color="000000" w:sz="8" w:space="0"/>
              <w:bottom w:val="single" w:color="000000" w:sz="8" w:space="0"/>
              <w:right w:val="single" w:color="000000" w:sz="8" w:space="0"/>
            </w:tcBorders>
            <w:vAlign w:val="center"/>
          </w:tcPr>
          <w:p w14:paraId="1409665A">
            <w:pPr>
              <w:widowControl/>
              <w:adjustRightInd w:val="0"/>
              <w:snapToGrid w:val="0"/>
              <w:jc w:val="center"/>
              <w:textAlignment w:val="center"/>
              <w:rPr>
                <w:rFonts w:hint="eastAsia" w:ascii="Times New Roman Regular" w:hAnsi="Times New Roman Regular" w:cs="Times New Roman Regular" w:eastAsiaTheme="minorEastAsia"/>
                <w:color w:val="auto"/>
                <w:kern w:val="0"/>
                <w:sz w:val="24"/>
                <w:highlight w:val="none"/>
                <w:lang w:bidi="ar"/>
              </w:rPr>
            </w:pPr>
            <w:r>
              <w:rPr>
                <w:rFonts w:hint="eastAsia" w:ascii="Times New Roman Regular" w:hAnsi="Times New Roman Regular" w:cs="Times New Roman Regular" w:eastAsiaTheme="minorEastAsia"/>
                <w:color w:val="auto"/>
                <w:kern w:val="0"/>
                <w:sz w:val="24"/>
                <w:highlight w:val="none"/>
                <w:lang w:bidi="ar"/>
              </w:rPr>
              <w:t>1</w:t>
            </w:r>
          </w:p>
        </w:tc>
        <w:tc>
          <w:tcPr>
            <w:tcW w:w="4187" w:type="dxa"/>
            <w:vMerge w:val="continue"/>
            <w:tcBorders>
              <w:top w:val="single" w:color="000000" w:sz="8" w:space="0"/>
              <w:left w:val="single" w:color="000000" w:sz="8" w:space="0"/>
              <w:bottom w:val="single" w:color="000000" w:sz="8" w:space="0"/>
              <w:right w:val="single" w:color="000000" w:sz="8" w:space="0"/>
            </w:tcBorders>
            <w:vAlign w:val="center"/>
          </w:tcPr>
          <w:p w14:paraId="47A853FA">
            <w:pPr>
              <w:adjustRightInd w:val="0"/>
              <w:snapToGrid w:val="0"/>
              <w:jc w:val="left"/>
              <w:rPr>
                <w:rFonts w:ascii="Times New Roman Regular" w:hAnsi="Times New Roman Regular" w:cs="Times New Roman Regular" w:eastAsiaTheme="minorEastAsia"/>
                <w:color w:val="auto"/>
                <w:sz w:val="24"/>
                <w:highlight w:val="none"/>
              </w:rPr>
            </w:pPr>
          </w:p>
        </w:tc>
      </w:tr>
      <w:tr w14:paraId="16343544">
        <w:tblPrEx>
          <w:tblCellMar>
            <w:top w:w="0" w:type="dxa"/>
            <w:left w:w="108" w:type="dxa"/>
            <w:bottom w:w="0" w:type="dxa"/>
            <w:right w:w="108" w:type="dxa"/>
          </w:tblCellMar>
        </w:tblPrEx>
        <w:trPr>
          <w:jc w:val="center"/>
        </w:trPr>
        <w:tc>
          <w:tcPr>
            <w:tcW w:w="879" w:type="dxa"/>
            <w:vMerge w:val="restart"/>
            <w:tcBorders>
              <w:top w:val="single" w:color="000000" w:sz="8" w:space="0"/>
              <w:left w:val="single" w:color="000000" w:sz="8" w:space="0"/>
              <w:bottom w:val="single" w:color="000000" w:sz="8" w:space="0"/>
              <w:right w:val="single" w:color="000000" w:sz="8" w:space="0"/>
            </w:tcBorders>
            <w:vAlign w:val="center"/>
          </w:tcPr>
          <w:p w14:paraId="67B2379A">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2</w:t>
            </w:r>
          </w:p>
        </w:tc>
        <w:tc>
          <w:tcPr>
            <w:tcW w:w="139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B0BFD77">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秩序安保</w:t>
            </w:r>
          </w:p>
        </w:tc>
        <w:tc>
          <w:tcPr>
            <w:tcW w:w="1650" w:type="dxa"/>
            <w:tcBorders>
              <w:top w:val="single" w:color="000000" w:sz="8" w:space="0"/>
              <w:left w:val="single" w:color="000000" w:sz="8" w:space="0"/>
              <w:bottom w:val="single" w:color="000000" w:sz="8" w:space="0"/>
              <w:right w:val="single" w:color="000000" w:sz="8" w:space="0"/>
            </w:tcBorders>
            <w:vAlign w:val="center"/>
          </w:tcPr>
          <w:p w14:paraId="560794FF">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秩序班长</w:t>
            </w:r>
          </w:p>
        </w:tc>
        <w:tc>
          <w:tcPr>
            <w:tcW w:w="1395" w:type="dxa"/>
            <w:tcBorders>
              <w:top w:val="single" w:color="000000" w:sz="8" w:space="0"/>
              <w:left w:val="single" w:color="000000" w:sz="8" w:space="0"/>
              <w:bottom w:val="single" w:color="000000" w:sz="8" w:space="0"/>
              <w:right w:val="single" w:color="000000" w:sz="8" w:space="0"/>
            </w:tcBorders>
            <w:vAlign w:val="center"/>
          </w:tcPr>
          <w:p w14:paraId="7BEBE183">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1</w:t>
            </w:r>
          </w:p>
        </w:tc>
        <w:tc>
          <w:tcPr>
            <w:tcW w:w="4187" w:type="dxa"/>
            <w:vMerge w:val="restart"/>
            <w:tcBorders>
              <w:top w:val="single" w:color="000000" w:sz="8" w:space="0"/>
              <w:left w:val="single" w:color="000000" w:sz="8" w:space="0"/>
              <w:bottom w:val="single" w:color="000000" w:sz="8" w:space="0"/>
              <w:right w:val="single" w:color="000000" w:sz="8" w:space="0"/>
            </w:tcBorders>
            <w:vAlign w:val="center"/>
          </w:tcPr>
          <w:p w14:paraId="2337477E">
            <w:pPr>
              <w:widowControl/>
              <w:adjustRightInd w:val="0"/>
              <w:snapToGrid w:val="0"/>
              <w:jc w:val="left"/>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年龄≤55周岁，初中及以上学历（秩序班长为高中及以上学历）；</w:t>
            </w:r>
          </w:p>
          <w:p w14:paraId="1ABE6BA4">
            <w:pPr>
              <w:pStyle w:val="2"/>
              <w:adjustRightInd w:val="0"/>
              <w:snapToGrid w:val="0"/>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中控消防，需持证上岗。</w:t>
            </w:r>
          </w:p>
        </w:tc>
      </w:tr>
      <w:tr w14:paraId="3C907EF8">
        <w:tblPrEx>
          <w:tblCellMar>
            <w:top w:w="0" w:type="dxa"/>
            <w:left w:w="108" w:type="dxa"/>
            <w:bottom w:w="0" w:type="dxa"/>
            <w:right w:w="108" w:type="dxa"/>
          </w:tblCellMar>
        </w:tblPrEx>
        <w:trPr>
          <w:jc w:val="center"/>
        </w:trPr>
        <w:tc>
          <w:tcPr>
            <w:tcW w:w="879" w:type="dxa"/>
            <w:vMerge w:val="continue"/>
            <w:tcBorders>
              <w:top w:val="single" w:color="000000" w:sz="8" w:space="0"/>
              <w:left w:val="single" w:color="000000" w:sz="8" w:space="0"/>
              <w:bottom w:val="single" w:color="000000" w:sz="8" w:space="0"/>
              <w:right w:val="single" w:color="000000" w:sz="8" w:space="0"/>
            </w:tcBorders>
            <w:vAlign w:val="center"/>
          </w:tcPr>
          <w:p w14:paraId="6BEC3E81">
            <w:pPr>
              <w:adjustRightInd w:val="0"/>
              <w:snapToGrid w:val="0"/>
              <w:jc w:val="center"/>
              <w:rPr>
                <w:rFonts w:ascii="Times New Roman Regular" w:hAnsi="Times New Roman Regular" w:cs="Times New Roman Regular" w:eastAsiaTheme="minorEastAsia"/>
                <w:color w:val="auto"/>
                <w:sz w:val="24"/>
                <w:highlight w:val="none"/>
              </w:rPr>
            </w:pPr>
          </w:p>
        </w:tc>
        <w:tc>
          <w:tcPr>
            <w:tcW w:w="139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126BBAB">
            <w:pPr>
              <w:adjustRightInd w:val="0"/>
              <w:snapToGrid w:val="0"/>
              <w:jc w:val="center"/>
              <w:rPr>
                <w:rFonts w:ascii="Times New Roman Regular" w:hAnsi="Times New Roman Regular" w:cs="Times New Roman Regular" w:eastAsiaTheme="minorEastAsia"/>
                <w:color w:val="auto"/>
                <w:sz w:val="24"/>
                <w:highlight w:val="none"/>
              </w:rPr>
            </w:pPr>
          </w:p>
        </w:tc>
        <w:tc>
          <w:tcPr>
            <w:tcW w:w="1650" w:type="dxa"/>
            <w:tcBorders>
              <w:top w:val="single" w:color="000000" w:sz="8" w:space="0"/>
              <w:left w:val="single" w:color="000000" w:sz="8" w:space="0"/>
              <w:bottom w:val="single" w:color="000000" w:sz="8" w:space="0"/>
              <w:right w:val="single" w:color="000000" w:sz="8" w:space="0"/>
            </w:tcBorders>
            <w:vAlign w:val="center"/>
          </w:tcPr>
          <w:p w14:paraId="25FA8309">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院区门岗</w:t>
            </w:r>
          </w:p>
        </w:tc>
        <w:tc>
          <w:tcPr>
            <w:tcW w:w="1395" w:type="dxa"/>
            <w:tcBorders>
              <w:top w:val="single" w:color="000000" w:sz="8" w:space="0"/>
              <w:left w:val="single" w:color="000000" w:sz="8" w:space="0"/>
              <w:bottom w:val="single" w:color="000000" w:sz="8" w:space="0"/>
              <w:right w:val="single" w:color="000000" w:sz="8" w:space="0"/>
            </w:tcBorders>
            <w:vAlign w:val="center"/>
          </w:tcPr>
          <w:p w14:paraId="1681CA09">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6</w:t>
            </w:r>
          </w:p>
        </w:tc>
        <w:tc>
          <w:tcPr>
            <w:tcW w:w="4187" w:type="dxa"/>
            <w:vMerge w:val="continue"/>
            <w:tcBorders>
              <w:top w:val="single" w:color="000000" w:sz="8" w:space="0"/>
              <w:left w:val="single" w:color="000000" w:sz="8" w:space="0"/>
              <w:bottom w:val="single" w:color="000000" w:sz="8" w:space="0"/>
              <w:right w:val="single" w:color="000000" w:sz="8" w:space="0"/>
            </w:tcBorders>
            <w:vAlign w:val="center"/>
          </w:tcPr>
          <w:p w14:paraId="0C3085FA">
            <w:pPr>
              <w:adjustRightInd w:val="0"/>
              <w:snapToGrid w:val="0"/>
              <w:jc w:val="left"/>
              <w:rPr>
                <w:rFonts w:ascii="Times New Roman Regular" w:hAnsi="Times New Roman Regular" w:cs="Times New Roman Regular" w:eastAsiaTheme="minorEastAsia"/>
                <w:color w:val="auto"/>
                <w:sz w:val="24"/>
                <w:highlight w:val="none"/>
              </w:rPr>
            </w:pPr>
          </w:p>
        </w:tc>
      </w:tr>
      <w:tr w14:paraId="27919A3D">
        <w:tblPrEx>
          <w:tblCellMar>
            <w:top w:w="0" w:type="dxa"/>
            <w:left w:w="108" w:type="dxa"/>
            <w:bottom w:w="0" w:type="dxa"/>
            <w:right w:w="108" w:type="dxa"/>
          </w:tblCellMar>
        </w:tblPrEx>
        <w:trPr>
          <w:jc w:val="center"/>
        </w:trPr>
        <w:tc>
          <w:tcPr>
            <w:tcW w:w="879" w:type="dxa"/>
            <w:vMerge w:val="continue"/>
            <w:tcBorders>
              <w:top w:val="single" w:color="000000" w:sz="8" w:space="0"/>
              <w:left w:val="single" w:color="000000" w:sz="8" w:space="0"/>
              <w:bottom w:val="single" w:color="000000" w:sz="8" w:space="0"/>
              <w:right w:val="single" w:color="000000" w:sz="8" w:space="0"/>
            </w:tcBorders>
            <w:vAlign w:val="center"/>
          </w:tcPr>
          <w:p w14:paraId="0E63BDF3">
            <w:pPr>
              <w:adjustRightInd w:val="0"/>
              <w:snapToGrid w:val="0"/>
              <w:jc w:val="center"/>
              <w:rPr>
                <w:rFonts w:ascii="Times New Roman Regular" w:hAnsi="Times New Roman Regular" w:cs="Times New Roman Regular" w:eastAsiaTheme="minorEastAsia"/>
                <w:color w:val="auto"/>
                <w:sz w:val="24"/>
                <w:highlight w:val="none"/>
              </w:rPr>
            </w:pPr>
          </w:p>
        </w:tc>
        <w:tc>
          <w:tcPr>
            <w:tcW w:w="139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7ABC31">
            <w:pPr>
              <w:adjustRightInd w:val="0"/>
              <w:snapToGrid w:val="0"/>
              <w:jc w:val="center"/>
              <w:rPr>
                <w:rFonts w:ascii="Times New Roman Regular" w:hAnsi="Times New Roman Regular" w:cs="Times New Roman Regular" w:eastAsiaTheme="minorEastAsia"/>
                <w:color w:val="auto"/>
                <w:sz w:val="24"/>
                <w:highlight w:val="none"/>
              </w:rPr>
            </w:pPr>
          </w:p>
        </w:tc>
        <w:tc>
          <w:tcPr>
            <w:tcW w:w="1650" w:type="dxa"/>
            <w:tcBorders>
              <w:top w:val="single" w:color="000000" w:sz="8" w:space="0"/>
              <w:left w:val="single" w:color="000000" w:sz="8" w:space="0"/>
              <w:bottom w:val="single" w:color="000000" w:sz="8" w:space="0"/>
              <w:right w:val="single" w:color="000000" w:sz="8" w:space="0"/>
            </w:tcBorders>
            <w:vAlign w:val="center"/>
          </w:tcPr>
          <w:p w14:paraId="36925E05">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中控/消防</w:t>
            </w:r>
          </w:p>
        </w:tc>
        <w:tc>
          <w:tcPr>
            <w:tcW w:w="1395" w:type="dxa"/>
            <w:tcBorders>
              <w:top w:val="single" w:color="000000" w:sz="8" w:space="0"/>
              <w:left w:val="single" w:color="000000" w:sz="8" w:space="0"/>
              <w:bottom w:val="single" w:color="000000" w:sz="8" w:space="0"/>
              <w:right w:val="single" w:color="000000" w:sz="8" w:space="0"/>
            </w:tcBorders>
            <w:vAlign w:val="center"/>
          </w:tcPr>
          <w:p w14:paraId="282DC4D4">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6</w:t>
            </w:r>
          </w:p>
        </w:tc>
        <w:tc>
          <w:tcPr>
            <w:tcW w:w="4187" w:type="dxa"/>
            <w:vMerge w:val="continue"/>
            <w:tcBorders>
              <w:top w:val="single" w:color="000000" w:sz="8" w:space="0"/>
              <w:left w:val="single" w:color="000000" w:sz="8" w:space="0"/>
              <w:bottom w:val="single" w:color="000000" w:sz="8" w:space="0"/>
              <w:right w:val="single" w:color="000000" w:sz="8" w:space="0"/>
            </w:tcBorders>
            <w:vAlign w:val="center"/>
          </w:tcPr>
          <w:p w14:paraId="7EE4B8C7">
            <w:pPr>
              <w:adjustRightInd w:val="0"/>
              <w:snapToGrid w:val="0"/>
              <w:jc w:val="left"/>
              <w:rPr>
                <w:rFonts w:ascii="Times New Roman Regular" w:hAnsi="Times New Roman Regular" w:cs="Times New Roman Regular" w:eastAsiaTheme="minorEastAsia"/>
                <w:color w:val="auto"/>
                <w:sz w:val="24"/>
                <w:highlight w:val="none"/>
              </w:rPr>
            </w:pPr>
          </w:p>
        </w:tc>
      </w:tr>
      <w:tr w14:paraId="67C482F1">
        <w:tblPrEx>
          <w:tblCellMar>
            <w:top w:w="0" w:type="dxa"/>
            <w:left w:w="108" w:type="dxa"/>
            <w:bottom w:w="0" w:type="dxa"/>
            <w:right w:w="108" w:type="dxa"/>
          </w:tblCellMar>
        </w:tblPrEx>
        <w:trPr>
          <w:jc w:val="center"/>
        </w:trPr>
        <w:tc>
          <w:tcPr>
            <w:tcW w:w="879" w:type="dxa"/>
            <w:vMerge w:val="continue"/>
            <w:tcBorders>
              <w:top w:val="single" w:color="000000" w:sz="8" w:space="0"/>
              <w:left w:val="single" w:color="000000" w:sz="8" w:space="0"/>
              <w:bottom w:val="single" w:color="000000" w:sz="8" w:space="0"/>
              <w:right w:val="single" w:color="000000" w:sz="8" w:space="0"/>
            </w:tcBorders>
            <w:vAlign w:val="center"/>
          </w:tcPr>
          <w:p w14:paraId="17D6D806">
            <w:pPr>
              <w:adjustRightInd w:val="0"/>
              <w:snapToGrid w:val="0"/>
              <w:jc w:val="center"/>
              <w:rPr>
                <w:rFonts w:ascii="Times New Roman Regular" w:hAnsi="Times New Roman Regular" w:cs="Times New Roman Regular" w:eastAsiaTheme="minorEastAsia"/>
                <w:color w:val="auto"/>
                <w:sz w:val="24"/>
                <w:highlight w:val="none"/>
              </w:rPr>
            </w:pPr>
          </w:p>
        </w:tc>
        <w:tc>
          <w:tcPr>
            <w:tcW w:w="139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2A2B0F">
            <w:pPr>
              <w:adjustRightInd w:val="0"/>
              <w:snapToGrid w:val="0"/>
              <w:jc w:val="center"/>
              <w:rPr>
                <w:rFonts w:ascii="Times New Roman Regular" w:hAnsi="Times New Roman Regular" w:cs="Times New Roman Regular" w:eastAsiaTheme="minorEastAsia"/>
                <w:color w:val="auto"/>
                <w:sz w:val="24"/>
                <w:highlight w:val="none"/>
              </w:rPr>
            </w:pPr>
          </w:p>
        </w:tc>
        <w:tc>
          <w:tcPr>
            <w:tcW w:w="1650" w:type="dxa"/>
            <w:tcBorders>
              <w:top w:val="single" w:color="000000" w:sz="8" w:space="0"/>
              <w:left w:val="single" w:color="000000" w:sz="8" w:space="0"/>
              <w:bottom w:val="single" w:color="000000" w:sz="8" w:space="0"/>
              <w:right w:val="single" w:color="000000" w:sz="8" w:space="0"/>
            </w:tcBorders>
            <w:vAlign w:val="center"/>
          </w:tcPr>
          <w:p w14:paraId="74C29FDC">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巡逻岗</w:t>
            </w:r>
          </w:p>
        </w:tc>
        <w:tc>
          <w:tcPr>
            <w:tcW w:w="1395" w:type="dxa"/>
            <w:tcBorders>
              <w:top w:val="single" w:color="000000" w:sz="8" w:space="0"/>
              <w:left w:val="single" w:color="000000" w:sz="8" w:space="0"/>
              <w:bottom w:val="single" w:color="000000" w:sz="8" w:space="0"/>
              <w:right w:val="single" w:color="000000" w:sz="8" w:space="0"/>
            </w:tcBorders>
            <w:vAlign w:val="center"/>
          </w:tcPr>
          <w:p w14:paraId="697BAAB6">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3</w:t>
            </w:r>
          </w:p>
        </w:tc>
        <w:tc>
          <w:tcPr>
            <w:tcW w:w="4187" w:type="dxa"/>
            <w:vMerge w:val="continue"/>
            <w:tcBorders>
              <w:top w:val="single" w:color="000000" w:sz="8" w:space="0"/>
              <w:left w:val="single" w:color="000000" w:sz="8" w:space="0"/>
              <w:bottom w:val="single" w:color="000000" w:sz="8" w:space="0"/>
              <w:right w:val="single" w:color="000000" w:sz="8" w:space="0"/>
            </w:tcBorders>
            <w:vAlign w:val="center"/>
          </w:tcPr>
          <w:p w14:paraId="4851089E">
            <w:pPr>
              <w:adjustRightInd w:val="0"/>
              <w:snapToGrid w:val="0"/>
              <w:jc w:val="left"/>
              <w:rPr>
                <w:rFonts w:ascii="Times New Roman Regular" w:hAnsi="Times New Roman Regular" w:cs="Times New Roman Regular" w:eastAsiaTheme="minorEastAsia"/>
                <w:color w:val="auto"/>
                <w:sz w:val="24"/>
                <w:highlight w:val="none"/>
              </w:rPr>
            </w:pPr>
          </w:p>
        </w:tc>
      </w:tr>
      <w:tr w14:paraId="4165DDE6">
        <w:tblPrEx>
          <w:tblCellMar>
            <w:top w:w="0" w:type="dxa"/>
            <w:left w:w="108" w:type="dxa"/>
            <w:bottom w:w="0" w:type="dxa"/>
            <w:right w:w="108" w:type="dxa"/>
          </w:tblCellMar>
        </w:tblPrEx>
        <w:trPr>
          <w:jc w:val="center"/>
        </w:trPr>
        <w:tc>
          <w:tcPr>
            <w:tcW w:w="879" w:type="dxa"/>
            <w:vMerge w:val="restart"/>
            <w:tcBorders>
              <w:top w:val="single" w:color="000000" w:sz="8" w:space="0"/>
              <w:left w:val="single" w:color="000000" w:sz="8" w:space="0"/>
              <w:bottom w:val="single" w:color="000000" w:sz="8" w:space="0"/>
              <w:right w:val="single" w:color="000000" w:sz="8" w:space="0"/>
            </w:tcBorders>
            <w:vAlign w:val="center"/>
          </w:tcPr>
          <w:p w14:paraId="78E046D1">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3</w:t>
            </w:r>
          </w:p>
        </w:tc>
        <w:tc>
          <w:tcPr>
            <w:tcW w:w="139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F09B603">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环境保洁</w:t>
            </w:r>
          </w:p>
        </w:tc>
        <w:tc>
          <w:tcPr>
            <w:tcW w:w="1650" w:type="dxa"/>
            <w:tcBorders>
              <w:top w:val="single" w:color="000000" w:sz="8" w:space="0"/>
              <w:left w:val="single" w:color="000000" w:sz="8" w:space="0"/>
              <w:bottom w:val="single" w:color="000000" w:sz="8" w:space="0"/>
              <w:right w:val="single" w:color="000000" w:sz="8" w:space="0"/>
            </w:tcBorders>
            <w:vAlign w:val="center"/>
          </w:tcPr>
          <w:p w14:paraId="4298751F">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环境组长</w:t>
            </w:r>
          </w:p>
        </w:tc>
        <w:tc>
          <w:tcPr>
            <w:tcW w:w="1395" w:type="dxa"/>
            <w:tcBorders>
              <w:top w:val="single" w:color="000000" w:sz="8" w:space="0"/>
              <w:left w:val="single" w:color="000000" w:sz="8" w:space="0"/>
              <w:bottom w:val="single" w:color="000000" w:sz="8" w:space="0"/>
              <w:right w:val="single" w:color="000000" w:sz="8" w:space="0"/>
            </w:tcBorders>
            <w:vAlign w:val="center"/>
          </w:tcPr>
          <w:p w14:paraId="6DD1EC8B">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1</w:t>
            </w:r>
          </w:p>
        </w:tc>
        <w:tc>
          <w:tcPr>
            <w:tcW w:w="4187" w:type="dxa"/>
            <w:vMerge w:val="restart"/>
            <w:tcBorders>
              <w:top w:val="single" w:color="000000" w:sz="8" w:space="0"/>
              <w:left w:val="single" w:color="000000" w:sz="8" w:space="0"/>
              <w:bottom w:val="single" w:color="000000" w:sz="8" w:space="0"/>
              <w:right w:val="single" w:color="000000" w:sz="8" w:space="0"/>
            </w:tcBorders>
            <w:vAlign w:val="center"/>
          </w:tcPr>
          <w:p w14:paraId="296C78DF">
            <w:pPr>
              <w:widowControl/>
              <w:adjustRightInd w:val="0"/>
              <w:snapToGrid w:val="0"/>
              <w:jc w:val="left"/>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年龄≤60周岁，初中及以上学历。</w:t>
            </w:r>
          </w:p>
        </w:tc>
      </w:tr>
      <w:tr w14:paraId="742DF5CA">
        <w:tblPrEx>
          <w:tblCellMar>
            <w:top w:w="0" w:type="dxa"/>
            <w:left w:w="108" w:type="dxa"/>
            <w:bottom w:w="0" w:type="dxa"/>
            <w:right w:w="108" w:type="dxa"/>
          </w:tblCellMar>
        </w:tblPrEx>
        <w:trPr>
          <w:jc w:val="center"/>
        </w:trPr>
        <w:tc>
          <w:tcPr>
            <w:tcW w:w="879" w:type="dxa"/>
            <w:vMerge w:val="continue"/>
            <w:tcBorders>
              <w:top w:val="single" w:color="000000" w:sz="8" w:space="0"/>
              <w:left w:val="single" w:color="000000" w:sz="8" w:space="0"/>
              <w:bottom w:val="single" w:color="000000" w:sz="8" w:space="0"/>
              <w:right w:val="single" w:color="000000" w:sz="8" w:space="0"/>
            </w:tcBorders>
            <w:vAlign w:val="center"/>
          </w:tcPr>
          <w:p w14:paraId="7BFEA70E">
            <w:pPr>
              <w:adjustRightInd w:val="0"/>
              <w:snapToGrid w:val="0"/>
              <w:jc w:val="center"/>
              <w:rPr>
                <w:rFonts w:ascii="Times New Roman Regular" w:hAnsi="Times New Roman Regular" w:cs="Times New Roman Regular" w:eastAsiaTheme="minorEastAsia"/>
                <w:color w:val="auto"/>
                <w:sz w:val="24"/>
                <w:highlight w:val="none"/>
              </w:rPr>
            </w:pPr>
          </w:p>
        </w:tc>
        <w:tc>
          <w:tcPr>
            <w:tcW w:w="139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35BB081">
            <w:pPr>
              <w:adjustRightInd w:val="0"/>
              <w:snapToGrid w:val="0"/>
              <w:jc w:val="center"/>
              <w:rPr>
                <w:rFonts w:ascii="Times New Roman Regular" w:hAnsi="Times New Roman Regular" w:cs="Times New Roman Regular" w:eastAsiaTheme="minorEastAsia"/>
                <w:color w:val="auto"/>
                <w:sz w:val="24"/>
                <w:highlight w:val="none"/>
              </w:rPr>
            </w:pPr>
          </w:p>
        </w:tc>
        <w:tc>
          <w:tcPr>
            <w:tcW w:w="1650" w:type="dxa"/>
            <w:tcBorders>
              <w:top w:val="single" w:color="000000" w:sz="8" w:space="0"/>
              <w:left w:val="single" w:color="000000" w:sz="8" w:space="0"/>
              <w:bottom w:val="single" w:color="000000" w:sz="8" w:space="0"/>
              <w:right w:val="single" w:color="000000" w:sz="8" w:space="0"/>
            </w:tcBorders>
            <w:vAlign w:val="center"/>
          </w:tcPr>
          <w:p w14:paraId="1F8F3EC6">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室外公区员工</w:t>
            </w:r>
          </w:p>
        </w:tc>
        <w:tc>
          <w:tcPr>
            <w:tcW w:w="1395" w:type="dxa"/>
            <w:tcBorders>
              <w:top w:val="single" w:color="000000" w:sz="8" w:space="0"/>
              <w:left w:val="single" w:color="000000" w:sz="8" w:space="0"/>
              <w:bottom w:val="single" w:color="000000" w:sz="8" w:space="0"/>
              <w:right w:val="single" w:color="000000" w:sz="8" w:space="0"/>
            </w:tcBorders>
            <w:vAlign w:val="center"/>
          </w:tcPr>
          <w:p w14:paraId="5567F9C9">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6</w:t>
            </w:r>
          </w:p>
        </w:tc>
        <w:tc>
          <w:tcPr>
            <w:tcW w:w="4187" w:type="dxa"/>
            <w:vMerge w:val="continue"/>
            <w:tcBorders>
              <w:top w:val="single" w:color="000000" w:sz="8" w:space="0"/>
              <w:left w:val="single" w:color="000000" w:sz="8" w:space="0"/>
              <w:bottom w:val="single" w:color="000000" w:sz="8" w:space="0"/>
              <w:right w:val="single" w:color="000000" w:sz="8" w:space="0"/>
            </w:tcBorders>
            <w:vAlign w:val="center"/>
          </w:tcPr>
          <w:p w14:paraId="10E67548">
            <w:pPr>
              <w:adjustRightInd w:val="0"/>
              <w:snapToGrid w:val="0"/>
              <w:jc w:val="left"/>
              <w:rPr>
                <w:rFonts w:ascii="Times New Roman Regular" w:hAnsi="Times New Roman Regular" w:cs="Times New Roman Regular" w:eastAsiaTheme="minorEastAsia"/>
                <w:color w:val="auto"/>
                <w:sz w:val="24"/>
                <w:highlight w:val="none"/>
              </w:rPr>
            </w:pPr>
          </w:p>
        </w:tc>
      </w:tr>
      <w:tr w14:paraId="09D0D3B7">
        <w:tblPrEx>
          <w:tblCellMar>
            <w:top w:w="0" w:type="dxa"/>
            <w:left w:w="108" w:type="dxa"/>
            <w:bottom w:w="0" w:type="dxa"/>
            <w:right w:w="108" w:type="dxa"/>
          </w:tblCellMar>
        </w:tblPrEx>
        <w:trPr>
          <w:trHeight w:val="90" w:hRule="atLeast"/>
          <w:jc w:val="center"/>
        </w:trPr>
        <w:tc>
          <w:tcPr>
            <w:tcW w:w="879" w:type="dxa"/>
            <w:vMerge w:val="continue"/>
            <w:tcBorders>
              <w:top w:val="single" w:color="000000" w:sz="8" w:space="0"/>
              <w:left w:val="single" w:color="000000" w:sz="8" w:space="0"/>
              <w:bottom w:val="single" w:color="000000" w:sz="8" w:space="0"/>
              <w:right w:val="single" w:color="000000" w:sz="8" w:space="0"/>
            </w:tcBorders>
            <w:vAlign w:val="center"/>
          </w:tcPr>
          <w:p w14:paraId="223B2DC9">
            <w:pPr>
              <w:adjustRightInd w:val="0"/>
              <w:snapToGrid w:val="0"/>
              <w:jc w:val="center"/>
              <w:rPr>
                <w:rFonts w:ascii="Times New Roman Regular" w:hAnsi="Times New Roman Regular" w:cs="Times New Roman Regular" w:eastAsiaTheme="minorEastAsia"/>
                <w:color w:val="auto"/>
                <w:sz w:val="24"/>
                <w:highlight w:val="none"/>
              </w:rPr>
            </w:pPr>
          </w:p>
        </w:tc>
        <w:tc>
          <w:tcPr>
            <w:tcW w:w="139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35844F8">
            <w:pPr>
              <w:adjustRightInd w:val="0"/>
              <w:snapToGrid w:val="0"/>
              <w:jc w:val="center"/>
              <w:rPr>
                <w:rFonts w:ascii="Times New Roman Regular" w:hAnsi="Times New Roman Regular" w:cs="Times New Roman Regular" w:eastAsiaTheme="minorEastAsia"/>
                <w:color w:val="auto"/>
                <w:sz w:val="24"/>
                <w:highlight w:val="none"/>
              </w:rPr>
            </w:pPr>
          </w:p>
        </w:tc>
        <w:tc>
          <w:tcPr>
            <w:tcW w:w="1650" w:type="dxa"/>
            <w:tcBorders>
              <w:top w:val="single" w:color="000000" w:sz="8" w:space="0"/>
              <w:left w:val="single" w:color="000000" w:sz="8" w:space="0"/>
              <w:bottom w:val="single" w:color="000000" w:sz="8" w:space="0"/>
              <w:right w:val="single" w:color="000000" w:sz="8" w:space="0"/>
            </w:tcBorders>
            <w:vAlign w:val="center"/>
          </w:tcPr>
          <w:p w14:paraId="7C5ACCD6">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楼栋公区员工</w:t>
            </w:r>
          </w:p>
        </w:tc>
        <w:tc>
          <w:tcPr>
            <w:tcW w:w="1395" w:type="dxa"/>
            <w:tcBorders>
              <w:top w:val="single" w:color="000000" w:sz="8" w:space="0"/>
              <w:left w:val="single" w:color="000000" w:sz="8" w:space="0"/>
              <w:bottom w:val="single" w:color="000000" w:sz="8" w:space="0"/>
              <w:right w:val="single" w:color="000000" w:sz="8" w:space="0"/>
            </w:tcBorders>
            <w:vAlign w:val="center"/>
          </w:tcPr>
          <w:p w14:paraId="4271196A">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3</w:t>
            </w:r>
          </w:p>
        </w:tc>
        <w:tc>
          <w:tcPr>
            <w:tcW w:w="4187" w:type="dxa"/>
            <w:vMerge w:val="continue"/>
            <w:tcBorders>
              <w:top w:val="single" w:color="000000" w:sz="8" w:space="0"/>
              <w:left w:val="single" w:color="000000" w:sz="8" w:space="0"/>
              <w:bottom w:val="single" w:color="000000" w:sz="8" w:space="0"/>
              <w:right w:val="single" w:color="000000" w:sz="8" w:space="0"/>
            </w:tcBorders>
            <w:vAlign w:val="center"/>
          </w:tcPr>
          <w:p w14:paraId="07E8D21A">
            <w:pPr>
              <w:adjustRightInd w:val="0"/>
              <w:snapToGrid w:val="0"/>
              <w:jc w:val="left"/>
              <w:rPr>
                <w:rFonts w:ascii="Times New Roman Regular" w:hAnsi="Times New Roman Regular" w:cs="Times New Roman Regular" w:eastAsiaTheme="minorEastAsia"/>
                <w:color w:val="auto"/>
                <w:sz w:val="24"/>
                <w:highlight w:val="none"/>
              </w:rPr>
            </w:pPr>
          </w:p>
        </w:tc>
      </w:tr>
      <w:tr w14:paraId="34C091F0">
        <w:tblPrEx>
          <w:tblCellMar>
            <w:top w:w="0" w:type="dxa"/>
            <w:left w:w="108" w:type="dxa"/>
            <w:bottom w:w="0" w:type="dxa"/>
            <w:right w:w="108" w:type="dxa"/>
          </w:tblCellMar>
        </w:tblPrEx>
        <w:trPr>
          <w:jc w:val="center"/>
        </w:trPr>
        <w:tc>
          <w:tcPr>
            <w:tcW w:w="879" w:type="dxa"/>
            <w:vMerge w:val="restart"/>
            <w:tcBorders>
              <w:top w:val="single" w:color="000000" w:sz="8" w:space="0"/>
              <w:left w:val="single" w:color="000000" w:sz="8" w:space="0"/>
              <w:bottom w:val="single" w:color="000000" w:sz="8" w:space="0"/>
              <w:right w:val="single" w:color="000000" w:sz="8" w:space="0"/>
            </w:tcBorders>
            <w:vAlign w:val="center"/>
          </w:tcPr>
          <w:p w14:paraId="2B56C3A9">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4</w:t>
            </w:r>
          </w:p>
        </w:tc>
        <w:tc>
          <w:tcPr>
            <w:tcW w:w="139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A9CFC5E">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绿化养护</w:t>
            </w:r>
          </w:p>
        </w:tc>
        <w:tc>
          <w:tcPr>
            <w:tcW w:w="1650" w:type="dxa"/>
            <w:tcBorders>
              <w:top w:val="single" w:color="000000" w:sz="8" w:space="0"/>
              <w:left w:val="single" w:color="000000" w:sz="8" w:space="0"/>
              <w:bottom w:val="single" w:color="000000" w:sz="8" w:space="0"/>
              <w:right w:val="single" w:color="000000" w:sz="8" w:space="0"/>
            </w:tcBorders>
            <w:vAlign w:val="center"/>
          </w:tcPr>
          <w:p w14:paraId="338A710D">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绿化组长</w:t>
            </w:r>
          </w:p>
        </w:tc>
        <w:tc>
          <w:tcPr>
            <w:tcW w:w="1395" w:type="dxa"/>
            <w:tcBorders>
              <w:top w:val="single" w:color="000000" w:sz="8" w:space="0"/>
              <w:left w:val="single" w:color="000000" w:sz="8" w:space="0"/>
              <w:bottom w:val="single" w:color="000000" w:sz="8" w:space="0"/>
              <w:right w:val="single" w:color="000000" w:sz="8" w:space="0"/>
            </w:tcBorders>
            <w:vAlign w:val="center"/>
          </w:tcPr>
          <w:p w14:paraId="611FBD76">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1</w:t>
            </w:r>
          </w:p>
        </w:tc>
        <w:tc>
          <w:tcPr>
            <w:tcW w:w="4187" w:type="dxa"/>
            <w:vMerge w:val="restart"/>
            <w:tcBorders>
              <w:top w:val="single" w:color="000000" w:sz="8" w:space="0"/>
              <w:left w:val="single" w:color="000000" w:sz="8" w:space="0"/>
              <w:bottom w:val="single" w:color="000000" w:sz="8" w:space="0"/>
              <w:right w:val="single" w:color="000000" w:sz="8" w:space="0"/>
            </w:tcBorders>
            <w:vAlign w:val="center"/>
          </w:tcPr>
          <w:p w14:paraId="19B44B7C">
            <w:pPr>
              <w:widowControl/>
              <w:adjustRightInd w:val="0"/>
              <w:snapToGrid w:val="0"/>
              <w:jc w:val="left"/>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年龄≤60周岁，初中及以上学历。</w:t>
            </w:r>
          </w:p>
        </w:tc>
      </w:tr>
      <w:tr w14:paraId="47C6A901">
        <w:tblPrEx>
          <w:tblCellMar>
            <w:top w:w="0" w:type="dxa"/>
            <w:left w:w="108" w:type="dxa"/>
            <w:bottom w:w="0" w:type="dxa"/>
            <w:right w:w="108" w:type="dxa"/>
          </w:tblCellMar>
        </w:tblPrEx>
        <w:trPr>
          <w:jc w:val="center"/>
        </w:trPr>
        <w:tc>
          <w:tcPr>
            <w:tcW w:w="879" w:type="dxa"/>
            <w:vMerge w:val="continue"/>
            <w:tcBorders>
              <w:top w:val="single" w:color="000000" w:sz="8" w:space="0"/>
              <w:left w:val="single" w:color="000000" w:sz="8" w:space="0"/>
              <w:bottom w:val="single" w:color="000000" w:sz="8" w:space="0"/>
              <w:right w:val="single" w:color="000000" w:sz="8" w:space="0"/>
            </w:tcBorders>
            <w:vAlign w:val="center"/>
          </w:tcPr>
          <w:p w14:paraId="5AAB7F60">
            <w:pPr>
              <w:adjustRightInd w:val="0"/>
              <w:snapToGrid w:val="0"/>
              <w:jc w:val="center"/>
              <w:rPr>
                <w:rFonts w:ascii="Times New Roman Regular" w:hAnsi="Times New Roman Regular" w:cs="Times New Roman Regular" w:eastAsiaTheme="minorEastAsia"/>
                <w:color w:val="auto"/>
                <w:sz w:val="24"/>
                <w:highlight w:val="none"/>
              </w:rPr>
            </w:pPr>
          </w:p>
        </w:tc>
        <w:tc>
          <w:tcPr>
            <w:tcW w:w="139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4261E4">
            <w:pPr>
              <w:adjustRightInd w:val="0"/>
              <w:snapToGrid w:val="0"/>
              <w:jc w:val="center"/>
              <w:rPr>
                <w:rFonts w:ascii="Times New Roman Regular" w:hAnsi="Times New Roman Regular" w:cs="Times New Roman Regular" w:eastAsiaTheme="minorEastAsia"/>
                <w:color w:val="auto"/>
                <w:sz w:val="24"/>
                <w:highlight w:val="none"/>
              </w:rPr>
            </w:pPr>
          </w:p>
        </w:tc>
        <w:tc>
          <w:tcPr>
            <w:tcW w:w="1650" w:type="dxa"/>
            <w:tcBorders>
              <w:top w:val="single" w:color="000000" w:sz="8" w:space="0"/>
              <w:left w:val="single" w:color="000000" w:sz="8" w:space="0"/>
              <w:bottom w:val="single" w:color="000000" w:sz="8" w:space="0"/>
              <w:right w:val="single" w:color="000000" w:sz="8" w:space="0"/>
            </w:tcBorders>
            <w:vAlign w:val="center"/>
          </w:tcPr>
          <w:p w14:paraId="0DB21D68">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绿化员工</w:t>
            </w:r>
          </w:p>
        </w:tc>
        <w:tc>
          <w:tcPr>
            <w:tcW w:w="1395" w:type="dxa"/>
            <w:tcBorders>
              <w:top w:val="single" w:color="000000" w:sz="8" w:space="0"/>
              <w:left w:val="single" w:color="000000" w:sz="8" w:space="0"/>
              <w:bottom w:val="single" w:color="000000" w:sz="8" w:space="0"/>
              <w:right w:val="single" w:color="000000" w:sz="8" w:space="0"/>
            </w:tcBorders>
            <w:vAlign w:val="center"/>
          </w:tcPr>
          <w:p w14:paraId="051ECD64">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10</w:t>
            </w:r>
          </w:p>
        </w:tc>
        <w:tc>
          <w:tcPr>
            <w:tcW w:w="4187" w:type="dxa"/>
            <w:vMerge w:val="continue"/>
            <w:tcBorders>
              <w:top w:val="single" w:color="000000" w:sz="8" w:space="0"/>
              <w:left w:val="single" w:color="000000" w:sz="8" w:space="0"/>
              <w:bottom w:val="single" w:color="000000" w:sz="8" w:space="0"/>
              <w:right w:val="single" w:color="000000" w:sz="8" w:space="0"/>
            </w:tcBorders>
            <w:vAlign w:val="center"/>
          </w:tcPr>
          <w:p w14:paraId="09BA366D">
            <w:pPr>
              <w:adjustRightInd w:val="0"/>
              <w:snapToGrid w:val="0"/>
              <w:jc w:val="left"/>
              <w:rPr>
                <w:rFonts w:ascii="Times New Roman Regular" w:hAnsi="Times New Roman Regular" w:cs="Times New Roman Regular" w:eastAsiaTheme="minorEastAsia"/>
                <w:color w:val="auto"/>
                <w:sz w:val="24"/>
                <w:highlight w:val="none"/>
              </w:rPr>
            </w:pPr>
          </w:p>
        </w:tc>
      </w:tr>
      <w:tr w14:paraId="29D652EC">
        <w:tblPrEx>
          <w:tblCellMar>
            <w:top w:w="0" w:type="dxa"/>
            <w:left w:w="108" w:type="dxa"/>
            <w:bottom w:w="0" w:type="dxa"/>
            <w:right w:w="108" w:type="dxa"/>
          </w:tblCellMar>
        </w:tblPrEx>
        <w:trPr>
          <w:jc w:val="center"/>
        </w:trPr>
        <w:tc>
          <w:tcPr>
            <w:tcW w:w="879" w:type="dxa"/>
            <w:vMerge w:val="restart"/>
            <w:tcBorders>
              <w:top w:val="single" w:color="000000" w:sz="8" w:space="0"/>
              <w:left w:val="single" w:color="000000" w:sz="8" w:space="0"/>
              <w:bottom w:val="single" w:color="000000" w:sz="8" w:space="0"/>
              <w:right w:val="single" w:color="000000" w:sz="8" w:space="0"/>
            </w:tcBorders>
            <w:vAlign w:val="center"/>
          </w:tcPr>
          <w:p w14:paraId="2B4E5A3F">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5</w:t>
            </w:r>
          </w:p>
        </w:tc>
        <w:tc>
          <w:tcPr>
            <w:tcW w:w="139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7E8E87E">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工程维保</w:t>
            </w:r>
          </w:p>
        </w:tc>
        <w:tc>
          <w:tcPr>
            <w:tcW w:w="1650" w:type="dxa"/>
            <w:tcBorders>
              <w:top w:val="single" w:color="000000" w:sz="8" w:space="0"/>
              <w:left w:val="single" w:color="000000" w:sz="8" w:space="0"/>
              <w:bottom w:val="single" w:color="000000" w:sz="8" w:space="0"/>
              <w:right w:val="single" w:color="000000" w:sz="8" w:space="0"/>
            </w:tcBorders>
            <w:vAlign w:val="center"/>
          </w:tcPr>
          <w:p w14:paraId="3D2C2029">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工程组长</w:t>
            </w:r>
          </w:p>
        </w:tc>
        <w:tc>
          <w:tcPr>
            <w:tcW w:w="1395" w:type="dxa"/>
            <w:tcBorders>
              <w:top w:val="single" w:color="000000" w:sz="8" w:space="0"/>
              <w:left w:val="single" w:color="000000" w:sz="8" w:space="0"/>
              <w:bottom w:val="single" w:color="000000" w:sz="8" w:space="0"/>
              <w:right w:val="single" w:color="000000" w:sz="8" w:space="0"/>
            </w:tcBorders>
            <w:vAlign w:val="center"/>
          </w:tcPr>
          <w:p w14:paraId="60DA9E6F">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1</w:t>
            </w:r>
          </w:p>
        </w:tc>
        <w:tc>
          <w:tcPr>
            <w:tcW w:w="4187" w:type="dxa"/>
            <w:vMerge w:val="restart"/>
            <w:tcBorders>
              <w:top w:val="single" w:color="000000" w:sz="8" w:space="0"/>
              <w:left w:val="single" w:color="000000" w:sz="8" w:space="0"/>
              <w:bottom w:val="single" w:color="000000" w:sz="8" w:space="0"/>
              <w:right w:val="single" w:color="000000" w:sz="8" w:space="0"/>
            </w:tcBorders>
            <w:vAlign w:val="center"/>
          </w:tcPr>
          <w:p w14:paraId="3DFCE47D">
            <w:pPr>
              <w:widowControl/>
              <w:adjustRightInd w:val="0"/>
              <w:snapToGrid w:val="0"/>
              <w:jc w:val="left"/>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年龄≤55周岁。初中及以上学历（组长高中及以上学历）。</w:t>
            </w:r>
          </w:p>
        </w:tc>
      </w:tr>
      <w:tr w14:paraId="5F5FA177">
        <w:tblPrEx>
          <w:tblCellMar>
            <w:top w:w="0" w:type="dxa"/>
            <w:left w:w="108" w:type="dxa"/>
            <w:bottom w:w="0" w:type="dxa"/>
            <w:right w:w="108" w:type="dxa"/>
          </w:tblCellMar>
        </w:tblPrEx>
        <w:trPr>
          <w:jc w:val="center"/>
        </w:trPr>
        <w:tc>
          <w:tcPr>
            <w:tcW w:w="879" w:type="dxa"/>
            <w:vMerge w:val="continue"/>
            <w:tcBorders>
              <w:top w:val="single" w:color="000000" w:sz="8" w:space="0"/>
              <w:left w:val="single" w:color="000000" w:sz="8" w:space="0"/>
              <w:bottom w:val="single" w:color="000000" w:sz="8" w:space="0"/>
              <w:right w:val="single" w:color="000000" w:sz="8" w:space="0"/>
            </w:tcBorders>
            <w:vAlign w:val="center"/>
          </w:tcPr>
          <w:p w14:paraId="1E37F477">
            <w:pPr>
              <w:adjustRightInd w:val="0"/>
              <w:snapToGrid w:val="0"/>
              <w:jc w:val="center"/>
              <w:rPr>
                <w:rFonts w:ascii="Times New Roman Regular" w:hAnsi="Times New Roman Regular" w:cs="Times New Roman Regular" w:eastAsiaTheme="minorEastAsia"/>
                <w:color w:val="auto"/>
                <w:sz w:val="24"/>
                <w:highlight w:val="none"/>
              </w:rPr>
            </w:pPr>
          </w:p>
        </w:tc>
        <w:tc>
          <w:tcPr>
            <w:tcW w:w="139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3AA2CB4">
            <w:pPr>
              <w:adjustRightInd w:val="0"/>
              <w:snapToGrid w:val="0"/>
              <w:jc w:val="center"/>
              <w:rPr>
                <w:rFonts w:ascii="Times New Roman Regular" w:hAnsi="Times New Roman Regular" w:cs="Times New Roman Regular" w:eastAsiaTheme="minorEastAsia"/>
                <w:color w:val="auto"/>
                <w:sz w:val="24"/>
                <w:highlight w:val="none"/>
              </w:rPr>
            </w:pPr>
          </w:p>
        </w:tc>
        <w:tc>
          <w:tcPr>
            <w:tcW w:w="1650" w:type="dxa"/>
            <w:tcBorders>
              <w:top w:val="single" w:color="000000" w:sz="8" w:space="0"/>
              <w:left w:val="single" w:color="000000" w:sz="8" w:space="0"/>
              <w:bottom w:val="single" w:color="000000" w:sz="8" w:space="0"/>
              <w:right w:val="single" w:color="000000" w:sz="8" w:space="0"/>
            </w:tcBorders>
            <w:vAlign w:val="center"/>
          </w:tcPr>
          <w:p w14:paraId="1281ED6E">
            <w:pPr>
              <w:widowControl/>
              <w:adjustRightInd w:val="0"/>
              <w:snapToGrid w:val="0"/>
              <w:jc w:val="center"/>
              <w:textAlignment w:val="center"/>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工程员工</w:t>
            </w:r>
          </w:p>
        </w:tc>
        <w:tc>
          <w:tcPr>
            <w:tcW w:w="1395" w:type="dxa"/>
            <w:tcBorders>
              <w:top w:val="single" w:color="000000" w:sz="8" w:space="0"/>
              <w:left w:val="single" w:color="000000" w:sz="8" w:space="0"/>
              <w:bottom w:val="single" w:color="000000" w:sz="8" w:space="0"/>
              <w:right w:val="single" w:color="000000" w:sz="8" w:space="0"/>
            </w:tcBorders>
            <w:vAlign w:val="center"/>
          </w:tcPr>
          <w:p w14:paraId="1D7E47FD">
            <w:pPr>
              <w:widowControl/>
              <w:adjustRightInd w:val="0"/>
              <w:snapToGrid w:val="0"/>
              <w:jc w:val="center"/>
              <w:textAlignment w:val="center"/>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6</w:t>
            </w:r>
          </w:p>
        </w:tc>
        <w:tc>
          <w:tcPr>
            <w:tcW w:w="4187" w:type="dxa"/>
            <w:vMerge w:val="continue"/>
            <w:tcBorders>
              <w:top w:val="single" w:color="000000" w:sz="8" w:space="0"/>
              <w:left w:val="single" w:color="000000" w:sz="8" w:space="0"/>
              <w:bottom w:val="single" w:color="000000" w:sz="8" w:space="0"/>
              <w:right w:val="single" w:color="000000" w:sz="8" w:space="0"/>
            </w:tcBorders>
            <w:vAlign w:val="center"/>
          </w:tcPr>
          <w:p w14:paraId="109C8323">
            <w:pPr>
              <w:adjustRightInd w:val="0"/>
              <w:snapToGrid w:val="0"/>
              <w:jc w:val="left"/>
              <w:rPr>
                <w:rFonts w:ascii="Times New Roman Regular" w:hAnsi="Times New Roman Regular" w:cs="Times New Roman Regular" w:eastAsiaTheme="minorEastAsia"/>
                <w:color w:val="auto"/>
                <w:sz w:val="24"/>
                <w:highlight w:val="none"/>
              </w:rPr>
            </w:pPr>
          </w:p>
        </w:tc>
      </w:tr>
      <w:tr w14:paraId="37A3C047">
        <w:tblPrEx>
          <w:tblCellMar>
            <w:top w:w="0" w:type="dxa"/>
            <w:left w:w="108" w:type="dxa"/>
            <w:bottom w:w="0" w:type="dxa"/>
            <w:right w:w="108" w:type="dxa"/>
          </w:tblCellMar>
        </w:tblPrEx>
        <w:trPr>
          <w:jc w:val="center"/>
        </w:trPr>
        <w:tc>
          <w:tcPr>
            <w:tcW w:w="879" w:type="dxa"/>
            <w:tcBorders>
              <w:top w:val="single" w:color="000000" w:sz="8" w:space="0"/>
              <w:left w:val="single" w:color="000000" w:sz="8" w:space="0"/>
              <w:bottom w:val="single" w:color="000000" w:sz="8" w:space="0"/>
              <w:right w:val="single" w:color="000000" w:sz="8" w:space="0"/>
            </w:tcBorders>
            <w:noWrap/>
            <w:vAlign w:val="center"/>
          </w:tcPr>
          <w:p w14:paraId="72C24491">
            <w:pPr>
              <w:adjustRightInd w:val="0"/>
              <w:snapToGrid w:val="0"/>
              <w:jc w:val="center"/>
              <w:rPr>
                <w:rFonts w:ascii="Times New Roman Regular" w:hAnsi="Times New Roman Regular" w:cs="Times New Roman Regular" w:eastAsiaTheme="minorEastAsia"/>
                <w:b/>
                <w:color w:val="auto"/>
                <w:sz w:val="24"/>
                <w:highlight w:val="none"/>
              </w:rPr>
            </w:pPr>
          </w:p>
        </w:tc>
        <w:tc>
          <w:tcPr>
            <w:tcW w:w="13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CD75EC">
            <w:pPr>
              <w:widowControl/>
              <w:adjustRightInd w:val="0"/>
              <w:snapToGrid w:val="0"/>
              <w:jc w:val="center"/>
              <w:textAlignment w:val="center"/>
              <w:rPr>
                <w:rFonts w:ascii="Times New Roman Regular" w:hAnsi="Times New Roman Regular" w:cs="Times New Roman Regular" w:eastAsiaTheme="minorEastAsia"/>
                <w:b/>
                <w:bCs/>
                <w:color w:val="auto"/>
                <w:kern w:val="0"/>
                <w:sz w:val="24"/>
                <w:highlight w:val="none"/>
                <w:lang w:bidi="ar"/>
              </w:rPr>
            </w:pPr>
            <w:r>
              <w:rPr>
                <w:rFonts w:ascii="Times New Roman Regular" w:hAnsi="Times New Roman Regular" w:cs="Times New Roman Regular" w:eastAsiaTheme="minorEastAsia"/>
                <w:b/>
                <w:bCs/>
                <w:color w:val="auto"/>
                <w:kern w:val="0"/>
                <w:sz w:val="24"/>
                <w:highlight w:val="none"/>
                <w:lang w:bidi="ar"/>
              </w:rPr>
              <w:t>小计</w:t>
            </w:r>
          </w:p>
        </w:tc>
        <w:tc>
          <w:tcPr>
            <w:tcW w:w="1650" w:type="dxa"/>
            <w:tcBorders>
              <w:top w:val="single" w:color="000000" w:sz="8" w:space="0"/>
              <w:left w:val="single" w:color="000000" w:sz="8" w:space="0"/>
              <w:bottom w:val="single" w:color="000000" w:sz="8" w:space="0"/>
              <w:right w:val="single" w:color="000000" w:sz="8" w:space="0"/>
            </w:tcBorders>
            <w:noWrap/>
            <w:vAlign w:val="center"/>
          </w:tcPr>
          <w:p w14:paraId="6231B354">
            <w:pPr>
              <w:widowControl/>
              <w:adjustRightInd w:val="0"/>
              <w:snapToGrid w:val="0"/>
              <w:jc w:val="center"/>
              <w:textAlignment w:val="center"/>
              <w:rPr>
                <w:rFonts w:ascii="Times New Roman Regular" w:hAnsi="Times New Roman Regular" w:cs="Times New Roman Regular" w:eastAsiaTheme="minorEastAsia"/>
                <w:b/>
                <w:bCs/>
                <w:color w:val="auto"/>
                <w:kern w:val="0"/>
                <w:sz w:val="24"/>
                <w:highlight w:val="none"/>
                <w:lang w:bidi="ar"/>
              </w:rPr>
            </w:pPr>
          </w:p>
        </w:tc>
        <w:tc>
          <w:tcPr>
            <w:tcW w:w="1395" w:type="dxa"/>
            <w:tcBorders>
              <w:top w:val="single" w:color="000000" w:sz="8" w:space="0"/>
              <w:left w:val="single" w:color="000000" w:sz="8" w:space="0"/>
              <w:bottom w:val="single" w:color="000000" w:sz="8" w:space="0"/>
              <w:right w:val="single" w:color="000000" w:sz="8" w:space="0"/>
            </w:tcBorders>
            <w:vAlign w:val="center"/>
          </w:tcPr>
          <w:p w14:paraId="27B97A21">
            <w:pPr>
              <w:widowControl/>
              <w:adjustRightInd w:val="0"/>
              <w:snapToGrid w:val="0"/>
              <w:jc w:val="center"/>
              <w:textAlignment w:val="center"/>
              <w:rPr>
                <w:rFonts w:hint="eastAsia" w:ascii="Times New Roman Regular" w:hAnsi="Times New Roman Regular" w:cs="Times New Roman Regular" w:eastAsiaTheme="minorEastAsia"/>
                <w:b/>
                <w:bCs/>
                <w:color w:val="auto"/>
                <w:sz w:val="24"/>
                <w:highlight w:val="none"/>
              </w:rPr>
            </w:pPr>
            <w:r>
              <w:rPr>
                <w:rFonts w:hint="eastAsia" w:ascii="Times New Roman Regular" w:hAnsi="Times New Roman Regular" w:cs="Times New Roman Regular" w:eastAsiaTheme="minorEastAsia"/>
                <w:b/>
                <w:bCs/>
                <w:color w:val="auto"/>
                <w:kern w:val="0"/>
                <w:sz w:val="24"/>
                <w:highlight w:val="none"/>
                <w:lang w:bidi="ar"/>
              </w:rPr>
              <w:t>46</w:t>
            </w:r>
          </w:p>
        </w:tc>
        <w:tc>
          <w:tcPr>
            <w:tcW w:w="4187" w:type="dxa"/>
            <w:tcBorders>
              <w:top w:val="single" w:color="000000" w:sz="8" w:space="0"/>
              <w:left w:val="single" w:color="000000" w:sz="8" w:space="0"/>
              <w:bottom w:val="single" w:color="000000" w:sz="8" w:space="0"/>
              <w:right w:val="single" w:color="000000" w:sz="8" w:space="0"/>
            </w:tcBorders>
            <w:vAlign w:val="center"/>
          </w:tcPr>
          <w:p w14:paraId="118F0AF3">
            <w:pPr>
              <w:adjustRightInd w:val="0"/>
              <w:snapToGrid w:val="0"/>
              <w:jc w:val="left"/>
              <w:rPr>
                <w:rFonts w:ascii="Times New Roman Regular" w:hAnsi="Times New Roman Regular" w:cs="Times New Roman Regular" w:eastAsiaTheme="minorEastAsia"/>
                <w:b/>
                <w:bCs/>
                <w:color w:val="auto"/>
                <w:sz w:val="24"/>
                <w:highlight w:val="none"/>
              </w:rPr>
            </w:pPr>
          </w:p>
        </w:tc>
      </w:tr>
    </w:tbl>
    <w:p w14:paraId="20143FE2">
      <w:pPr>
        <w:spacing w:line="360" w:lineRule="auto"/>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注：如遇甲方工作需要，各岗位人员及在岗时间需要做好配合工作，不再另行收费。</w:t>
      </w:r>
    </w:p>
    <w:p w14:paraId="43E37DA5">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1.竞选人人员配置总人数不得低于上述人数。如遇重大节假日或其他重要安排，竞选人应根据比选人要求增派相应的服务人员，增派服务人员工资应按照国家和重庆市相关法定标准计算。</w:t>
      </w:r>
    </w:p>
    <w:p w14:paraId="0957F3CB">
      <w:pPr>
        <w:widowControl/>
        <w:snapToGrid w:val="0"/>
        <w:spacing w:line="360" w:lineRule="auto"/>
        <w:rPr>
          <w:rFonts w:hint="eastAsia" w:asciiTheme="minorEastAsia" w:hAnsiTheme="minorEastAsia" w:eastAsiaTheme="minorEastAsia" w:cstheme="minorEastAsia"/>
          <w:color w:val="auto"/>
          <w:sz w:val="24"/>
          <w:szCs w:val="20"/>
          <w:highlight w:val="none"/>
          <w:lang w:bidi="ar"/>
        </w:rPr>
      </w:pPr>
      <w:r>
        <w:rPr>
          <w:rFonts w:hint="eastAsia" w:asciiTheme="minorEastAsia" w:hAnsiTheme="minorEastAsia" w:eastAsiaTheme="minorEastAsia" w:cstheme="minorEastAsia"/>
          <w:color w:val="auto"/>
          <w:sz w:val="24"/>
          <w:szCs w:val="20"/>
          <w:highlight w:val="none"/>
          <w:lang w:bidi="ar"/>
        </w:rPr>
        <w:t xml:space="preserve">    2.竞选人各项技术标准应当符合国家（强制性）标准及各项规范要求。国家没有相应标准、规范的，可使用行业标准规定。</w:t>
      </w:r>
    </w:p>
    <w:p w14:paraId="0E3065DA">
      <w:pPr>
        <w:widowControl/>
        <w:spacing w:line="360" w:lineRule="auto"/>
        <w:ind w:firstLine="480" w:firstLineChars="200"/>
        <w:jc w:val="left"/>
        <w:rPr>
          <w:rFonts w:hint="eastAsia" w:asciiTheme="minorEastAsia" w:hAnsiTheme="minorEastAsia" w:eastAsiaTheme="minorEastAsia" w:cstheme="minorEastAsia"/>
          <w:color w:val="auto"/>
          <w:sz w:val="24"/>
          <w:szCs w:val="20"/>
          <w:highlight w:val="none"/>
          <w:lang w:bidi="ar"/>
        </w:rPr>
      </w:pPr>
      <w:r>
        <w:rPr>
          <w:rFonts w:hint="eastAsia" w:asciiTheme="minorEastAsia" w:hAnsiTheme="minorEastAsia" w:eastAsiaTheme="minorEastAsia" w:cstheme="minorEastAsia"/>
          <w:color w:val="auto"/>
          <w:sz w:val="24"/>
          <w:szCs w:val="20"/>
          <w:highlight w:val="none"/>
          <w:lang w:bidi="ar"/>
        </w:rPr>
        <w:t>3.竞选人必须严格执行含有强制性条款的国家标准及《高等学校物业服务规范》。</w:t>
      </w:r>
    </w:p>
    <w:p w14:paraId="71C00B06">
      <w:pPr>
        <w:spacing w:line="360" w:lineRule="auto"/>
        <w:ind w:firstLine="480" w:firstLineChars="200"/>
        <w:rPr>
          <w:rFonts w:hint="eastAsia" w:asciiTheme="minorEastAsia" w:hAnsiTheme="minorEastAsia" w:eastAsiaTheme="minorEastAsia" w:cstheme="minorEastAsia"/>
          <w:color w:val="auto"/>
          <w:sz w:val="32"/>
          <w:szCs w:val="20"/>
          <w:highlight w:val="none"/>
        </w:rPr>
      </w:pPr>
      <w:r>
        <w:rPr>
          <w:rFonts w:hint="eastAsia" w:asciiTheme="minorEastAsia" w:hAnsiTheme="minorEastAsia" w:eastAsiaTheme="minorEastAsia" w:cstheme="minorEastAsia"/>
          <w:color w:val="auto"/>
          <w:sz w:val="24"/>
          <w:highlight w:val="none"/>
          <w:lang w:bidi="ar"/>
        </w:rPr>
        <w:t>4.竞选人对其提供产品的使用和操作应尽培训义务。</w:t>
      </w:r>
    </w:p>
    <w:p w14:paraId="6F73D32C">
      <w:pP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p>
    <w:p w14:paraId="497931B3">
      <w:pPr>
        <w:spacing w:after="0" w:line="360" w:lineRule="auto"/>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bidi="ar"/>
        </w:rPr>
        <w:t xml:space="preserve">(二) </w:t>
      </w:r>
      <w:r>
        <w:rPr>
          <w:rFonts w:hint="eastAsia" w:asciiTheme="minorEastAsia" w:hAnsiTheme="minorEastAsia" w:eastAsiaTheme="minorEastAsia" w:cstheme="minorEastAsia"/>
          <w:b/>
          <w:bCs/>
          <w:color w:val="auto"/>
          <w:sz w:val="24"/>
          <w:highlight w:val="none"/>
        </w:rPr>
        <w:t>物业管理服务要求</w:t>
      </w:r>
    </w:p>
    <w:p w14:paraId="49747D76">
      <w:pPr>
        <w:widowControl/>
        <w:numPr>
          <w:ilvl w:val="0"/>
          <w:numId w:val="13"/>
        </w:numPr>
        <w:adjustRightInd w:val="0"/>
        <w:snapToGrid w:val="0"/>
        <w:spacing w:after="0" w:line="360" w:lineRule="auto"/>
        <w:ind w:firstLine="482" w:firstLineChars="200"/>
        <w:jc w:val="left"/>
        <w:rPr>
          <w:rFonts w:ascii="Times New Roman Regular" w:hAnsi="Times New Roman Regular" w:cs="Times New Roman Regular" w:eastAsiaTheme="minorEastAsia"/>
          <w:b/>
          <w:bCs/>
          <w:color w:val="auto"/>
          <w:sz w:val="24"/>
          <w:highlight w:val="none"/>
        </w:rPr>
      </w:pPr>
      <w:bookmarkStart w:id="527" w:name="_Toc22279"/>
      <w:r>
        <w:rPr>
          <w:rFonts w:ascii="Times New Roman Regular" w:hAnsi="Times New Roman Regular" w:cs="Times New Roman Regular" w:eastAsiaTheme="minorEastAsia"/>
          <w:b/>
          <w:bCs/>
          <w:color w:val="auto"/>
          <w:sz w:val="24"/>
          <w:highlight w:val="none"/>
          <w:lang w:bidi="ar"/>
        </w:rPr>
        <w:t>建筑物及构筑物维护服务</w:t>
      </w:r>
    </w:p>
    <w:p w14:paraId="14FE051E">
      <w:pPr>
        <w:widowControl/>
        <w:adjustRightInd w:val="0"/>
        <w:snapToGrid w:val="0"/>
        <w:spacing w:line="360" w:lineRule="auto"/>
        <w:ind w:firstLine="482" w:firstLineChars="200"/>
        <w:jc w:val="left"/>
        <w:rPr>
          <w:rFonts w:ascii="Times New Roman Regular" w:hAnsi="Times New Roman Regular" w:cs="Times New Roman Regular" w:eastAsiaTheme="minorEastAsia"/>
          <w:b/>
          <w:bCs/>
          <w:color w:val="auto"/>
          <w:sz w:val="24"/>
          <w:highlight w:val="none"/>
        </w:rPr>
      </w:pPr>
      <w:r>
        <w:rPr>
          <w:rFonts w:ascii="Times New Roman Regular" w:hAnsi="Times New Roman Regular" w:cs="Times New Roman Regular" w:eastAsiaTheme="minorEastAsia"/>
          <w:b/>
          <w:bCs/>
          <w:color w:val="auto"/>
          <w:sz w:val="24"/>
          <w:highlight w:val="none"/>
          <w:lang w:bidi="ar"/>
        </w:rPr>
        <w:t>1.服务范围及内容</w:t>
      </w:r>
    </w:p>
    <w:p w14:paraId="7016FCEE">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1.1负责建筑物及构筑物的日常巡查和报修。建筑物主体及构筑物包含但不限于构建筑物本体的基础、楼盖、屋顶、梁柱、内外墙体等承重结构部位、外墙面、公共部分的内墙面、门厅、通道、走廊、楼梯、井道、架空层、车库及设备间等。</w:t>
      </w:r>
    </w:p>
    <w:p w14:paraId="3CF216AB">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1.2负责两院院区围墙及以内的建筑物外公共地段设施设备的日常巡查和报修。包含但不限于道路、景观造型、水篦子、垃圾桶（站）、各类井盖、栏杆、梯步、雨污排（管、沟、井）、路面、路沿石、室外消火栓、体育健身设施等。</w:t>
      </w:r>
    </w:p>
    <w:p w14:paraId="2E5C80A7">
      <w:pPr>
        <w:pStyle w:val="2"/>
        <w:adjustRightInd w:val="0"/>
        <w:snapToGrid w:val="0"/>
        <w:spacing w:line="360" w:lineRule="auto"/>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 xml:space="preserve">    1.3未开放区域应在接到两院通知后及时完成该区域的清洁、安保及设施设备检查工作，达到正常使用标准。</w:t>
      </w:r>
    </w:p>
    <w:p w14:paraId="2DC05B0A">
      <w:pPr>
        <w:widowControl/>
        <w:adjustRightInd w:val="0"/>
        <w:snapToGrid w:val="0"/>
        <w:spacing w:line="360" w:lineRule="auto"/>
        <w:ind w:firstLine="482" w:firstLineChars="200"/>
        <w:jc w:val="left"/>
        <w:rPr>
          <w:rFonts w:ascii="Times New Roman Regular" w:hAnsi="Times New Roman Regular" w:cs="Times New Roman Regular" w:eastAsiaTheme="minorEastAsia"/>
          <w:b/>
          <w:bCs/>
          <w:color w:val="auto"/>
          <w:sz w:val="24"/>
          <w:highlight w:val="none"/>
        </w:rPr>
      </w:pPr>
      <w:r>
        <w:rPr>
          <w:rFonts w:ascii="Times New Roman Regular" w:hAnsi="Times New Roman Regular" w:cs="Times New Roman Regular" w:eastAsiaTheme="minorEastAsia"/>
          <w:b/>
          <w:bCs/>
          <w:color w:val="auto"/>
          <w:sz w:val="24"/>
          <w:highlight w:val="none"/>
          <w:lang w:bidi="ar"/>
        </w:rPr>
        <w:t>2.服务要求及标准</w:t>
      </w:r>
    </w:p>
    <w:p w14:paraId="47715657">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2.1所有建筑物及构筑物均为现状管理，确保构建筑物主体和各设施设备的完好。定期巡检，建立台账，发现问题及时联系有关单位处理并跟进。</w:t>
      </w:r>
    </w:p>
    <w:p w14:paraId="620A1AED">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2.2路面维护：禁止不合理荷载车辆进入限制区域，保障路面完好可用。</w:t>
      </w:r>
    </w:p>
    <w:p w14:paraId="38B7CF57">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2.3排水设施维护：做好地基基础的日常巡查；加强散排水的检查、维护。</w:t>
      </w:r>
    </w:p>
    <w:p w14:paraId="7E99FCE4">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2.4楼宇地面维护：保障已开放区域的地面、瓷砖（墙地砖）完好。</w:t>
      </w:r>
    </w:p>
    <w:p w14:paraId="7487B12F">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2.5墙（台）面和吊顶维护：保持墙（台）面清洁，无污渍，无脚印。</w:t>
      </w:r>
    </w:p>
    <w:p w14:paraId="14A549BE">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2.6门窗维护：加强门窗日常检查和报修，确保门窗完好并能正常使用。</w:t>
      </w:r>
    </w:p>
    <w:p w14:paraId="240AC6A2">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2.7防雷设施巡查：做好日常巡查。</w:t>
      </w:r>
    </w:p>
    <w:p w14:paraId="4C72E8B4">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2.8设置限制性进入区域：根据物业管理规定和两院相关要求，设置并标识限制性进入区域，严禁超负荷物品进入。</w:t>
      </w:r>
    </w:p>
    <w:p w14:paraId="6F560F8A">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2.9对房屋进行日常巡查和管理，巡查记录和管理制度齐全。</w:t>
      </w:r>
    </w:p>
    <w:p w14:paraId="539F0C48">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2.10加强室外沟（井）盖板巡查。</w:t>
      </w:r>
    </w:p>
    <w:p w14:paraId="17A6F668">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2.11停车场地：保持日常巡查和管理。</w:t>
      </w:r>
    </w:p>
    <w:p w14:paraId="7B47BBDC">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2.12共同沟：日常巡查、维护，电缆沟、共同沟砼盖板的调平，报修。</w:t>
      </w:r>
    </w:p>
    <w:p w14:paraId="09FEDD16">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2.13户外围墙和栏杆等：日常巡查、维护，报修。</w:t>
      </w:r>
    </w:p>
    <w:p w14:paraId="117459B4">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2.14日常工作频次及标准</w:t>
      </w:r>
    </w:p>
    <w:tbl>
      <w:tblPr>
        <w:tblStyle w:val="48"/>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2399"/>
        <w:gridCol w:w="5037"/>
      </w:tblGrid>
      <w:tr w14:paraId="28ED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022" w:type="dxa"/>
            <w:tcBorders>
              <w:top w:val="single" w:color="auto" w:sz="4" w:space="0"/>
              <w:left w:val="single" w:color="auto" w:sz="4" w:space="0"/>
              <w:bottom w:val="single" w:color="auto" w:sz="4" w:space="0"/>
              <w:right w:val="single" w:color="auto" w:sz="4" w:space="0"/>
            </w:tcBorders>
            <w:vAlign w:val="center"/>
          </w:tcPr>
          <w:p w14:paraId="37A21785">
            <w:pPr>
              <w:adjustRightInd w:val="0"/>
              <w:snapToGrid w:val="0"/>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项目</w:t>
            </w:r>
          </w:p>
        </w:tc>
        <w:tc>
          <w:tcPr>
            <w:tcW w:w="2399" w:type="dxa"/>
            <w:tcBorders>
              <w:top w:val="single" w:color="auto" w:sz="4" w:space="0"/>
              <w:left w:val="single" w:color="auto" w:sz="4" w:space="0"/>
              <w:bottom w:val="single" w:color="auto" w:sz="4" w:space="0"/>
              <w:right w:val="single" w:color="auto" w:sz="4" w:space="0"/>
            </w:tcBorders>
            <w:vAlign w:val="center"/>
          </w:tcPr>
          <w:p w14:paraId="606D2DF2">
            <w:pPr>
              <w:keepNext/>
              <w:adjustRightInd w:val="0"/>
              <w:snapToGrid w:val="0"/>
              <w:jc w:val="center"/>
              <w:rPr>
                <w:rFonts w:ascii="Times New Roman Regular" w:hAnsi="Times New Roman Regular" w:cs="Times New Roman Regular" w:eastAsiaTheme="minorEastAsia"/>
                <w:b/>
                <w:bCs/>
                <w:color w:val="auto"/>
                <w:kern w:val="0"/>
                <w:sz w:val="24"/>
                <w:highlight w:val="none"/>
              </w:rPr>
            </w:pPr>
            <w:r>
              <w:rPr>
                <w:rFonts w:ascii="Times New Roman Regular" w:hAnsi="Times New Roman Regular" w:cs="Times New Roman Regular" w:eastAsiaTheme="minorEastAsia"/>
                <w:b/>
                <w:bCs/>
                <w:color w:val="auto"/>
                <w:kern w:val="0"/>
                <w:sz w:val="24"/>
                <w:highlight w:val="none"/>
                <w:lang w:bidi="ar"/>
              </w:rPr>
              <w:t>巡查周期</w:t>
            </w:r>
          </w:p>
        </w:tc>
        <w:tc>
          <w:tcPr>
            <w:tcW w:w="5037" w:type="dxa"/>
            <w:tcBorders>
              <w:top w:val="single" w:color="auto" w:sz="4" w:space="0"/>
              <w:left w:val="single" w:color="auto" w:sz="4" w:space="0"/>
              <w:bottom w:val="single" w:color="auto" w:sz="4" w:space="0"/>
              <w:right w:val="single" w:color="auto" w:sz="4" w:space="0"/>
            </w:tcBorders>
            <w:vAlign w:val="center"/>
          </w:tcPr>
          <w:p w14:paraId="57887494">
            <w:pPr>
              <w:keepNext/>
              <w:adjustRightInd w:val="0"/>
              <w:snapToGrid w:val="0"/>
              <w:jc w:val="center"/>
              <w:rPr>
                <w:rFonts w:ascii="Times New Roman Regular" w:hAnsi="Times New Roman Regular" w:cs="Times New Roman Regular" w:eastAsiaTheme="minorEastAsia"/>
                <w:b/>
                <w:bCs/>
                <w:color w:val="auto"/>
                <w:kern w:val="0"/>
                <w:sz w:val="24"/>
                <w:highlight w:val="none"/>
              </w:rPr>
            </w:pPr>
            <w:r>
              <w:rPr>
                <w:rFonts w:ascii="Times New Roman Regular" w:hAnsi="Times New Roman Regular" w:cs="Times New Roman Regular" w:eastAsiaTheme="minorEastAsia"/>
                <w:b/>
                <w:bCs/>
                <w:color w:val="auto"/>
                <w:kern w:val="0"/>
                <w:sz w:val="24"/>
                <w:highlight w:val="none"/>
                <w:lang w:bidi="ar"/>
              </w:rPr>
              <w:t>运行标准</w:t>
            </w:r>
          </w:p>
        </w:tc>
      </w:tr>
      <w:tr w14:paraId="2280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22" w:type="dxa"/>
            <w:tcBorders>
              <w:top w:val="single" w:color="auto" w:sz="4" w:space="0"/>
              <w:left w:val="single" w:color="auto" w:sz="4" w:space="0"/>
              <w:bottom w:val="single" w:color="auto" w:sz="4" w:space="0"/>
              <w:right w:val="single" w:color="auto" w:sz="4" w:space="0"/>
            </w:tcBorders>
            <w:vAlign w:val="center"/>
          </w:tcPr>
          <w:p w14:paraId="30AB4895">
            <w:pPr>
              <w:adjustRightInd w:val="0"/>
              <w:snapToGrid w:val="0"/>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路面维护</w:t>
            </w:r>
          </w:p>
        </w:tc>
        <w:tc>
          <w:tcPr>
            <w:tcW w:w="2399" w:type="dxa"/>
            <w:tcBorders>
              <w:top w:val="single" w:color="auto" w:sz="4" w:space="0"/>
              <w:left w:val="single" w:color="auto" w:sz="4" w:space="0"/>
              <w:bottom w:val="single" w:color="auto" w:sz="4" w:space="0"/>
              <w:right w:val="single" w:color="auto" w:sz="4" w:space="0"/>
            </w:tcBorders>
            <w:vAlign w:val="center"/>
          </w:tcPr>
          <w:p w14:paraId="360C3F7E">
            <w:pPr>
              <w:keepNext/>
              <w:adjustRightInd w:val="0"/>
              <w:snapToGrid w:val="0"/>
              <w:jc w:val="left"/>
              <w:rPr>
                <w:rFonts w:ascii="Times New Roman Regular" w:hAnsi="Times New Roman Regular" w:cs="Times New Roman Regular" w:eastAsiaTheme="minorEastAsia"/>
                <w:color w:val="auto"/>
                <w:kern w:val="0"/>
                <w:sz w:val="24"/>
                <w:highlight w:val="none"/>
              </w:rPr>
            </w:pPr>
            <w:r>
              <w:rPr>
                <w:rFonts w:ascii="Times New Roman Regular" w:hAnsi="Times New Roman Regular" w:cs="Times New Roman Regular" w:eastAsiaTheme="minorEastAsia"/>
                <w:color w:val="auto"/>
                <w:kern w:val="0"/>
                <w:sz w:val="24"/>
                <w:highlight w:val="none"/>
                <w:lang w:bidi="ar"/>
              </w:rPr>
              <w:t>及时</w:t>
            </w:r>
          </w:p>
        </w:tc>
        <w:tc>
          <w:tcPr>
            <w:tcW w:w="5037" w:type="dxa"/>
            <w:tcBorders>
              <w:top w:val="single" w:color="auto" w:sz="4" w:space="0"/>
              <w:left w:val="single" w:color="auto" w:sz="4" w:space="0"/>
              <w:bottom w:val="single" w:color="auto" w:sz="4" w:space="0"/>
              <w:right w:val="single" w:color="auto" w:sz="4" w:space="0"/>
            </w:tcBorders>
            <w:vAlign w:val="center"/>
          </w:tcPr>
          <w:p w14:paraId="0EEC8391">
            <w:pPr>
              <w:keepNext/>
              <w:adjustRightInd w:val="0"/>
              <w:snapToGrid w:val="0"/>
              <w:jc w:val="left"/>
              <w:rPr>
                <w:rFonts w:ascii="Times New Roman Regular" w:hAnsi="Times New Roman Regular" w:cs="Times New Roman Regular" w:eastAsiaTheme="minorEastAsia"/>
                <w:color w:val="auto"/>
                <w:kern w:val="0"/>
                <w:sz w:val="24"/>
                <w:highlight w:val="none"/>
              </w:rPr>
            </w:pPr>
            <w:r>
              <w:rPr>
                <w:rFonts w:ascii="Times New Roman Regular" w:hAnsi="Times New Roman Regular" w:cs="Times New Roman Regular" w:eastAsiaTheme="minorEastAsia"/>
                <w:color w:val="auto"/>
                <w:kern w:val="0"/>
                <w:sz w:val="24"/>
                <w:highlight w:val="none"/>
                <w:lang w:bidi="ar"/>
              </w:rPr>
              <w:t>禁入标识及路障完好，无不合理荷载进入限制区域。路面完好。</w:t>
            </w:r>
          </w:p>
        </w:tc>
      </w:tr>
      <w:tr w14:paraId="5521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Borders>
              <w:top w:val="single" w:color="auto" w:sz="4" w:space="0"/>
              <w:left w:val="single" w:color="auto" w:sz="4" w:space="0"/>
              <w:bottom w:val="single" w:color="auto" w:sz="4" w:space="0"/>
              <w:right w:val="single" w:color="auto" w:sz="4" w:space="0"/>
            </w:tcBorders>
            <w:vAlign w:val="center"/>
          </w:tcPr>
          <w:p w14:paraId="258EAC9E">
            <w:pPr>
              <w:adjustRightInd w:val="0"/>
              <w:snapToGrid w:val="0"/>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排水管道</w:t>
            </w:r>
          </w:p>
        </w:tc>
        <w:tc>
          <w:tcPr>
            <w:tcW w:w="2399" w:type="dxa"/>
            <w:tcBorders>
              <w:top w:val="single" w:color="auto" w:sz="4" w:space="0"/>
              <w:left w:val="single" w:color="auto" w:sz="4" w:space="0"/>
              <w:bottom w:val="single" w:color="auto" w:sz="4" w:space="0"/>
              <w:right w:val="single" w:color="auto" w:sz="4" w:space="0"/>
            </w:tcBorders>
            <w:vAlign w:val="center"/>
          </w:tcPr>
          <w:p w14:paraId="6D80E377">
            <w:pPr>
              <w:keepNext/>
              <w:adjustRightInd w:val="0"/>
              <w:snapToGrid w:val="0"/>
              <w:jc w:val="left"/>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每月1次</w:t>
            </w:r>
          </w:p>
          <w:p w14:paraId="04A343AC">
            <w:pPr>
              <w:keepNext/>
              <w:adjustRightInd w:val="0"/>
              <w:snapToGrid w:val="0"/>
              <w:jc w:val="left"/>
              <w:rPr>
                <w:rFonts w:ascii="Times New Roman Regular" w:hAnsi="Times New Roman Regular" w:cs="Times New Roman Regular" w:eastAsiaTheme="minorEastAsia"/>
                <w:color w:val="auto"/>
                <w:kern w:val="0"/>
                <w:sz w:val="24"/>
                <w:highlight w:val="none"/>
              </w:rPr>
            </w:pPr>
            <w:r>
              <w:rPr>
                <w:rFonts w:ascii="Times New Roman Regular" w:hAnsi="Times New Roman Regular" w:cs="Times New Roman Regular" w:eastAsiaTheme="minorEastAsia"/>
                <w:color w:val="auto"/>
                <w:kern w:val="0"/>
                <w:sz w:val="24"/>
                <w:highlight w:val="none"/>
                <w:lang w:bidi="ar"/>
              </w:rPr>
              <w:t>大/暴雨预报及时巡查</w:t>
            </w:r>
          </w:p>
        </w:tc>
        <w:tc>
          <w:tcPr>
            <w:tcW w:w="5037" w:type="dxa"/>
            <w:tcBorders>
              <w:top w:val="single" w:color="auto" w:sz="4" w:space="0"/>
              <w:left w:val="single" w:color="auto" w:sz="4" w:space="0"/>
              <w:bottom w:val="single" w:color="auto" w:sz="4" w:space="0"/>
              <w:right w:val="single" w:color="auto" w:sz="4" w:space="0"/>
            </w:tcBorders>
            <w:vAlign w:val="center"/>
          </w:tcPr>
          <w:p w14:paraId="0667BF48">
            <w:pPr>
              <w:keepNext/>
              <w:adjustRightInd w:val="0"/>
              <w:snapToGrid w:val="0"/>
              <w:jc w:val="left"/>
              <w:rPr>
                <w:rFonts w:ascii="Times New Roman Regular" w:hAnsi="Times New Roman Regular" w:cs="Times New Roman Regular" w:eastAsiaTheme="minorEastAsia"/>
                <w:color w:val="auto"/>
                <w:kern w:val="0"/>
                <w:sz w:val="24"/>
                <w:highlight w:val="none"/>
              </w:rPr>
            </w:pPr>
            <w:r>
              <w:rPr>
                <w:rFonts w:ascii="Times New Roman Regular" w:hAnsi="Times New Roman Regular" w:cs="Times New Roman Regular" w:eastAsiaTheme="minorEastAsia"/>
                <w:color w:val="auto"/>
                <w:kern w:val="0"/>
                <w:sz w:val="24"/>
                <w:highlight w:val="none"/>
                <w:lang w:bidi="ar"/>
              </w:rPr>
              <w:t>对屋面排水管道进行疏通，确保屋面排水畅通。</w:t>
            </w:r>
          </w:p>
        </w:tc>
      </w:tr>
      <w:tr w14:paraId="47DB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Borders>
              <w:top w:val="single" w:color="auto" w:sz="4" w:space="0"/>
              <w:left w:val="single" w:color="auto" w:sz="4" w:space="0"/>
              <w:bottom w:val="single" w:color="auto" w:sz="4" w:space="0"/>
              <w:right w:val="single" w:color="auto" w:sz="4" w:space="0"/>
            </w:tcBorders>
            <w:vAlign w:val="center"/>
          </w:tcPr>
          <w:p w14:paraId="0F3D9DD4">
            <w:pPr>
              <w:adjustRightInd w:val="0"/>
              <w:snapToGrid w:val="0"/>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散水</w:t>
            </w:r>
          </w:p>
        </w:tc>
        <w:tc>
          <w:tcPr>
            <w:tcW w:w="2399" w:type="dxa"/>
            <w:tcBorders>
              <w:top w:val="single" w:color="auto" w:sz="4" w:space="0"/>
              <w:left w:val="single" w:color="auto" w:sz="4" w:space="0"/>
              <w:bottom w:val="single" w:color="auto" w:sz="4" w:space="0"/>
              <w:right w:val="single" w:color="auto" w:sz="4" w:space="0"/>
            </w:tcBorders>
            <w:vAlign w:val="center"/>
          </w:tcPr>
          <w:p w14:paraId="49DC908D">
            <w:pPr>
              <w:keepNext/>
              <w:adjustRightInd w:val="0"/>
              <w:snapToGrid w:val="0"/>
              <w:jc w:val="left"/>
              <w:rPr>
                <w:rFonts w:ascii="Times New Roman Regular" w:hAnsi="Times New Roman Regular" w:cs="Times New Roman Regular" w:eastAsiaTheme="minorEastAsia"/>
                <w:color w:val="auto"/>
                <w:kern w:val="0"/>
                <w:sz w:val="24"/>
                <w:highlight w:val="none"/>
              </w:rPr>
            </w:pPr>
            <w:r>
              <w:rPr>
                <w:rFonts w:ascii="Times New Roman Regular" w:hAnsi="Times New Roman Regular" w:cs="Times New Roman Regular" w:eastAsiaTheme="minorEastAsia"/>
                <w:color w:val="auto"/>
                <w:kern w:val="0"/>
                <w:sz w:val="24"/>
                <w:highlight w:val="none"/>
                <w:lang w:bidi="ar"/>
              </w:rPr>
              <w:t>每月1次</w:t>
            </w:r>
          </w:p>
        </w:tc>
        <w:tc>
          <w:tcPr>
            <w:tcW w:w="5037" w:type="dxa"/>
            <w:tcBorders>
              <w:top w:val="single" w:color="auto" w:sz="4" w:space="0"/>
              <w:left w:val="single" w:color="auto" w:sz="4" w:space="0"/>
              <w:bottom w:val="single" w:color="auto" w:sz="4" w:space="0"/>
              <w:right w:val="single" w:color="auto" w:sz="4" w:space="0"/>
            </w:tcBorders>
            <w:vAlign w:val="center"/>
          </w:tcPr>
          <w:p w14:paraId="2DA25674">
            <w:pPr>
              <w:keepNext/>
              <w:adjustRightInd w:val="0"/>
              <w:snapToGrid w:val="0"/>
              <w:jc w:val="left"/>
              <w:rPr>
                <w:rFonts w:ascii="Times New Roman Regular" w:hAnsi="Times New Roman Regular" w:cs="Times New Roman Regular" w:eastAsiaTheme="minorEastAsia"/>
                <w:color w:val="auto"/>
                <w:kern w:val="0"/>
                <w:sz w:val="24"/>
                <w:highlight w:val="none"/>
              </w:rPr>
            </w:pPr>
            <w:r>
              <w:rPr>
                <w:rFonts w:ascii="Times New Roman Regular" w:hAnsi="Times New Roman Regular" w:cs="Times New Roman Regular" w:eastAsiaTheme="minorEastAsia"/>
                <w:color w:val="auto"/>
                <w:kern w:val="0"/>
                <w:sz w:val="24"/>
                <w:highlight w:val="none"/>
                <w:lang w:bidi="ar"/>
              </w:rPr>
              <w:t>无积水和污渍、边脚整齐无缺口。</w:t>
            </w:r>
          </w:p>
        </w:tc>
      </w:tr>
      <w:tr w14:paraId="5D52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Borders>
              <w:top w:val="single" w:color="auto" w:sz="4" w:space="0"/>
              <w:left w:val="single" w:color="auto" w:sz="4" w:space="0"/>
              <w:bottom w:val="single" w:color="auto" w:sz="4" w:space="0"/>
              <w:right w:val="single" w:color="auto" w:sz="4" w:space="0"/>
            </w:tcBorders>
            <w:vAlign w:val="center"/>
          </w:tcPr>
          <w:p w14:paraId="466B2BD1">
            <w:pPr>
              <w:adjustRightInd w:val="0"/>
              <w:snapToGrid w:val="0"/>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窨井口、雨水口</w:t>
            </w:r>
          </w:p>
        </w:tc>
        <w:tc>
          <w:tcPr>
            <w:tcW w:w="2399" w:type="dxa"/>
            <w:tcBorders>
              <w:top w:val="single" w:color="auto" w:sz="4" w:space="0"/>
              <w:left w:val="single" w:color="auto" w:sz="4" w:space="0"/>
              <w:bottom w:val="single" w:color="auto" w:sz="4" w:space="0"/>
              <w:right w:val="single" w:color="auto" w:sz="4" w:space="0"/>
            </w:tcBorders>
            <w:vAlign w:val="center"/>
          </w:tcPr>
          <w:p w14:paraId="187CD1BC">
            <w:pPr>
              <w:keepNext/>
              <w:adjustRightInd w:val="0"/>
              <w:snapToGrid w:val="0"/>
              <w:jc w:val="left"/>
              <w:rPr>
                <w:rFonts w:ascii="Times New Roman Regular" w:hAnsi="Times New Roman Regular" w:cs="Times New Roman Regular" w:eastAsiaTheme="minorEastAsia"/>
                <w:color w:val="auto"/>
                <w:kern w:val="0"/>
                <w:sz w:val="24"/>
                <w:highlight w:val="none"/>
              </w:rPr>
            </w:pPr>
            <w:r>
              <w:rPr>
                <w:rFonts w:ascii="Times New Roman Regular" w:hAnsi="Times New Roman Regular" w:cs="Times New Roman Regular" w:eastAsiaTheme="minorEastAsia"/>
                <w:color w:val="auto"/>
                <w:kern w:val="0"/>
                <w:sz w:val="24"/>
                <w:highlight w:val="none"/>
                <w:lang w:bidi="ar"/>
              </w:rPr>
              <w:t>每月1次</w:t>
            </w:r>
          </w:p>
        </w:tc>
        <w:tc>
          <w:tcPr>
            <w:tcW w:w="5037" w:type="dxa"/>
            <w:tcBorders>
              <w:top w:val="single" w:color="auto" w:sz="4" w:space="0"/>
              <w:left w:val="single" w:color="auto" w:sz="4" w:space="0"/>
              <w:bottom w:val="single" w:color="auto" w:sz="4" w:space="0"/>
              <w:right w:val="single" w:color="auto" w:sz="4" w:space="0"/>
            </w:tcBorders>
            <w:vAlign w:val="center"/>
          </w:tcPr>
          <w:p w14:paraId="0786E6DA">
            <w:pPr>
              <w:keepNext/>
              <w:adjustRightInd w:val="0"/>
              <w:snapToGrid w:val="0"/>
              <w:jc w:val="left"/>
              <w:rPr>
                <w:rFonts w:ascii="Times New Roman Regular" w:hAnsi="Times New Roman Regular" w:cs="Times New Roman Regular" w:eastAsiaTheme="minorEastAsia"/>
                <w:color w:val="auto"/>
                <w:kern w:val="0"/>
                <w:sz w:val="24"/>
                <w:highlight w:val="none"/>
              </w:rPr>
            </w:pPr>
            <w:r>
              <w:rPr>
                <w:rFonts w:ascii="Times New Roman Regular" w:hAnsi="Times New Roman Regular" w:cs="Times New Roman Regular" w:eastAsiaTheme="minorEastAsia"/>
                <w:color w:val="auto"/>
                <w:kern w:val="0"/>
                <w:sz w:val="24"/>
                <w:highlight w:val="none"/>
                <w:lang w:bidi="ar"/>
              </w:rPr>
              <w:t>及时对窨井口、雨水口清理，确保屋面排水畅通。</w:t>
            </w:r>
          </w:p>
        </w:tc>
      </w:tr>
      <w:tr w14:paraId="331F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Borders>
              <w:top w:val="single" w:color="auto" w:sz="4" w:space="0"/>
              <w:left w:val="single" w:color="auto" w:sz="4" w:space="0"/>
              <w:bottom w:val="single" w:color="auto" w:sz="4" w:space="0"/>
              <w:right w:val="single" w:color="auto" w:sz="4" w:space="0"/>
            </w:tcBorders>
            <w:vAlign w:val="center"/>
          </w:tcPr>
          <w:p w14:paraId="514B7449">
            <w:pPr>
              <w:adjustRightInd w:val="0"/>
              <w:snapToGrid w:val="0"/>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屋脊、躺水沟</w:t>
            </w:r>
          </w:p>
        </w:tc>
        <w:tc>
          <w:tcPr>
            <w:tcW w:w="2399" w:type="dxa"/>
            <w:tcBorders>
              <w:top w:val="single" w:color="auto" w:sz="4" w:space="0"/>
              <w:left w:val="single" w:color="auto" w:sz="4" w:space="0"/>
              <w:bottom w:val="single" w:color="auto" w:sz="4" w:space="0"/>
              <w:right w:val="single" w:color="auto" w:sz="4" w:space="0"/>
            </w:tcBorders>
            <w:vAlign w:val="center"/>
          </w:tcPr>
          <w:p w14:paraId="56B8F207">
            <w:pPr>
              <w:keepNext/>
              <w:adjustRightInd w:val="0"/>
              <w:snapToGrid w:val="0"/>
              <w:jc w:val="left"/>
              <w:rPr>
                <w:rFonts w:ascii="Times New Roman Regular" w:hAnsi="Times New Roman Regular" w:cs="Times New Roman Regular" w:eastAsiaTheme="minorEastAsia"/>
                <w:color w:val="auto"/>
                <w:kern w:val="0"/>
                <w:sz w:val="24"/>
                <w:highlight w:val="none"/>
              </w:rPr>
            </w:pPr>
            <w:r>
              <w:rPr>
                <w:rFonts w:ascii="Times New Roman Regular" w:hAnsi="Times New Roman Regular" w:cs="Times New Roman Regular" w:eastAsiaTheme="minorEastAsia"/>
                <w:color w:val="auto"/>
                <w:kern w:val="0"/>
                <w:sz w:val="24"/>
                <w:highlight w:val="none"/>
                <w:lang w:bidi="ar"/>
              </w:rPr>
              <w:t>每月1次</w:t>
            </w:r>
          </w:p>
        </w:tc>
        <w:tc>
          <w:tcPr>
            <w:tcW w:w="5037" w:type="dxa"/>
            <w:tcBorders>
              <w:top w:val="single" w:color="auto" w:sz="4" w:space="0"/>
              <w:left w:val="single" w:color="auto" w:sz="4" w:space="0"/>
              <w:bottom w:val="single" w:color="auto" w:sz="4" w:space="0"/>
              <w:right w:val="single" w:color="auto" w:sz="4" w:space="0"/>
            </w:tcBorders>
            <w:vAlign w:val="center"/>
          </w:tcPr>
          <w:p w14:paraId="1029EAC3">
            <w:pPr>
              <w:keepNext/>
              <w:adjustRightInd w:val="0"/>
              <w:snapToGrid w:val="0"/>
              <w:jc w:val="left"/>
              <w:rPr>
                <w:rFonts w:ascii="Times New Roman Regular" w:hAnsi="Times New Roman Regular" w:cs="Times New Roman Regular" w:eastAsiaTheme="minorEastAsia"/>
                <w:color w:val="auto"/>
                <w:kern w:val="0"/>
                <w:sz w:val="24"/>
                <w:highlight w:val="none"/>
              </w:rPr>
            </w:pPr>
            <w:r>
              <w:rPr>
                <w:rFonts w:ascii="Times New Roman Regular" w:hAnsi="Times New Roman Regular" w:cs="Times New Roman Regular" w:eastAsiaTheme="minorEastAsia"/>
                <w:color w:val="auto"/>
                <w:kern w:val="0"/>
                <w:sz w:val="24"/>
                <w:highlight w:val="none"/>
                <w:lang w:bidi="ar"/>
              </w:rPr>
              <w:t>及时对屋脊、躺水沟巡检清理报修，确保屋面排水畅通。</w:t>
            </w:r>
          </w:p>
        </w:tc>
      </w:tr>
      <w:tr w14:paraId="1A51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Borders>
              <w:top w:val="single" w:color="auto" w:sz="4" w:space="0"/>
              <w:left w:val="single" w:color="auto" w:sz="4" w:space="0"/>
              <w:bottom w:val="single" w:color="auto" w:sz="4" w:space="0"/>
              <w:right w:val="single" w:color="auto" w:sz="4" w:space="0"/>
            </w:tcBorders>
            <w:vAlign w:val="center"/>
          </w:tcPr>
          <w:p w14:paraId="69711D55">
            <w:pPr>
              <w:adjustRightInd w:val="0"/>
              <w:snapToGrid w:val="0"/>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楼地面、铺贴的磁砖（地板砖）</w:t>
            </w:r>
          </w:p>
        </w:tc>
        <w:tc>
          <w:tcPr>
            <w:tcW w:w="2399" w:type="dxa"/>
            <w:tcBorders>
              <w:top w:val="single" w:color="auto" w:sz="4" w:space="0"/>
              <w:left w:val="single" w:color="auto" w:sz="4" w:space="0"/>
              <w:bottom w:val="single" w:color="auto" w:sz="4" w:space="0"/>
              <w:right w:val="single" w:color="auto" w:sz="4" w:space="0"/>
            </w:tcBorders>
            <w:vAlign w:val="center"/>
          </w:tcPr>
          <w:p w14:paraId="337F24E4">
            <w:pPr>
              <w:keepNext/>
              <w:adjustRightInd w:val="0"/>
              <w:snapToGrid w:val="0"/>
              <w:jc w:val="left"/>
              <w:rPr>
                <w:rFonts w:ascii="Times New Roman Regular" w:hAnsi="Times New Roman Regular" w:cs="Times New Roman Regular" w:eastAsiaTheme="minorEastAsia"/>
                <w:color w:val="auto"/>
                <w:kern w:val="0"/>
                <w:sz w:val="24"/>
                <w:highlight w:val="none"/>
              </w:rPr>
            </w:pPr>
            <w:r>
              <w:rPr>
                <w:rFonts w:ascii="Times New Roman Regular" w:hAnsi="Times New Roman Regular" w:cs="Times New Roman Regular" w:eastAsiaTheme="minorEastAsia"/>
                <w:color w:val="auto"/>
                <w:kern w:val="0"/>
                <w:sz w:val="24"/>
                <w:highlight w:val="none"/>
              </w:rPr>
              <w:t>每月1次</w:t>
            </w:r>
          </w:p>
        </w:tc>
        <w:tc>
          <w:tcPr>
            <w:tcW w:w="5037" w:type="dxa"/>
            <w:tcBorders>
              <w:top w:val="single" w:color="auto" w:sz="4" w:space="0"/>
              <w:left w:val="single" w:color="auto" w:sz="4" w:space="0"/>
              <w:bottom w:val="single" w:color="auto" w:sz="4" w:space="0"/>
              <w:right w:val="single" w:color="auto" w:sz="4" w:space="0"/>
            </w:tcBorders>
            <w:vAlign w:val="center"/>
          </w:tcPr>
          <w:p w14:paraId="2FB6FE98">
            <w:pPr>
              <w:keepNext/>
              <w:adjustRightInd w:val="0"/>
              <w:snapToGrid w:val="0"/>
              <w:jc w:val="left"/>
              <w:rPr>
                <w:rFonts w:ascii="Times New Roman Regular" w:hAnsi="Times New Roman Regular" w:cs="Times New Roman Regular" w:eastAsiaTheme="minorEastAsia"/>
                <w:color w:val="auto"/>
                <w:kern w:val="0"/>
                <w:sz w:val="24"/>
                <w:highlight w:val="none"/>
              </w:rPr>
            </w:pPr>
            <w:r>
              <w:rPr>
                <w:rFonts w:ascii="Times New Roman Regular" w:hAnsi="Times New Roman Regular" w:cs="Times New Roman Regular" w:eastAsiaTheme="minorEastAsia"/>
                <w:color w:val="auto"/>
                <w:kern w:val="0"/>
                <w:sz w:val="24"/>
                <w:highlight w:val="none"/>
                <w:lang w:bidi="ar"/>
              </w:rPr>
              <w:t>完好无损，室内地面受潮，破损的瓷砖（地板砖）及时报修。</w:t>
            </w:r>
          </w:p>
        </w:tc>
      </w:tr>
      <w:tr w14:paraId="4432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Borders>
              <w:top w:val="single" w:color="auto" w:sz="4" w:space="0"/>
              <w:left w:val="single" w:color="auto" w:sz="4" w:space="0"/>
              <w:bottom w:val="single" w:color="auto" w:sz="4" w:space="0"/>
              <w:right w:val="single" w:color="auto" w:sz="4" w:space="0"/>
            </w:tcBorders>
            <w:vAlign w:val="center"/>
          </w:tcPr>
          <w:p w14:paraId="50AA382F">
            <w:pPr>
              <w:adjustRightInd w:val="0"/>
              <w:snapToGrid w:val="0"/>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墙台面</w:t>
            </w:r>
          </w:p>
        </w:tc>
        <w:tc>
          <w:tcPr>
            <w:tcW w:w="2399" w:type="dxa"/>
            <w:tcBorders>
              <w:top w:val="single" w:color="auto" w:sz="4" w:space="0"/>
              <w:left w:val="single" w:color="auto" w:sz="4" w:space="0"/>
              <w:bottom w:val="single" w:color="auto" w:sz="4" w:space="0"/>
              <w:right w:val="single" w:color="auto" w:sz="4" w:space="0"/>
            </w:tcBorders>
            <w:vAlign w:val="center"/>
          </w:tcPr>
          <w:p w14:paraId="2D3A4861">
            <w:pPr>
              <w:keepNext/>
              <w:adjustRightInd w:val="0"/>
              <w:snapToGrid w:val="0"/>
              <w:jc w:val="left"/>
              <w:rPr>
                <w:rFonts w:ascii="Times New Roman Regular" w:hAnsi="Times New Roman Regular" w:cs="Times New Roman Regular" w:eastAsiaTheme="minorEastAsia"/>
                <w:color w:val="auto"/>
                <w:kern w:val="0"/>
                <w:sz w:val="24"/>
                <w:highlight w:val="none"/>
              </w:rPr>
            </w:pPr>
            <w:r>
              <w:rPr>
                <w:rFonts w:ascii="Times New Roman Regular" w:hAnsi="Times New Roman Regular" w:cs="Times New Roman Regular" w:eastAsiaTheme="minorEastAsia"/>
                <w:color w:val="auto"/>
                <w:kern w:val="0"/>
                <w:sz w:val="24"/>
                <w:highlight w:val="none"/>
                <w:lang w:bidi="ar"/>
              </w:rPr>
              <w:t>每月2次</w:t>
            </w:r>
          </w:p>
        </w:tc>
        <w:tc>
          <w:tcPr>
            <w:tcW w:w="5037" w:type="dxa"/>
            <w:tcBorders>
              <w:top w:val="single" w:color="auto" w:sz="4" w:space="0"/>
              <w:left w:val="single" w:color="auto" w:sz="4" w:space="0"/>
              <w:bottom w:val="single" w:color="auto" w:sz="4" w:space="0"/>
              <w:right w:val="single" w:color="auto" w:sz="4" w:space="0"/>
            </w:tcBorders>
            <w:vAlign w:val="center"/>
          </w:tcPr>
          <w:p w14:paraId="2FF77AE5">
            <w:pPr>
              <w:keepNext/>
              <w:adjustRightInd w:val="0"/>
              <w:snapToGrid w:val="0"/>
              <w:jc w:val="left"/>
              <w:rPr>
                <w:rFonts w:ascii="Times New Roman Regular" w:hAnsi="Times New Roman Regular" w:cs="Times New Roman Regular" w:eastAsiaTheme="minorEastAsia"/>
                <w:color w:val="auto"/>
                <w:kern w:val="0"/>
                <w:sz w:val="24"/>
                <w:highlight w:val="none"/>
              </w:rPr>
            </w:pPr>
            <w:r>
              <w:rPr>
                <w:rFonts w:ascii="Times New Roman Regular" w:hAnsi="Times New Roman Regular" w:cs="Times New Roman Regular" w:eastAsiaTheme="minorEastAsia"/>
                <w:color w:val="auto"/>
                <w:kern w:val="0"/>
                <w:sz w:val="24"/>
                <w:highlight w:val="none"/>
                <w:lang w:bidi="ar"/>
              </w:rPr>
              <w:t>保持墙台面的清洁工作，无污渍，无脚印。</w:t>
            </w:r>
          </w:p>
        </w:tc>
      </w:tr>
      <w:tr w14:paraId="14F9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Borders>
              <w:top w:val="single" w:color="auto" w:sz="4" w:space="0"/>
              <w:left w:val="single" w:color="auto" w:sz="4" w:space="0"/>
              <w:bottom w:val="single" w:color="auto" w:sz="4" w:space="0"/>
              <w:right w:val="single" w:color="auto" w:sz="4" w:space="0"/>
            </w:tcBorders>
            <w:vAlign w:val="center"/>
          </w:tcPr>
          <w:p w14:paraId="5D612B31">
            <w:pPr>
              <w:adjustRightInd w:val="0"/>
              <w:snapToGrid w:val="0"/>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吊顶</w:t>
            </w:r>
          </w:p>
        </w:tc>
        <w:tc>
          <w:tcPr>
            <w:tcW w:w="2399" w:type="dxa"/>
            <w:tcBorders>
              <w:top w:val="single" w:color="auto" w:sz="4" w:space="0"/>
              <w:left w:val="single" w:color="auto" w:sz="4" w:space="0"/>
              <w:bottom w:val="single" w:color="auto" w:sz="4" w:space="0"/>
              <w:right w:val="single" w:color="auto" w:sz="4" w:space="0"/>
            </w:tcBorders>
            <w:vAlign w:val="center"/>
          </w:tcPr>
          <w:p w14:paraId="73C2E731">
            <w:pPr>
              <w:keepNext/>
              <w:adjustRightInd w:val="0"/>
              <w:snapToGrid w:val="0"/>
              <w:jc w:val="left"/>
              <w:rPr>
                <w:rFonts w:ascii="Times New Roman Regular" w:hAnsi="Times New Roman Regular" w:cs="Times New Roman Regular" w:eastAsiaTheme="minorEastAsia"/>
                <w:color w:val="auto"/>
                <w:kern w:val="0"/>
                <w:sz w:val="24"/>
                <w:highlight w:val="none"/>
              </w:rPr>
            </w:pPr>
            <w:r>
              <w:rPr>
                <w:rFonts w:ascii="Times New Roman Regular" w:hAnsi="Times New Roman Regular" w:cs="Times New Roman Regular" w:eastAsiaTheme="minorEastAsia"/>
                <w:color w:val="auto"/>
                <w:kern w:val="0"/>
                <w:sz w:val="24"/>
                <w:highlight w:val="none"/>
                <w:lang w:bidi="ar"/>
              </w:rPr>
              <w:t>每月2次</w:t>
            </w:r>
          </w:p>
        </w:tc>
        <w:tc>
          <w:tcPr>
            <w:tcW w:w="5037" w:type="dxa"/>
            <w:tcBorders>
              <w:top w:val="single" w:color="auto" w:sz="4" w:space="0"/>
              <w:left w:val="single" w:color="auto" w:sz="4" w:space="0"/>
              <w:bottom w:val="single" w:color="auto" w:sz="4" w:space="0"/>
              <w:right w:val="single" w:color="auto" w:sz="4" w:space="0"/>
            </w:tcBorders>
            <w:vAlign w:val="center"/>
          </w:tcPr>
          <w:p w14:paraId="172C2E53">
            <w:pPr>
              <w:keepNext/>
              <w:adjustRightInd w:val="0"/>
              <w:snapToGrid w:val="0"/>
              <w:jc w:val="left"/>
              <w:rPr>
                <w:rFonts w:ascii="Times New Roman Regular" w:hAnsi="Times New Roman Regular" w:cs="Times New Roman Regular" w:eastAsiaTheme="minorEastAsia"/>
                <w:color w:val="auto"/>
                <w:kern w:val="0"/>
                <w:sz w:val="24"/>
                <w:highlight w:val="none"/>
              </w:rPr>
            </w:pPr>
            <w:r>
              <w:rPr>
                <w:rFonts w:ascii="Times New Roman Regular" w:hAnsi="Times New Roman Regular" w:cs="Times New Roman Regular" w:eastAsiaTheme="minorEastAsia"/>
                <w:color w:val="auto"/>
                <w:sz w:val="24"/>
                <w:highlight w:val="none"/>
                <w:lang w:bidi="ar"/>
              </w:rPr>
              <w:t>加强巡查，及时发现损坏、漏水、渗水吊顶，做好警示，报修</w:t>
            </w:r>
            <w:r>
              <w:rPr>
                <w:rFonts w:ascii="Times New Roman Regular" w:hAnsi="Times New Roman Regular" w:cs="Times New Roman Regular" w:eastAsiaTheme="minorEastAsia"/>
                <w:color w:val="auto"/>
                <w:kern w:val="0"/>
                <w:sz w:val="24"/>
                <w:highlight w:val="none"/>
                <w:lang w:bidi="ar"/>
              </w:rPr>
              <w:t>。</w:t>
            </w:r>
          </w:p>
        </w:tc>
      </w:tr>
      <w:tr w14:paraId="1722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Borders>
              <w:top w:val="single" w:color="auto" w:sz="4" w:space="0"/>
              <w:left w:val="single" w:color="auto" w:sz="4" w:space="0"/>
              <w:bottom w:val="single" w:color="auto" w:sz="4" w:space="0"/>
              <w:right w:val="single" w:color="auto" w:sz="4" w:space="0"/>
            </w:tcBorders>
            <w:vAlign w:val="center"/>
          </w:tcPr>
          <w:p w14:paraId="53E49BB5">
            <w:pPr>
              <w:adjustRightInd w:val="0"/>
              <w:snapToGrid w:val="0"/>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门窗、玻璃</w:t>
            </w:r>
          </w:p>
        </w:tc>
        <w:tc>
          <w:tcPr>
            <w:tcW w:w="2399" w:type="dxa"/>
            <w:tcBorders>
              <w:top w:val="single" w:color="auto" w:sz="4" w:space="0"/>
              <w:left w:val="single" w:color="auto" w:sz="4" w:space="0"/>
              <w:bottom w:val="single" w:color="auto" w:sz="4" w:space="0"/>
              <w:right w:val="single" w:color="auto" w:sz="4" w:space="0"/>
            </w:tcBorders>
            <w:vAlign w:val="center"/>
          </w:tcPr>
          <w:p w14:paraId="0436448D">
            <w:pPr>
              <w:keepNext/>
              <w:adjustRightInd w:val="0"/>
              <w:snapToGrid w:val="0"/>
              <w:jc w:val="left"/>
              <w:rPr>
                <w:rFonts w:ascii="Times New Roman Regular" w:hAnsi="Times New Roman Regular" w:cs="Times New Roman Regular" w:eastAsiaTheme="minorEastAsia"/>
                <w:color w:val="auto"/>
                <w:kern w:val="0"/>
                <w:sz w:val="24"/>
                <w:highlight w:val="none"/>
                <w:lang w:bidi="ar"/>
              </w:rPr>
            </w:pPr>
            <w:r>
              <w:rPr>
                <w:rFonts w:ascii="Times New Roman Regular" w:hAnsi="Times New Roman Regular" w:cs="Times New Roman Regular" w:eastAsiaTheme="minorEastAsia"/>
                <w:color w:val="auto"/>
                <w:kern w:val="0"/>
                <w:sz w:val="24"/>
                <w:highlight w:val="none"/>
                <w:lang w:bidi="ar"/>
              </w:rPr>
              <w:t>每月1次集中查检</w:t>
            </w:r>
          </w:p>
          <w:p w14:paraId="30F087E0">
            <w:pPr>
              <w:keepNext/>
              <w:adjustRightInd w:val="0"/>
              <w:snapToGrid w:val="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kern w:val="0"/>
                <w:sz w:val="24"/>
                <w:highlight w:val="none"/>
                <w:lang w:bidi="ar"/>
              </w:rPr>
              <w:t>及时发现损坏情况</w:t>
            </w:r>
          </w:p>
        </w:tc>
        <w:tc>
          <w:tcPr>
            <w:tcW w:w="5037" w:type="dxa"/>
            <w:tcBorders>
              <w:top w:val="single" w:color="auto" w:sz="4" w:space="0"/>
              <w:left w:val="single" w:color="auto" w:sz="4" w:space="0"/>
              <w:bottom w:val="single" w:color="auto" w:sz="4" w:space="0"/>
              <w:right w:val="single" w:color="auto" w:sz="4" w:space="0"/>
            </w:tcBorders>
            <w:vAlign w:val="center"/>
          </w:tcPr>
          <w:p w14:paraId="16996E20">
            <w:pPr>
              <w:keepNext/>
              <w:adjustRightInd w:val="0"/>
              <w:snapToGrid w:val="0"/>
              <w:jc w:val="left"/>
              <w:rPr>
                <w:rFonts w:ascii="Times New Roman Regular" w:hAnsi="Times New Roman Regular" w:cs="Times New Roman Regular" w:eastAsiaTheme="minorEastAsia"/>
                <w:color w:val="auto"/>
                <w:kern w:val="0"/>
                <w:sz w:val="24"/>
                <w:highlight w:val="none"/>
              </w:rPr>
            </w:pPr>
            <w:r>
              <w:rPr>
                <w:rFonts w:ascii="Times New Roman Regular" w:hAnsi="Times New Roman Regular" w:cs="Times New Roman Regular" w:eastAsiaTheme="minorEastAsia"/>
                <w:color w:val="auto"/>
                <w:sz w:val="24"/>
                <w:highlight w:val="none"/>
                <w:lang w:bidi="ar"/>
              </w:rPr>
              <w:t>加强巡查，及时发现损坏门窗及玻璃，做好警示，及时联系有关施工单位维修处理</w:t>
            </w:r>
            <w:r>
              <w:rPr>
                <w:rFonts w:ascii="Times New Roman Regular" w:hAnsi="Times New Roman Regular" w:cs="Times New Roman Regular" w:eastAsiaTheme="minorEastAsia"/>
                <w:color w:val="auto"/>
                <w:kern w:val="0"/>
                <w:sz w:val="24"/>
                <w:highlight w:val="none"/>
                <w:lang w:bidi="ar"/>
              </w:rPr>
              <w:t>。</w:t>
            </w:r>
          </w:p>
        </w:tc>
      </w:tr>
      <w:tr w14:paraId="417C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Borders>
              <w:top w:val="single" w:color="auto" w:sz="4" w:space="0"/>
              <w:left w:val="single" w:color="auto" w:sz="4" w:space="0"/>
              <w:bottom w:val="single" w:color="auto" w:sz="4" w:space="0"/>
              <w:right w:val="single" w:color="auto" w:sz="4" w:space="0"/>
            </w:tcBorders>
            <w:vAlign w:val="center"/>
          </w:tcPr>
          <w:p w14:paraId="20ED4CDE">
            <w:pPr>
              <w:adjustRightInd w:val="0"/>
              <w:snapToGrid w:val="0"/>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屋顶</w:t>
            </w:r>
          </w:p>
        </w:tc>
        <w:tc>
          <w:tcPr>
            <w:tcW w:w="2399" w:type="dxa"/>
            <w:tcBorders>
              <w:top w:val="single" w:color="auto" w:sz="4" w:space="0"/>
              <w:left w:val="single" w:color="auto" w:sz="4" w:space="0"/>
              <w:bottom w:val="single" w:color="auto" w:sz="4" w:space="0"/>
              <w:right w:val="single" w:color="auto" w:sz="4" w:space="0"/>
            </w:tcBorders>
            <w:vAlign w:val="center"/>
          </w:tcPr>
          <w:p w14:paraId="4AAAACC6">
            <w:pPr>
              <w:keepNext/>
              <w:adjustRightInd w:val="0"/>
              <w:snapToGrid w:val="0"/>
              <w:jc w:val="left"/>
              <w:rPr>
                <w:rFonts w:ascii="Times New Roman Regular" w:hAnsi="Times New Roman Regular" w:cs="Times New Roman Regular" w:eastAsiaTheme="minorEastAsia"/>
                <w:color w:val="auto"/>
                <w:kern w:val="0"/>
                <w:sz w:val="24"/>
                <w:highlight w:val="none"/>
              </w:rPr>
            </w:pPr>
            <w:r>
              <w:rPr>
                <w:rFonts w:ascii="Times New Roman Regular" w:hAnsi="Times New Roman Regular" w:cs="Times New Roman Regular" w:eastAsiaTheme="minorEastAsia"/>
                <w:color w:val="auto"/>
                <w:kern w:val="0"/>
                <w:sz w:val="24"/>
                <w:highlight w:val="none"/>
                <w:lang w:bidi="ar"/>
              </w:rPr>
              <w:t>每月1次</w:t>
            </w:r>
          </w:p>
        </w:tc>
        <w:tc>
          <w:tcPr>
            <w:tcW w:w="5037" w:type="dxa"/>
            <w:tcBorders>
              <w:top w:val="single" w:color="auto" w:sz="4" w:space="0"/>
              <w:left w:val="single" w:color="auto" w:sz="4" w:space="0"/>
              <w:bottom w:val="single" w:color="auto" w:sz="4" w:space="0"/>
              <w:right w:val="single" w:color="auto" w:sz="4" w:space="0"/>
            </w:tcBorders>
            <w:vAlign w:val="center"/>
          </w:tcPr>
          <w:p w14:paraId="10B316C0">
            <w:pPr>
              <w:keepNext/>
              <w:adjustRightInd w:val="0"/>
              <w:snapToGrid w:val="0"/>
              <w:jc w:val="left"/>
              <w:rPr>
                <w:rFonts w:ascii="Times New Roman Regular" w:hAnsi="Times New Roman Regular" w:cs="Times New Roman Regular" w:eastAsiaTheme="minorEastAsia"/>
                <w:color w:val="auto"/>
                <w:kern w:val="0"/>
                <w:sz w:val="24"/>
                <w:highlight w:val="none"/>
              </w:rPr>
            </w:pPr>
            <w:r>
              <w:rPr>
                <w:rFonts w:ascii="Times New Roman Regular" w:hAnsi="Times New Roman Regular" w:cs="Times New Roman Regular" w:eastAsiaTheme="minorEastAsia"/>
                <w:color w:val="auto"/>
                <w:kern w:val="0"/>
                <w:sz w:val="24"/>
                <w:highlight w:val="none"/>
                <w:lang w:bidi="ar"/>
              </w:rPr>
              <w:t>及时对屋顶清扫，确保屋面排水畅通。</w:t>
            </w:r>
          </w:p>
        </w:tc>
      </w:tr>
      <w:tr w14:paraId="3120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Borders>
              <w:top w:val="single" w:color="auto" w:sz="4" w:space="0"/>
              <w:left w:val="single" w:color="auto" w:sz="4" w:space="0"/>
              <w:bottom w:val="single" w:color="auto" w:sz="4" w:space="0"/>
              <w:right w:val="single" w:color="auto" w:sz="4" w:space="0"/>
            </w:tcBorders>
            <w:vAlign w:val="center"/>
          </w:tcPr>
          <w:p w14:paraId="62AE32EF">
            <w:pPr>
              <w:adjustRightInd w:val="0"/>
              <w:snapToGrid w:val="0"/>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rPr>
              <w:t>防雷设施</w:t>
            </w:r>
          </w:p>
        </w:tc>
        <w:tc>
          <w:tcPr>
            <w:tcW w:w="2399" w:type="dxa"/>
            <w:tcBorders>
              <w:top w:val="single" w:color="auto" w:sz="4" w:space="0"/>
              <w:left w:val="single" w:color="auto" w:sz="4" w:space="0"/>
              <w:bottom w:val="single" w:color="auto" w:sz="4" w:space="0"/>
              <w:right w:val="single" w:color="auto" w:sz="4" w:space="0"/>
            </w:tcBorders>
            <w:vAlign w:val="center"/>
          </w:tcPr>
          <w:p w14:paraId="4FE4E539">
            <w:pPr>
              <w:keepNext/>
              <w:adjustRightInd w:val="0"/>
              <w:snapToGrid w:val="0"/>
              <w:jc w:val="left"/>
              <w:rPr>
                <w:rFonts w:ascii="Times New Roman Regular" w:hAnsi="Times New Roman Regular" w:cs="Times New Roman Regular" w:eastAsiaTheme="minorEastAsia"/>
                <w:color w:val="auto"/>
                <w:kern w:val="0"/>
                <w:sz w:val="24"/>
                <w:highlight w:val="none"/>
              </w:rPr>
            </w:pPr>
            <w:r>
              <w:rPr>
                <w:rFonts w:ascii="Times New Roman Regular" w:hAnsi="Times New Roman Regular" w:cs="Times New Roman Regular" w:eastAsiaTheme="minorEastAsia"/>
                <w:color w:val="auto"/>
                <w:kern w:val="0"/>
                <w:sz w:val="24"/>
                <w:highlight w:val="none"/>
                <w:lang w:bidi="ar"/>
              </w:rPr>
              <w:t>雷雨季节每月1次</w:t>
            </w:r>
          </w:p>
        </w:tc>
        <w:tc>
          <w:tcPr>
            <w:tcW w:w="5037" w:type="dxa"/>
            <w:tcBorders>
              <w:top w:val="single" w:color="auto" w:sz="4" w:space="0"/>
              <w:left w:val="single" w:color="auto" w:sz="4" w:space="0"/>
              <w:bottom w:val="single" w:color="auto" w:sz="4" w:space="0"/>
              <w:right w:val="single" w:color="auto" w:sz="4" w:space="0"/>
            </w:tcBorders>
            <w:vAlign w:val="center"/>
          </w:tcPr>
          <w:p w14:paraId="1B3A92DA">
            <w:pPr>
              <w:keepNext/>
              <w:widowControl/>
              <w:adjustRightInd w:val="0"/>
              <w:snapToGrid w:val="0"/>
              <w:jc w:val="left"/>
              <w:rPr>
                <w:rFonts w:ascii="Times New Roman Regular" w:hAnsi="Times New Roman Regular" w:cs="Times New Roman Regular" w:eastAsiaTheme="minorEastAsia"/>
                <w:color w:val="auto"/>
                <w:kern w:val="0"/>
                <w:sz w:val="24"/>
                <w:highlight w:val="none"/>
              </w:rPr>
            </w:pPr>
            <w:r>
              <w:rPr>
                <w:rFonts w:ascii="Times New Roman Regular" w:hAnsi="Times New Roman Regular" w:cs="Times New Roman Regular" w:eastAsiaTheme="minorEastAsia"/>
                <w:color w:val="auto"/>
                <w:kern w:val="0"/>
                <w:sz w:val="24"/>
                <w:highlight w:val="none"/>
                <w:lang w:bidi="ar"/>
              </w:rPr>
              <w:t>发现问题，</w:t>
            </w:r>
            <w:r>
              <w:rPr>
                <w:rFonts w:ascii="Times New Roman Regular" w:hAnsi="Times New Roman Regular" w:cs="Times New Roman Regular" w:eastAsiaTheme="minorEastAsia"/>
                <w:color w:val="auto"/>
                <w:sz w:val="24"/>
                <w:highlight w:val="none"/>
                <w:lang w:bidi="ar"/>
              </w:rPr>
              <w:t>及时联系有关施工单位处理。</w:t>
            </w:r>
          </w:p>
        </w:tc>
      </w:tr>
    </w:tbl>
    <w:p w14:paraId="44C96FBB">
      <w:pPr>
        <w:widowControl/>
        <w:numPr>
          <w:ilvl w:val="0"/>
          <w:numId w:val="13"/>
        </w:numPr>
        <w:adjustRightInd w:val="0"/>
        <w:snapToGrid w:val="0"/>
        <w:spacing w:after="0" w:line="360" w:lineRule="auto"/>
        <w:ind w:firstLine="482" w:firstLineChars="200"/>
        <w:jc w:val="left"/>
        <w:rPr>
          <w:rFonts w:ascii="Times New Roman Regular" w:hAnsi="Times New Roman Regular" w:cs="Times New Roman Regular" w:eastAsiaTheme="minorEastAsia"/>
          <w:b/>
          <w:bCs/>
          <w:color w:val="auto"/>
          <w:sz w:val="24"/>
          <w:highlight w:val="none"/>
          <w:lang w:bidi="ar"/>
        </w:rPr>
      </w:pPr>
      <w:r>
        <w:rPr>
          <w:rFonts w:ascii="Times New Roman Regular" w:hAnsi="Times New Roman Regular" w:cs="Times New Roman Regular" w:eastAsiaTheme="minorEastAsia"/>
          <w:b/>
          <w:bCs/>
          <w:color w:val="auto"/>
          <w:sz w:val="24"/>
          <w:highlight w:val="none"/>
          <w:lang w:bidi="ar"/>
        </w:rPr>
        <w:t>能源保障及设施设备运行管理与维护服务</w:t>
      </w:r>
    </w:p>
    <w:p w14:paraId="7ED04008">
      <w:pPr>
        <w:widowControl/>
        <w:adjustRightInd w:val="0"/>
        <w:snapToGrid w:val="0"/>
        <w:spacing w:line="360" w:lineRule="auto"/>
        <w:ind w:firstLine="482" w:firstLineChars="200"/>
        <w:jc w:val="left"/>
        <w:rPr>
          <w:rFonts w:ascii="Times New Roman Regular" w:hAnsi="Times New Roman Regular" w:cs="Times New Roman Regular" w:eastAsiaTheme="minorEastAsia"/>
          <w:b/>
          <w:bCs/>
          <w:color w:val="auto"/>
          <w:sz w:val="24"/>
          <w:highlight w:val="none"/>
        </w:rPr>
      </w:pPr>
      <w:r>
        <w:rPr>
          <w:rFonts w:ascii="Times New Roman Regular" w:hAnsi="Times New Roman Regular" w:cs="Times New Roman Regular" w:eastAsiaTheme="minorEastAsia"/>
          <w:b/>
          <w:bCs/>
          <w:color w:val="auto"/>
          <w:sz w:val="24"/>
          <w:highlight w:val="none"/>
          <w:lang w:bidi="ar"/>
        </w:rPr>
        <w:t>1.服务范围及内容</w:t>
      </w:r>
    </w:p>
    <w:p w14:paraId="163570B7">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筹备期现状管理，保障开放区域水电能源及设施设备的功能需求。未开放区域应在接到两院通知后及时完成该区域的检查工作，达到正常使用标准。</w:t>
      </w:r>
    </w:p>
    <w:p w14:paraId="1B31CF0F">
      <w:pPr>
        <w:widowControl/>
        <w:adjustRightInd w:val="0"/>
        <w:snapToGrid w:val="0"/>
        <w:spacing w:line="360" w:lineRule="auto"/>
        <w:ind w:firstLine="482" w:firstLineChars="200"/>
        <w:jc w:val="left"/>
        <w:rPr>
          <w:rFonts w:ascii="Times New Roman Regular" w:hAnsi="Times New Roman Regular" w:cs="Times New Roman Regular" w:eastAsiaTheme="minorEastAsia"/>
          <w:b/>
          <w:bCs/>
          <w:color w:val="auto"/>
          <w:sz w:val="24"/>
          <w:highlight w:val="none"/>
          <w:lang w:bidi="ar"/>
        </w:rPr>
      </w:pPr>
      <w:r>
        <w:rPr>
          <w:rFonts w:ascii="Times New Roman Regular" w:hAnsi="Times New Roman Regular" w:cs="Times New Roman Regular" w:eastAsiaTheme="minorEastAsia"/>
          <w:b/>
          <w:bCs/>
          <w:color w:val="auto"/>
          <w:sz w:val="24"/>
          <w:highlight w:val="none"/>
          <w:lang w:bidi="ar"/>
        </w:rPr>
        <w:t>2.日常工作频次及标准：</w:t>
      </w:r>
    </w:p>
    <w:p w14:paraId="60E13D3A">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根据两院工作进度，对设施设备进行试运行，协同正式物业进场办理移交。</w:t>
      </w:r>
    </w:p>
    <w:p w14:paraId="3BF6BE8D">
      <w:pPr>
        <w:widowControl/>
        <w:numPr>
          <w:ilvl w:val="0"/>
          <w:numId w:val="13"/>
        </w:numPr>
        <w:adjustRightInd w:val="0"/>
        <w:snapToGrid w:val="0"/>
        <w:spacing w:after="0" w:line="360" w:lineRule="auto"/>
        <w:ind w:firstLine="482" w:firstLineChars="200"/>
        <w:jc w:val="left"/>
        <w:rPr>
          <w:rFonts w:ascii="Times New Roman Regular" w:hAnsi="Times New Roman Regular" w:cs="Times New Roman Regular" w:eastAsiaTheme="minorEastAsia"/>
          <w:b/>
          <w:bCs/>
          <w:color w:val="auto"/>
          <w:sz w:val="24"/>
          <w:highlight w:val="none"/>
          <w:lang w:bidi="ar"/>
        </w:rPr>
      </w:pPr>
      <w:r>
        <w:rPr>
          <w:rFonts w:hint="eastAsia" w:ascii="Times New Roman Regular" w:hAnsi="Times New Roman Regular" w:cs="Times New Roman Regular" w:eastAsiaTheme="minorEastAsia"/>
          <w:b/>
          <w:bCs/>
          <w:color w:val="auto"/>
          <w:sz w:val="24"/>
          <w:highlight w:val="none"/>
          <w:lang w:bidi="ar"/>
        </w:rPr>
        <w:t>两院保洁服务</w:t>
      </w:r>
    </w:p>
    <w:p w14:paraId="03F8F0F5">
      <w:pPr>
        <w:widowControl/>
        <w:adjustRightInd w:val="0"/>
        <w:snapToGrid w:val="0"/>
        <w:spacing w:line="360" w:lineRule="auto"/>
        <w:ind w:firstLine="482" w:firstLineChars="200"/>
        <w:jc w:val="left"/>
        <w:rPr>
          <w:rFonts w:ascii="Times New Roman Regular" w:hAnsi="Times New Roman Regular" w:cs="Times New Roman Regular" w:eastAsiaTheme="minorEastAsia"/>
          <w:b/>
          <w:bCs/>
          <w:color w:val="auto"/>
          <w:sz w:val="24"/>
          <w:highlight w:val="none"/>
        </w:rPr>
      </w:pPr>
      <w:r>
        <w:rPr>
          <w:rFonts w:ascii="Times New Roman Regular" w:hAnsi="Times New Roman Regular" w:cs="Times New Roman Regular" w:eastAsiaTheme="minorEastAsia"/>
          <w:b/>
          <w:bCs/>
          <w:color w:val="auto"/>
          <w:sz w:val="24"/>
          <w:highlight w:val="none"/>
          <w:lang w:bidi="ar"/>
        </w:rPr>
        <w:t>1.服务范围及内容</w:t>
      </w:r>
    </w:p>
    <w:p w14:paraId="0040904B">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1.1室外公共区域（包含但不限于公共卫生间、车行道路、人行步道、风雨长廊、广场、室内外停车场、校门及校门对外延伸部分等）的保洁卫生、垃圾分类及垃圾清运、卫生消毒、垃圾处理、渗水排涝、非法张贴清理等。</w:t>
      </w:r>
    </w:p>
    <w:p w14:paraId="47EC43F2">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1.2室内区域（开放区域进行日常维护；不开放区域根据现场需求局部完善局部移交处理，包含但不限于办公楼、会议室、礼堂、接待室、值班室、办事大厅、图书馆、公共教室—含公共机房等）的卫生保洁、垃圾分类及清运、卫生消毒、渗水排涝、非法张贴清理等。</w:t>
      </w:r>
    </w:p>
    <w:p w14:paraId="4DF76552">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1.3定期进行垃圾桶、垃圾回收亭、垃圾场（站）的卫生保洁及环境治理。</w:t>
      </w:r>
    </w:p>
    <w:p w14:paraId="26F6CAD0">
      <w:pPr>
        <w:widowControl/>
        <w:adjustRightInd w:val="0"/>
        <w:snapToGrid w:val="0"/>
        <w:spacing w:line="360" w:lineRule="auto"/>
        <w:ind w:firstLine="482" w:firstLineChars="200"/>
        <w:jc w:val="left"/>
        <w:rPr>
          <w:rFonts w:ascii="Times New Roman Regular" w:hAnsi="Times New Roman Regular" w:cs="Times New Roman Regular" w:eastAsiaTheme="minorEastAsia"/>
          <w:b/>
          <w:bCs/>
          <w:color w:val="auto"/>
          <w:sz w:val="24"/>
          <w:highlight w:val="none"/>
        </w:rPr>
      </w:pPr>
      <w:r>
        <w:rPr>
          <w:rFonts w:ascii="Times New Roman Regular" w:hAnsi="Times New Roman Regular" w:cs="Times New Roman Regular" w:eastAsiaTheme="minorEastAsia"/>
          <w:b/>
          <w:bCs/>
          <w:color w:val="auto"/>
          <w:sz w:val="24"/>
          <w:highlight w:val="none"/>
          <w:lang w:bidi="ar"/>
        </w:rPr>
        <w:t>2服务要求及标准</w:t>
      </w:r>
    </w:p>
    <w:p w14:paraId="64CF671A">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2.1负责责任区域的地面清扫、冲洗，墙砖及相关附属公共设施设备保洁。</w:t>
      </w:r>
    </w:p>
    <w:p w14:paraId="03B32C9C">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2.2按照两院的分级要求开展保洁服务，包括对保洁范围内进行清扫、保洁、垃圾清运、非法张贴清理及消杀、消毒等保持两院环境整洁的内容。</w:t>
      </w:r>
    </w:p>
    <w:p w14:paraId="0BC32030">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2.3每日进行垃圾集中清收清运。</w:t>
      </w:r>
    </w:p>
    <w:p w14:paraId="57B677CD">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2.</w:t>
      </w:r>
      <w:bookmarkStart w:id="528" w:name="OLE_LINK10"/>
      <w:r>
        <w:rPr>
          <w:rFonts w:ascii="Times New Roman Regular" w:hAnsi="Times New Roman Regular" w:cs="Times New Roman Regular" w:eastAsiaTheme="minorEastAsia"/>
          <w:color w:val="auto"/>
          <w:sz w:val="24"/>
          <w:highlight w:val="none"/>
          <w:lang w:bidi="ar"/>
        </w:rPr>
        <w:t>4</w:t>
      </w:r>
      <w:bookmarkEnd w:id="528"/>
      <w:r>
        <w:rPr>
          <w:rFonts w:ascii="Times New Roman Regular" w:hAnsi="Times New Roman Regular" w:cs="Times New Roman Regular" w:eastAsiaTheme="minorEastAsia"/>
          <w:color w:val="auto"/>
          <w:sz w:val="24"/>
          <w:highlight w:val="none"/>
          <w:lang w:bidi="ar"/>
        </w:rPr>
        <w:t>室外公共区域保洁要求。</w:t>
      </w:r>
    </w:p>
    <w:p w14:paraId="0E1ECD51">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2.4.1车行道、人行道、广场、运动场所、楼宇中庭、停车场、山体步道等地面整洁，无垃圾杂物、无明显积水、无明显污渍油迹等；校门及校门对外延伸部分地面整洁，无垃圾杂物、无明显积水、无明显污渍油迹等，墙面干净整洁，无污渍、和未经许可的张贴物；垃圾箱（桶）摆放整齐，外观干净整洁，分类标识清晰有效，无冒装现象；休闲桌椅、石材座板等干净整洁、无灰尘、水渍；宣传栏、橱窗、各类指示牌、栏杆校名石、雕（塑）像等无污渍，无明显积尘和不良张贴物；绿化带无白色垃圾；道闸路障等无明显尘迹；排水沟、渠、井等畅通无积沙、无杂物；水体及水体周边无塑料、枯枝等漂浮物和杂草、杂树等；玻璃廊桥玻璃上无垃圾杂物、无明显积水、无明显污渍、钢结构无锈蚀。</w:t>
      </w:r>
    </w:p>
    <w:p w14:paraId="4EB747BC">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2.4.2室外公共区域保洁频次</w:t>
      </w:r>
    </w:p>
    <w:tbl>
      <w:tblPr>
        <w:tblStyle w:val="48"/>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3926"/>
        <w:gridCol w:w="1343"/>
        <w:gridCol w:w="3591"/>
      </w:tblGrid>
      <w:tr w14:paraId="7E36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blHeader/>
          <w:jc w:val="center"/>
        </w:trPr>
        <w:tc>
          <w:tcPr>
            <w:tcW w:w="880" w:type="dxa"/>
            <w:tcBorders>
              <w:top w:val="single" w:color="auto" w:sz="4" w:space="0"/>
              <w:left w:val="single" w:color="auto" w:sz="4" w:space="0"/>
              <w:bottom w:val="single" w:color="auto" w:sz="4" w:space="0"/>
              <w:right w:val="single" w:color="auto" w:sz="4" w:space="0"/>
            </w:tcBorders>
            <w:vAlign w:val="center"/>
          </w:tcPr>
          <w:p w14:paraId="6847D0AF">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序号</w:t>
            </w:r>
          </w:p>
        </w:tc>
        <w:tc>
          <w:tcPr>
            <w:tcW w:w="3926" w:type="dxa"/>
            <w:tcBorders>
              <w:top w:val="single" w:color="auto" w:sz="4" w:space="0"/>
              <w:left w:val="single" w:color="auto" w:sz="4" w:space="0"/>
              <w:bottom w:val="single" w:color="auto" w:sz="4" w:space="0"/>
              <w:right w:val="single" w:color="auto" w:sz="4" w:space="0"/>
            </w:tcBorders>
            <w:vAlign w:val="center"/>
          </w:tcPr>
          <w:p w14:paraId="261DBE2A">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项目</w:t>
            </w:r>
          </w:p>
        </w:tc>
        <w:tc>
          <w:tcPr>
            <w:tcW w:w="1343" w:type="dxa"/>
            <w:tcBorders>
              <w:top w:val="single" w:color="auto" w:sz="4" w:space="0"/>
              <w:left w:val="single" w:color="auto" w:sz="4" w:space="0"/>
              <w:bottom w:val="single" w:color="auto" w:sz="4" w:space="0"/>
              <w:right w:val="single" w:color="auto" w:sz="4" w:space="0"/>
            </w:tcBorders>
            <w:vAlign w:val="center"/>
          </w:tcPr>
          <w:p w14:paraId="5E151D02">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保洁方式</w:t>
            </w:r>
          </w:p>
        </w:tc>
        <w:tc>
          <w:tcPr>
            <w:tcW w:w="3591" w:type="dxa"/>
            <w:tcBorders>
              <w:top w:val="single" w:color="auto" w:sz="4" w:space="0"/>
              <w:left w:val="single" w:color="auto" w:sz="4" w:space="0"/>
              <w:bottom w:val="single" w:color="auto" w:sz="4" w:space="0"/>
              <w:right w:val="single" w:color="auto" w:sz="4" w:space="0"/>
            </w:tcBorders>
            <w:vAlign w:val="center"/>
          </w:tcPr>
          <w:p w14:paraId="6B06C811">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保洁频次</w:t>
            </w:r>
          </w:p>
        </w:tc>
      </w:tr>
      <w:tr w14:paraId="002A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Borders>
              <w:top w:val="single" w:color="auto" w:sz="4" w:space="0"/>
              <w:left w:val="single" w:color="auto" w:sz="4" w:space="0"/>
              <w:bottom w:val="single" w:color="auto" w:sz="4" w:space="0"/>
              <w:right w:val="single" w:color="auto" w:sz="4" w:space="0"/>
            </w:tcBorders>
            <w:vAlign w:val="center"/>
          </w:tcPr>
          <w:p w14:paraId="7BD2B50A">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1</w:t>
            </w:r>
          </w:p>
        </w:tc>
        <w:tc>
          <w:tcPr>
            <w:tcW w:w="3926" w:type="dxa"/>
            <w:tcBorders>
              <w:top w:val="single" w:color="auto" w:sz="4" w:space="0"/>
              <w:left w:val="single" w:color="auto" w:sz="4" w:space="0"/>
              <w:bottom w:val="single" w:color="auto" w:sz="4" w:space="0"/>
              <w:right w:val="single" w:color="auto" w:sz="4" w:space="0"/>
            </w:tcBorders>
            <w:vAlign w:val="center"/>
          </w:tcPr>
          <w:p w14:paraId="5D7843AE">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广场、公路、道路、人行道、步道</w:t>
            </w:r>
          </w:p>
        </w:tc>
        <w:tc>
          <w:tcPr>
            <w:tcW w:w="1343" w:type="dxa"/>
            <w:tcBorders>
              <w:top w:val="single" w:color="auto" w:sz="4" w:space="0"/>
              <w:left w:val="single" w:color="auto" w:sz="4" w:space="0"/>
              <w:bottom w:val="single" w:color="auto" w:sz="4" w:space="0"/>
              <w:right w:val="single" w:color="auto" w:sz="4" w:space="0"/>
            </w:tcBorders>
            <w:vAlign w:val="center"/>
          </w:tcPr>
          <w:p w14:paraId="69C95E93">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清扫、冲洗</w:t>
            </w:r>
          </w:p>
        </w:tc>
        <w:tc>
          <w:tcPr>
            <w:tcW w:w="3591" w:type="dxa"/>
            <w:tcBorders>
              <w:top w:val="single" w:color="auto" w:sz="4" w:space="0"/>
              <w:left w:val="single" w:color="auto" w:sz="4" w:space="0"/>
              <w:bottom w:val="single" w:color="auto" w:sz="4" w:space="0"/>
              <w:right w:val="single" w:color="auto" w:sz="4" w:space="0"/>
            </w:tcBorders>
            <w:vAlign w:val="center"/>
          </w:tcPr>
          <w:p w14:paraId="6D3E0A9C">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根据卫生程度，每日清扫不低于1次，移交前完成1次冲洗。</w:t>
            </w:r>
          </w:p>
        </w:tc>
      </w:tr>
      <w:tr w14:paraId="74A6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Borders>
              <w:top w:val="single" w:color="auto" w:sz="4" w:space="0"/>
              <w:left w:val="single" w:color="auto" w:sz="4" w:space="0"/>
              <w:bottom w:val="single" w:color="auto" w:sz="4" w:space="0"/>
              <w:right w:val="single" w:color="auto" w:sz="4" w:space="0"/>
            </w:tcBorders>
            <w:vAlign w:val="center"/>
          </w:tcPr>
          <w:p w14:paraId="66839FB5">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2</w:t>
            </w:r>
          </w:p>
        </w:tc>
        <w:tc>
          <w:tcPr>
            <w:tcW w:w="3926" w:type="dxa"/>
            <w:tcBorders>
              <w:top w:val="single" w:color="auto" w:sz="4" w:space="0"/>
              <w:left w:val="single" w:color="auto" w:sz="4" w:space="0"/>
              <w:bottom w:val="single" w:color="auto" w:sz="4" w:space="0"/>
              <w:right w:val="single" w:color="auto" w:sz="4" w:space="0"/>
            </w:tcBorders>
            <w:vAlign w:val="center"/>
          </w:tcPr>
          <w:p w14:paraId="6292C8CE">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灯饰、栏杆、指标牌、报栏、橱窗内外、校名石、雕（塑）像等</w:t>
            </w:r>
          </w:p>
        </w:tc>
        <w:tc>
          <w:tcPr>
            <w:tcW w:w="1343" w:type="dxa"/>
            <w:tcBorders>
              <w:top w:val="single" w:color="auto" w:sz="4" w:space="0"/>
              <w:left w:val="single" w:color="auto" w:sz="4" w:space="0"/>
              <w:bottom w:val="single" w:color="auto" w:sz="4" w:space="0"/>
              <w:right w:val="single" w:color="auto" w:sz="4" w:space="0"/>
            </w:tcBorders>
            <w:vAlign w:val="center"/>
          </w:tcPr>
          <w:p w14:paraId="342E7E33">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抹净</w:t>
            </w:r>
          </w:p>
        </w:tc>
        <w:tc>
          <w:tcPr>
            <w:tcW w:w="3591" w:type="dxa"/>
            <w:tcBorders>
              <w:top w:val="single" w:color="auto" w:sz="4" w:space="0"/>
              <w:left w:val="single" w:color="auto" w:sz="4" w:space="0"/>
              <w:bottom w:val="single" w:color="auto" w:sz="4" w:space="0"/>
              <w:right w:val="single" w:color="auto" w:sz="4" w:space="0"/>
            </w:tcBorders>
            <w:vAlign w:val="center"/>
          </w:tcPr>
          <w:p w14:paraId="76AC2B90">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开放区域每周1次。</w:t>
            </w:r>
          </w:p>
          <w:p w14:paraId="461026A1">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未开放区域按需临时完成。</w:t>
            </w:r>
          </w:p>
        </w:tc>
      </w:tr>
      <w:tr w14:paraId="3DE5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Borders>
              <w:top w:val="single" w:color="auto" w:sz="4" w:space="0"/>
              <w:left w:val="single" w:color="auto" w:sz="4" w:space="0"/>
              <w:bottom w:val="single" w:color="auto" w:sz="4" w:space="0"/>
              <w:right w:val="single" w:color="auto" w:sz="4" w:space="0"/>
            </w:tcBorders>
            <w:vAlign w:val="center"/>
          </w:tcPr>
          <w:p w14:paraId="3AC52E31">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3</w:t>
            </w:r>
          </w:p>
        </w:tc>
        <w:tc>
          <w:tcPr>
            <w:tcW w:w="3926" w:type="dxa"/>
            <w:tcBorders>
              <w:top w:val="single" w:color="auto" w:sz="4" w:space="0"/>
              <w:left w:val="single" w:color="auto" w:sz="4" w:space="0"/>
              <w:bottom w:val="single" w:color="auto" w:sz="4" w:space="0"/>
              <w:right w:val="single" w:color="auto" w:sz="4" w:space="0"/>
            </w:tcBorders>
            <w:vAlign w:val="center"/>
          </w:tcPr>
          <w:p w14:paraId="3989E458">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各类张贴物</w:t>
            </w:r>
          </w:p>
        </w:tc>
        <w:tc>
          <w:tcPr>
            <w:tcW w:w="1343" w:type="dxa"/>
            <w:tcBorders>
              <w:top w:val="single" w:color="auto" w:sz="4" w:space="0"/>
              <w:left w:val="single" w:color="auto" w:sz="4" w:space="0"/>
              <w:bottom w:val="single" w:color="auto" w:sz="4" w:space="0"/>
              <w:right w:val="single" w:color="auto" w:sz="4" w:space="0"/>
            </w:tcBorders>
            <w:vAlign w:val="center"/>
          </w:tcPr>
          <w:p w14:paraId="7A09D5F0">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清除</w:t>
            </w:r>
          </w:p>
        </w:tc>
        <w:tc>
          <w:tcPr>
            <w:tcW w:w="3591" w:type="dxa"/>
            <w:tcBorders>
              <w:top w:val="single" w:color="auto" w:sz="4" w:space="0"/>
              <w:left w:val="single" w:color="auto" w:sz="4" w:space="0"/>
              <w:bottom w:val="single" w:color="auto" w:sz="4" w:space="0"/>
              <w:right w:val="single" w:color="auto" w:sz="4" w:space="0"/>
            </w:tcBorders>
            <w:vAlign w:val="center"/>
          </w:tcPr>
          <w:p w14:paraId="66614D73">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小广告及时清除，其余每周1次。</w:t>
            </w:r>
          </w:p>
        </w:tc>
      </w:tr>
      <w:tr w14:paraId="08E4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18FB433A">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4</w:t>
            </w:r>
          </w:p>
        </w:tc>
        <w:tc>
          <w:tcPr>
            <w:tcW w:w="3926" w:type="dxa"/>
            <w:tcBorders>
              <w:top w:val="single" w:color="auto" w:sz="4" w:space="0"/>
              <w:left w:val="single" w:color="auto" w:sz="4" w:space="0"/>
              <w:bottom w:val="single" w:color="auto" w:sz="4" w:space="0"/>
              <w:right w:val="single" w:color="auto" w:sz="4" w:space="0"/>
            </w:tcBorders>
            <w:vAlign w:val="center"/>
          </w:tcPr>
          <w:p w14:paraId="7A4EC1D6">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校区大门（含治安亭，校门外延伸部分）</w:t>
            </w:r>
          </w:p>
        </w:tc>
        <w:tc>
          <w:tcPr>
            <w:tcW w:w="1343" w:type="dxa"/>
            <w:tcBorders>
              <w:top w:val="single" w:color="auto" w:sz="4" w:space="0"/>
              <w:left w:val="single" w:color="auto" w:sz="4" w:space="0"/>
              <w:bottom w:val="single" w:color="auto" w:sz="4" w:space="0"/>
              <w:right w:val="single" w:color="auto" w:sz="4" w:space="0"/>
            </w:tcBorders>
            <w:vAlign w:val="center"/>
          </w:tcPr>
          <w:p w14:paraId="3A6F30AB">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清扫</w:t>
            </w:r>
          </w:p>
          <w:p w14:paraId="56AAE8C3">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抹净</w:t>
            </w:r>
          </w:p>
        </w:tc>
        <w:tc>
          <w:tcPr>
            <w:tcW w:w="3591" w:type="dxa"/>
            <w:tcBorders>
              <w:top w:val="single" w:color="auto" w:sz="4" w:space="0"/>
              <w:left w:val="single" w:color="auto" w:sz="4" w:space="0"/>
              <w:bottom w:val="single" w:color="auto" w:sz="4" w:space="0"/>
              <w:right w:val="single" w:color="auto" w:sz="4" w:space="0"/>
            </w:tcBorders>
            <w:vAlign w:val="center"/>
          </w:tcPr>
          <w:p w14:paraId="75B0561B">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每日不低于1次。</w:t>
            </w:r>
          </w:p>
        </w:tc>
      </w:tr>
      <w:tr w14:paraId="6ACE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Borders>
              <w:top w:val="single" w:color="auto" w:sz="4" w:space="0"/>
              <w:left w:val="single" w:color="auto" w:sz="4" w:space="0"/>
              <w:bottom w:val="single" w:color="auto" w:sz="4" w:space="0"/>
              <w:right w:val="single" w:color="auto" w:sz="4" w:space="0"/>
            </w:tcBorders>
            <w:vAlign w:val="center"/>
          </w:tcPr>
          <w:p w14:paraId="3748FA3D">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5</w:t>
            </w:r>
          </w:p>
        </w:tc>
        <w:tc>
          <w:tcPr>
            <w:tcW w:w="3926" w:type="dxa"/>
            <w:tcBorders>
              <w:top w:val="single" w:color="auto" w:sz="4" w:space="0"/>
              <w:left w:val="single" w:color="auto" w:sz="4" w:space="0"/>
              <w:bottom w:val="single" w:color="auto" w:sz="4" w:space="0"/>
              <w:right w:val="single" w:color="auto" w:sz="4" w:space="0"/>
            </w:tcBorders>
            <w:vAlign w:val="center"/>
          </w:tcPr>
          <w:p w14:paraId="05B4B481">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室外公共设施</w:t>
            </w:r>
          </w:p>
        </w:tc>
        <w:tc>
          <w:tcPr>
            <w:tcW w:w="1343" w:type="dxa"/>
            <w:tcBorders>
              <w:top w:val="single" w:color="auto" w:sz="4" w:space="0"/>
              <w:left w:val="single" w:color="auto" w:sz="4" w:space="0"/>
              <w:bottom w:val="single" w:color="auto" w:sz="4" w:space="0"/>
              <w:right w:val="single" w:color="auto" w:sz="4" w:space="0"/>
            </w:tcBorders>
            <w:vAlign w:val="center"/>
          </w:tcPr>
          <w:p w14:paraId="007D7123">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抹净</w:t>
            </w:r>
          </w:p>
        </w:tc>
        <w:tc>
          <w:tcPr>
            <w:tcW w:w="3591" w:type="dxa"/>
            <w:tcBorders>
              <w:top w:val="single" w:color="auto" w:sz="4" w:space="0"/>
              <w:left w:val="single" w:color="auto" w:sz="4" w:space="0"/>
              <w:bottom w:val="single" w:color="auto" w:sz="4" w:space="0"/>
              <w:right w:val="single" w:color="auto" w:sz="4" w:space="0"/>
            </w:tcBorders>
            <w:vAlign w:val="center"/>
          </w:tcPr>
          <w:p w14:paraId="676A0F00">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每周1次。</w:t>
            </w:r>
          </w:p>
        </w:tc>
      </w:tr>
      <w:tr w14:paraId="7081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Borders>
              <w:top w:val="single" w:color="auto" w:sz="4" w:space="0"/>
              <w:left w:val="single" w:color="auto" w:sz="4" w:space="0"/>
              <w:bottom w:val="single" w:color="auto" w:sz="4" w:space="0"/>
              <w:right w:val="single" w:color="auto" w:sz="4" w:space="0"/>
            </w:tcBorders>
            <w:vAlign w:val="center"/>
          </w:tcPr>
          <w:p w14:paraId="080D69BF">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6</w:t>
            </w:r>
          </w:p>
        </w:tc>
        <w:tc>
          <w:tcPr>
            <w:tcW w:w="3926" w:type="dxa"/>
            <w:tcBorders>
              <w:top w:val="single" w:color="auto" w:sz="4" w:space="0"/>
              <w:left w:val="single" w:color="auto" w:sz="4" w:space="0"/>
              <w:bottom w:val="single" w:color="auto" w:sz="4" w:space="0"/>
              <w:right w:val="single" w:color="auto" w:sz="4" w:space="0"/>
            </w:tcBorders>
            <w:vAlign w:val="center"/>
          </w:tcPr>
          <w:p w14:paraId="059E66A2">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白色垃圾</w:t>
            </w:r>
          </w:p>
        </w:tc>
        <w:tc>
          <w:tcPr>
            <w:tcW w:w="1343" w:type="dxa"/>
            <w:tcBorders>
              <w:top w:val="single" w:color="auto" w:sz="4" w:space="0"/>
              <w:left w:val="single" w:color="auto" w:sz="4" w:space="0"/>
              <w:bottom w:val="single" w:color="auto" w:sz="4" w:space="0"/>
              <w:right w:val="single" w:color="auto" w:sz="4" w:space="0"/>
            </w:tcBorders>
            <w:vAlign w:val="center"/>
          </w:tcPr>
          <w:p w14:paraId="28D408B4">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清收</w:t>
            </w:r>
          </w:p>
        </w:tc>
        <w:tc>
          <w:tcPr>
            <w:tcW w:w="3591" w:type="dxa"/>
            <w:tcBorders>
              <w:top w:val="single" w:color="auto" w:sz="4" w:space="0"/>
              <w:left w:val="single" w:color="auto" w:sz="4" w:space="0"/>
              <w:bottom w:val="single" w:color="auto" w:sz="4" w:space="0"/>
              <w:right w:val="single" w:color="auto" w:sz="4" w:space="0"/>
            </w:tcBorders>
            <w:vAlign w:val="center"/>
          </w:tcPr>
          <w:p w14:paraId="695EAF8A">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发现随时。</w:t>
            </w:r>
          </w:p>
        </w:tc>
      </w:tr>
      <w:tr w14:paraId="3A81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Borders>
              <w:top w:val="single" w:color="auto" w:sz="4" w:space="0"/>
              <w:left w:val="single" w:color="auto" w:sz="4" w:space="0"/>
              <w:bottom w:val="single" w:color="auto" w:sz="4" w:space="0"/>
              <w:right w:val="single" w:color="auto" w:sz="4" w:space="0"/>
            </w:tcBorders>
            <w:vAlign w:val="center"/>
          </w:tcPr>
          <w:p w14:paraId="268C9642">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7</w:t>
            </w:r>
          </w:p>
        </w:tc>
        <w:tc>
          <w:tcPr>
            <w:tcW w:w="3926" w:type="dxa"/>
            <w:tcBorders>
              <w:top w:val="single" w:color="auto" w:sz="4" w:space="0"/>
              <w:left w:val="single" w:color="auto" w:sz="4" w:space="0"/>
              <w:bottom w:val="single" w:color="auto" w:sz="4" w:space="0"/>
              <w:right w:val="single" w:color="auto" w:sz="4" w:space="0"/>
            </w:tcBorders>
            <w:vAlign w:val="center"/>
          </w:tcPr>
          <w:p w14:paraId="7A6D1C31">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公共卫生间</w:t>
            </w:r>
          </w:p>
        </w:tc>
        <w:tc>
          <w:tcPr>
            <w:tcW w:w="1343" w:type="dxa"/>
            <w:tcBorders>
              <w:top w:val="single" w:color="auto" w:sz="4" w:space="0"/>
              <w:left w:val="single" w:color="auto" w:sz="4" w:space="0"/>
              <w:bottom w:val="single" w:color="auto" w:sz="4" w:space="0"/>
              <w:right w:val="single" w:color="auto" w:sz="4" w:space="0"/>
            </w:tcBorders>
            <w:vAlign w:val="center"/>
          </w:tcPr>
          <w:p w14:paraId="46DF892C">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清扫</w:t>
            </w:r>
          </w:p>
        </w:tc>
        <w:tc>
          <w:tcPr>
            <w:tcW w:w="3591" w:type="dxa"/>
            <w:tcBorders>
              <w:top w:val="single" w:color="auto" w:sz="4" w:space="0"/>
              <w:left w:val="single" w:color="auto" w:sz="4" w:space="0"/>
              <w:bottom w:val="single" w:color="auto" w:sz="4" w:space="0"/>
              <w:right w:val="single" w:color="auto" w:sz="4" w:space="0"/>
            </w:tcBorders>
            <w:vAlign w:val="center"/>
          </w:tcPr>
          <w:p w14:paraId="089E431E">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根据卫生程度，每日不低于2次，每周一次大扫除。</w:t>
            </w:r>
          </w:p>
        </w:tc>
      </w:tr>
      <w:tr w14:paraId="08BB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restart"/>
            <w:tcBorders>
              <w:top w:val="single" w:color="auto" w:sz="4" w:space="0"/>
              <w:left w:val="single" w:color="auto" w:sz="4" w:space="0"/>
              <w:bottom w:val="single" w:color="auto" w:sz="4" w:space="0"/>
              <w:right w:val="single" w:color="auto" w:sz="4" w:space="0"/>
            </w:tcBorders>
            <w:vAlign w:val="center"/>
          </w:tcPr>
          <w:p w14:paraId="1410359D">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8</w:t>
            </w:r>
          </w:p>
        </w:tc>
        <w:tc>
          <w:tcPr>
            <w:tcW w:w="3926" w:type="dxa"/>
            <w:vMerge w:val="restart"/>
            <w:tcBorders>
              <w:top w:val="single" w:color="auto" w:sz="4" w:space="0"/>
              <w:left w:val="single" w:color="auto" w:sz="4" w:space="0"/>
              <w:bottom w:val="single" w:color="auto" w:sz="4" w:space="0"/>
              <w:right w:val="single" w:color="auto" w:sz="4" w:space="0"/>
            </w:tcBorders>
            <w:vAlign w:val="center"/>
          </w:tcPr>
          <w:p w14:paraId="4CE586F9">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垃圾桶、果皮箱</w:t>
            </w:r>
          </w:p>
        </w:tc>
        <w:tc>
          <w:tcPr>
            <w:tcW w:w="1343" w:type="dxa"/>
            <w:tcBorders>
              <w:top w:val="single" w:color="auto" w:sz="4" w:space="0"/>
              <w:left w:val="single" w:color="auto" w:sz="4" w:space="0"/>
              <w:bottom w:val="single" w:color="auto" w:sz="4" w:space="0"/>
              <w:right w:val="single" w:color="auto" w:sz="4" w:space="0"/>
            </w:tcBorders>
            <w:vAlign w:val="center"/>
          </w:tcPr>
          <w:p w14:paraId="1C77EE7A">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清收</w:t>
            </w:r>
          </w:p>
        </w:tc>
        <w:tc>
          <w:tcPr>
            <w:tcW w:w="3591" w:type="dxa"/>
            <w:tcBorders>
              <w:top w:val="single" w:color="auto" w:sz="4" w:space="0"/>
              <w:left w:val="single" w:color="auto" w:sz="4" w:space="0"/>
              <w:bottom w:val="single" w:color="auto" w:sz="4" w:space="0"/>
              <w:right w:val="single" w:color="auto" w:sz="4" w:space="0"/>
            </w:tcBorders>
            <w:vAlign w:val="center"/>
          </w:tcPr>
          <w:p w14:paraId="40048700">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每日不低于2次。</w:t>
            </w:r>
          </w:p>
        </w:tc>
      </w:tr>
      <w:tr w14:paraId="47A4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14:paraId="2C60911B">
            <w:pPr>
              <w:rPr>
                <w:rFonts w:ascii="Times New Roman Regular" w:hAnsi="Times New Roman Regular" w:cs="Times New Roman Regular" w:eastAsiaTheme="minorEastAsia"/>
                <w:color w:val="auto"/>
                <w:highlight w:val="none"/>
              </w:rPr>
            </w:pPr>
          </w:p>
        </w:tc>
        <w:tc>
          <w:tcPr>
            <w:tcW w:w="3926" w:type="dxa"/>
            <w:vMerge w:val="continue"/>
            <w:tcBorders>
              <w:top w:val="single" w:color="auto" w:sz="4" w:space="0"/>
              <w:left w:val="single" w:color="auto" w:sz="4" w:space="0"/>
              <w:bottom w:val="single" w:color="auto" w:sz="4" w:space="0"/>
              <w:right w:val="single" w:color="auto" w:sz="4" w:space="0"/>
            </w:tcBorders>
            <w:vAlign w:val="center"/>
          </w:tcPr>
          <w:p w14:paraId="0FAB7DF8">
            <w:pPr>
              <w:rPr>
                <w:rFonts w:ascii="Times New Roman Regular" w:hAnsi="Times New Roman Regular" w:cs="Times New Roman Regular" w:eastAsiaTheme="minorEastAsia"/>
                <w:color w:val="auto"/>
                <w:highlight w:val="none"/>
              </w:rPr>
            </w:pPr>
          </w:p>
        </w:tc>
        <w:tc>
          <w:tcPr>
            <w:tcW w:w="1343" w:type="dxa"/>
            <w:tcBorders>
              <w:top w:val="single" w:color="auto" w:sz="4" w:space="0"/>
              <w:left w:val="single" w:color="auto" w:sz="4" w:space="0"/>
              <w:bottom w:val="single" w:color="auto" w:sz="4" w:space="0"/>
              <w:right w:val="single" w:color="auto" w:sz="4" w:space="0"/>
            </w:tcBorders>
            <w:vAlign w:val="center"/>
          </w:tcPr>
          <w:p w14:paraId="410C5FAC">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抹净</w:t>
            </w:r>
          </w:p>
        </w:tc>
        <w:tc>
          <w:tcPr>
            <w:tcW w:w="3591" w:type="dxa"/>
            <w:tcBorders>
              <w:top w:val="single" w:color="auto" w:sz="4" w:space="0"/>
              <w:left w:val="single" w:color="auto" w:sz="4" w:space="0"/>
              <w:bottom w:val="single" w:color="auto" w:sz="4" w:space="0"/>
              <w:right w:val="single" w:color="auto" w:sz="4" w:space="0"/>
            </w:tcBorders>
            <w:vAlign w:val="center"/>
          </w:tcPr>
          <w:p w14:paraId="12BF1564">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每周1次。</w:t>
            </w:r>
          </w:p>
        </w:tc>
      </w:tr>
      <w:tr w14:paraId="5E3C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Borders>
              <w:top w:val="single" w:color="auto" w:sz="4" w:space="0"/>
              <w:left w:val="single" w:color="auto" w:sz="4" w:space="0"/>
              <w:bottom w:val="single" w:color="auto" w:sz="4" w:space="0"/>
              <w:right w:val="single" w:color="auto" w:sz="4" w:space="0"/>
            </w:tcBorders>
            <w:vAlign w:val="center"/>
          </w:tcPr>
          <w:p w14:paraId="05BFA062">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9</w:t>
            </w:r>
          </w:p>
        </w:tc>
        <w:tc>
          <w:tcPr>
            <w:tcW w:w="3926" w:type="dxa"/>
            <w:tcBorders>
              <w:top w:val="single" w:color="auto" w:sz="4" w:space="0"/>
              <w:left w:val="single" w:color="auto" w:sz="4" w:space="0"/>
              <w:bottom w:val="single" w:color="auto" w:sz="4" w:space="0"/>
              <w:right w:val="single" w:color="auto" w:sz="4" w:space="0"/>
            </w:tcBorders>
            <w:vAlign w:val="center"/>
          </w:tcPr>
          <w:p w14:paraId="23787E82">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廊桥</w:t>
            </w:r>
          </w:p>
        </w:tc>
        <w:tc>
          <w:tcPr>
            <w:tcW w:w="1343" w:type="dxa"/>
            <w:tcBorders>
              <w:top w:val="single" w:color="auto" w:sz="4" w:space="0"/>
              <w:left w:val="single" w:color="auto" w:sz="4" w:space="0"/>
              <w:bottom w:val="single" w:color="auto" w:sz="4" w:space="0"/>
              <w:right w:val="single" w:color="auto" w:sz="4" w:space="0"/>
            </w:tcBorders>
            <w:vAlign w:val="center"/>
          </w:tcPr>
          <w:p w14:paraId="609A0FD3">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清扫、冲洗</w:t>
            </w:r>
          </w:p>
        </w:tc>
        <w:tc>
          <w:tcPr>
            <w:tcW w:w="3591" w:type="dxa"/>
            <w:tcBorders>
              <w:top w:val="single" w:color="auto" w:sz="4" w:space="0"/>
              <w:left w:val="single" w:color="auto" w:sz="4" w:space="0"/>
              <w:bottom w:val="single" w:color="auto" w:sz="4" w:space="0"/>
              <w:right w:val="single" w:color="auto" w:sz="4" w:space="0"/>
            </w:tcBorders>
            <w:vAlign w:val="center"/>
          </w:tcPr>
          <w:p w14:paraId="115E0040">
            <w:pPr>
              <w:rPr>
                <w:rFonts w:ascii="Times New Roman Regular" w:hAnsi="Times New Roman Regular" w:cs="Times New Roman Regular" w:eastAsiaTheme="minorEastAsia"/>
                <w:color w:val="auto"/>
                <w:highlight w:val="none"/>
              </w:rPr>
            </w:pPr>
            <w:r>
              <w:rPr>
                <w:rFonts w:ascii="Times New Roman Regular" w:hAnsi="Times New Roman Regular" w:cs="Times New Roman Regular" w:eastAsiaTheme="minorEastAsia"/>
                <w:color w:val="auto"/>
                <w:highlight w:val="none"/>
              </w:rPr>
              <w:t>清扫每周1次。</w:t>
            </w:r>
          </w:p>
        </w:tc>
      </w:tr>
    </w:tbl>
    <w:p w14:paraId="4AA10C84">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2.5室内区域保洁要求：原则上不全面开放，移交前完成整体开办清洁（执行专项服务标准并单独计费）；过程中临时开放，临时开放区域应在接到两院通知后及时完成该区域的保洁工作，达到正常使用标准。</w:t>
      </w:r>
    </w:p>
    <w:p w14:paraId="1F6A0D3B">
      <w:pPr>
        <w:widowControl/>
        <w:numPr>
          <w:ilvl w:val="0"/>
          <w:numId w:val="13"/>
        </w:numPr>
        <w:adjustRightInd w:val="0"/>
        <w:snapToGrid w:val="0"/>
        <w:spacing w:after="0" w:line="360" w:lineRule="auto"/>
        <w:ind w:firstLine="482" w:firstLineChars="200"/>
        <w:jc w:val="left"/>
        <w:rPr>
          <w:rFonts w:ascii="Times New Roman Regular" w:hAnsi="Times New Roman Regular" w:cs="Times New Roman Regular" w:eastAsiaTheme="minorEastAsia"/>
          <w:b/>
          <w:bCs/>
          <w:color w:val="auto"/>
          <w:sz w:val="24"/>
          <w:highlight w:val="none"/>
          <w:lang w:bidi="ar"/>
        </w:rPr>
      </w:pPr>
      <w:r>
        <w:rPr>
          <w:rFonts w:ascii="Times New Roman Regular" w:hAnsi="Times New Roman Regular" w:cs="Times New Roman Regular" w:eastAsiaTheme="minorEastAsia"/>
          <w:b/>
          <w:bCs/>
          <w:color w:val="auto"/>
          <w:sz w:val="24"/>
          <w:highlight w:val="none"/>
          <w:lang w:bidi="ar"/>
        </w:rPr>
        <w:t>安保服务</w:t>
      </w:r>
    </w:p>
    <w:p w14:paraId="428A4BC7">
      <w:pPr>
        <w:widowControl/>
        <w:adjustRightInd w:val="0"/>
        <w:snapToGrid w:val="0"/>
        <w:spacing w:line="360" w:lineRule="auto"/>
        <w:ind w:firstLine="482" w:firstLineChars="200"/>
        <w:jc w:val="left"/>
        <w:rPr>
          <w:rFonts w:ascii="Times New Roman Regular" w:hAnsi="Times New Roman Regular" w:cs="Times New Roman Regular" w:eastAsiaTheme="minorEastAsia"/>
          <w:b/>
          <w:bCs/>
          <w:color w:val="auto"/>
          <w:sz w:val="24"/>
          <w:highlight w:val="none"/>
        </w:rPr>
      </w:pPr>
      <w:r>
        <w:rPr>
          <w:rFonts w:ascii="Times New Roman Regular" w:hAnsi="Times New Roman Regular" w:cs="Times New Roman Regular" w:eastAsiaTheme="minorEastAsia"/>
          <w:b/>
          <w:bCs/>
          <w:color w:val="auto"/>
          <w:sz w:val="24"/>
          <w:highlight w:val="none"/>
          <w:lang w:bidi="ar"/>
        </w:rPr>
        <w:t>1.服务内容</w:t>
      </w:r>
    </w:p>
    <w:p w14:paraId="4E89E5BD">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1.1进出两院人员及车辆管理，进出物资查看管理。</w:t>
      </w:r>
    </w:p>
    <w:p w14:paraId="1B3F5256">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1.2两院日常安全巡查。</w:t>
      </w:r>
    </w:p>
    <w:p w14:paraId="67467C70">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1.3两院公共秩序维持。</w:t>
      </w:r>
    </w:p>
    <w:p w14:paraId="1620D4AB">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1.4平安校园指挥中心、消防控制室日常值守。</w:t>
      </w:r>
    </w:p>
    <w:p w14:paraId="048B60E4">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1.5两院安防设施、设备和消防设施、设备日常巡查。</w:t>
      </w:r>
    </w:p>
    <w:p w14:paraId="7210CA37">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1.6筹备期物资搬运的协同和检查，区域管理按局部开放，即停即走原则执行。</w:t>
      </w:r>
    </w:p>
    <w:p w14:paraId="092A9373">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1.7施工秩序管理：</w:t>
      </w:r>
    </w:p>
    <w:p w14:paraId="416752CE">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1.7.1施工许可：任何进入责任区域施工的单位均须遵守“高等学校物业服务规范”规定，取得施工许可。</w:t>
      </w:r>
    </w:p>
    <w:p w14:paraId="33E0933C">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1.7.2施工过程管理：施工安全定时定点巡逻、施工垃圾堆放及处置等。</w:t>
      </w:r>
    </w:p>
    <w:p w14:paraId="497D3BF0">
      <w:pPr>
        <w:widowControl/>
        <w:adjustRightInd w:val="0"/>
        <w:snapToGrid w:val="0"/>
        <w:spacing w:line="360" w:lineRule="auto"/>
        <w:ind w:firstLine="482" w:firstLineChars="200"/>
        <w:jc w:val="left"/>
        <w:rPr>
          <w:rFonts w:ascii="Times New Roman Regular" w:hAnsi="Times New Roman Regular" w:cs="Times New Roman Regular" w:eastAsiaTheme="minorEastAsia"/>
          <w:b/>
          <w:bCs/>
          <w:color w:val="auto"/>
          <w:sz w:val="24"/>
          <w:highlight w:val="none"/>
        </w:rPr>
      </w:pPr>
      <w:r>
        <w:rPr>
          <w:rFonts w:ascii="Times New Roman Regular" w:hAnsi="Times New Roman Regular" w:cs="Times New Roman Regular" w:eastAsiaTheme="minorEastAsia"/>
          <w:b/>
          <w:bCs/>
          <w:color w:val="auto"/>
          <w:sz w:val="24"/>
          <w:highlight w:val="none"/>
          <w:lang w:bidi="ar"/>
        </w:rPr>
        <w:t>2.服务要求及标准</w:t>
      </w:r>
    </w:p>
    <w:p w14:paraId="6471498A">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 xml:space="preserve">2.1建立外来人员登记薄，登记进入两院人员的身份信息、来校事由、联系人姓名职位等，做好人员进出和车辆规范停放管控。 </w:t>
      </w:r>
    </w:p>
    <w:p w14:paraId="691F2DCA">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2.2每个岗位安保人员应对管辖区域进行安全巡查，并做好巡查情况登记。</w:t>
      </w:r>
    </w:p>
    <w:p w14:paraId="6C2C857B">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2.3校园出现突发事件时，附近安保人员要立刻行动，第一时间到岗做好初期现场处置工作、维护在岗工作人员生命财产安全。及时报告院方，事态严重时应第一时间报警。</w:t>
      </w:r>
    </w:p>
    <w:p w14:paraId="0309BD7E">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2.4两院有临时接待活动期间，根据两院需求提供安保服务，统一着装、严明纪律，保持良好的精神面貌。</w:t>
      </w:r>
    </w:p>
    <w:p w14:paraId="27B73D5A">
      <w:pPr>
        <w:widowControl/>
        <w:numPr>
          <w:ilvl w:val="0"/>
          <w:numId w:val="13"/>
        </w:numPr>
        <w:adjustRightInd w:val="0"/>
        <w:snapToGrid w:val="0"/>
        <w:spacing w:after="0" w:line="360" w:lineRule="auto"/>
        <w:ind w:firstLine="482"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b/>
          <w:bCs/>
          <w:color w:val="auto"/>
          <w:sz w:val="24"/>
          <w:highlight w:val="none"/>
          <w:lang w:bidi="ar"/>
        </w:rPr>
        <w:t>绿化服务</w:t>
      </w:r>
      <w:r>
        <w:rPr>
          <w:rFonts w:ascii="Times New Roman Regular" w:hAnsi="Times New Roman Regular" w:cs="Times New Roman Regular" w:eastAsiaTheme="minorEastAsia"/>
          <w:color w:val="auto"/>
          <w:sz w:val="24"/>
          <w:highlight w:val="none"/>
          <w:lang w:bidi="ar"/>
        </w:rPr>
        <w:br w:type="textWrapping"/>
      </w:r>
      <w:r>
        <w:rPr>
          <w:rFonts w:ascii="Times New Roman Regular" w:hAnsi="Times New Roman Regular" w:cs="Times New Roman Regular" w:eastAsiaTheme="minorEastAsia"/>
          <w:color w:val="auto"/>
          <w:sz w:val="24"/>
          <w:highlight w:val="none"/>
          <w:lang w:bidi="ar"/>
        </w:rPr>
        <w:t xml:space="preserve">  </w:t>
      </w:r>
      <w:r>
        <w:rPr>
          <w:rFonts w:ascii="Times New Roman Regular" w:hAnsi="Times New Roman Regular" w:cs="Times New Roman Regular" w:eastAsiaTheme="minorEastAsia"/>
          <w:b/>
          <w:bCs/>
          <w:color w:val="auto"/>
          <w:sz w:val="24"/>
          <w:highlight w:val="none"/>
          <w:lang w:bidi="ar"/>
        </w:rPr>
        <w:t xml:space="preserve">  1.绿化范围及内容</w:t>
      </w:r>
    </w:p>
    <w:p w14:paraId="3BB9707A">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1.1负责对学院范围内的绿化带植物进行养护，包括乔灌木、草坪、花台、湿地及水生植物等；</w:t>
      </w:r>
    </w:p>
    <w:p w14:paraId="541CCD70">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1.2绿化养护管理工作的内容：植物的浇水排水、施肥、修剪、病虫害防治、松土除草、扶正支撑、落叶清扫、绿地容貌、安全施工等。</w:t>
      </w:r>
    </w:p>
    <w:p w14:paraId="700228B6">
      <w:pPr>
        <w:widowControl/>
        <w:adjustRightInd w:val="0"/>
        <w:snapToGrid w:val="0"/>
        <w:spacing w:line="360" w:lineRule="auto"/>
        <w:ind w:firstLine="482" w:firstLineChars="200"/>
        <w:jc w:val="left"/>
        <w:rPr>
          <w:rFonts w:ascii="Times New Roman Regular" w:hAnsi="Times New Roman Regular" w:cs="Times New Roman Regular" w:eastAsiaTheme="minorEastAsia"/>
          <w:b/>
          <w:bCs/>
          <w:color w:val="auto"/>
          <w:sz w:val="24"/>
          <w:highlight w:val="none"/>
          <w:lang w:bidi="ar"/>
        </w:rPr>
      </w:pPr>
      <w:r>
        <w:rPr>
          <w:rFonts w:ascii="Times New Roman Regular" w:hAnsi="Times New Roman Regular" w:cs="Times New Roman Regular" w:eastAsiaTheme="minorEastAsia"/>
          <w:b/>
          <w:bCs/>
          <w:color w:val="auto"/>
          <w:sz w:val="24"/>
          <w:highlight w:val="none"/>
          <w:lang w:bidi="ar"/>
        </w:rPr>
        <w:t>2.服务要求及标准</w:t>
      </w:r>
    </w:p>
    <w:p w14:paraId="1DE0C4F5">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2.1负责对主干道和步道周边绿化带区域植物的浇水排水。</w:t>
      </w:r>
    </w:p>
    <w:p w14:paraId="52F0A1C7">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2.2对主干道和步道周边绿化带区域植物进行适度施肥。</w:t>
      </w:r>
    </w:p>
    <w:p w14:paraId="747B20AA">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2.3对主干道和步道周边绿化带区域的灌木及部分草坪等进行基础修剪，维护较好观感，保持主道路灌木从的自然姿态。</w:t>
      </w:r>
    </w:p>
    <w:p w14:paraId="32A0FDA3">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2.4对绿化带区域的各类植物进行适度病虫害防治。</w:t>
      </w:r>
    </w:p>
    <w:p w14:paraId="652F34FF">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2.5对绿化带区域进行松土、除杂草，促进植物良好长势的环境。</w:t>
      </w:r>
    </w:p>
    <w:p w14:paraId="5F111238">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2.6对绿化带区域倾斜的乔灌木，进行支撑、扶正。</w:t>
      </w:r>
    </w:p>
    <w:p w14:paraId="2CF4EAA7">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2.7及时清理绿化范围内的草屑、落叶及树枝等残留物，保持绿地环境清洁。</w:t>
      </w:r>
    </w:p>
    <w:p w14:paraId="4ADAC941">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2.8开展绿化养护的各道工序时，做到以人为本，安全施工，文明作业。</w:t>
      </w:r>
    </w:p>
    <w:p w14:paraId="4667B27B">
      <w:pPr>
        <w:widowControl/>
        <w:numPr>
          <w:ilvl w:val="0"/>
          <w:numId w:val="13"/>
        </w:numPr>
        <w:adjustRightInd w:val="0"/>
        <w:snapToGrid w:val="0"/>
        <w:spacing w:after="0" w:line="360" w:lineRule="auto"/>
        <w:ind w:firstLine="482" w:firstLineChars="200"/>
        <w:jc w:val="left"/>
        <w:rPr>
          <w:rFonts w:ascii="Times New Roman Regular" w:hAnsi="Times New Roman Regular" w:cs="Times New Roman Regular" w:eastAsiaTheme="minorEastAsia"/>
          <w:b/>
          <w:bCs/>
          <w:color w:val="auto"/>
          <w:sz w:val="24"/>
          <w:highlight w:val="none"/>
          <w:lang w:bidi="ar"/>
        </w:rPr>
      </w:pPr>
      <w:r>
        <w:rPr>
          <w:rFonts w:ascii="Times New Roman Regular" w:hAnsi="Times New Roman Regular" w:cs="Times New Roman Regular" w:eastAsiaTheme="minorEastAsia"/>
          <w:b/>
          <w:bCs/>
          <w:color w:val="auto"/>
          <w:sz w:val="24"/>
          <w:highlight w:val="none"/>
          <w:lang w:bidi="ar"/>
        </w:rPr>
        <w:t>综合服务</w:t>
      </w:r>
    </w:p>
    <w:p w14:paraId="1336F9CB">
      <w:pPr>
        <w:widowControl/>
        <w:adjustRightInd w:val="0"/>
        <w:snapToGrid w:val="0"/>
        <w:spacing w:line="360" w:lineRule="auto"/>
        <w:ind w:firstLine="482" w:firstLineChars="200"/>
        <w:jc w:val="left"/>
        <w:rPr>
          <w:rFonts w:ascii="Times New Roman Regular" w:hAnsi="Times New Roman Regular" w:cs="Times New Roman Regular" w:eastAsiaTheme="minorEastAsia"/>
          <w:b/>
          <w:bCs/>
          <w:color w:val="auto"/>
          <w:sz w:val="24"/>
          <w:highlight w:val="none"/>
        </w:rPr>
      </w:pPr>
      <w:r>
        <w:rPr>
          <w:rFonts w:ascii="Times New Roman Regular" w:hAnsi="Times New Roman Regular" w:cs="Times New Roman Regular" w:eastAsiaTheme="minorEastAsia"/>
          <w:b/>
          <w:bCs/>
          <w:color w:val="auto"/>
          <w:sz w:val="24"/>
          <w:highlight w:val="none"/>
          <w:lang w:bidi="ar"/>
        </w:rPr>
        <w:t>1.服务内容</w:t>
      </w:r>
    </w:p>
    <w:p w14:paraId="3F19A3CF">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1.1负责学院临时会务活动配合工作，接待服务，场地调整和布置（大型活动除外）。</w:t>
      </w:r>
    </w:p>
    <w:p w14:paraId="55AE057A">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1.2负责学院筹备期各单位踏勘接待及讲解工作。</w:t>
      </w:r>
    </w:p>
    <w:p w14:paraId="10150BE4">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1.3负责学院筹备期各单位工作界面协调工作。</w:t>
      </w:r>
    </w:p>
    <w:p w14:paraId="1275D2E4">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1.4负责服务区域内所有品质巡查工作。</w:t>
      </w:r>
    </w:p>
    <w:p w14:paraId="4D283CFC">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rPr>
      </w:pPr>
      <w:r>
        <w:rPr>
          <w:rFonts w:ascii="Times New Roman Regular" w:hAnsi="Times New Roman Regular" w:cs="Times New Roman Regular" w:eastAsiaTheme="minorEastAsia"/>
          <w:color w:val="auto"/>
          <w:sz w:val="24"/>
          <w:highlight w:val="none"/>
          <w:lang w:bidi="ar"/>
        </w:rPr>
        <w:t>1.5负责服务区域因用途变化产生的搬运工作。</w:t>
      </w:r>
    </w:p>
    <w:p w14:paraId="1BB86651">
      <w:pPr>
        <w:widowControl/>
        <w:adjustRightInd w:val="0"/>
        <w:snapToGrid w:val="0"/>
        <w:spacing w:line="360" w:lineRule="auto"/>
        <w:ind w:firstLine="482" w:firstLineChars="200"/>
        <w:jc w:val="left"/>
        <w:rPr>
          <w:rFonts w:ascii="Times New Roman Regular" w:hAnsi="Times New Roman Regular" w:cs="Times New Roman Regular" w:eastAsiaTheme="minorEastAsia"/>
          <w:b/>
          <w:bCs/>
          <w:color w:val="auto"/>
          <w:sz w:val="24"/>
          <w:highlight w:val="none"/>
        </w:rPr>
      </w:pPr>
      <w:r>
        <w:rPr>
          <w:rFonts w:ascii="Times New Roman Regular" w:hAnsi="Times New Roman Regular" w:cs="Times New Roman Regular" w:eastAsiaTheme="minorEastAsia"/>
          <w:b/>
          <w:bCs/>
          <w:color w:val="auto"/>
          <w:sz w:val="24"/>
          <w:highlight w:val="none"/>
          <w:lang w:bidi="ar"/>
        </w:rPr>
        <w:t>2.服务要求及标准</w:t>
      </w:r>
    </w:p>
    <w:p w14:paraId="0C39F1F1">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2.1学院整体品质巡检，每周至少一次全覆盖巡检并形成记录；</w:t>
      </w:r>
    </w:p>
    <w:p w14:paraId="26036D17">
      <w:pPr>
        <w:widowControl/>
        <w:adjustRightInd w:val="0"/>
        <w:snapToGrid w:val="0"/>
        <w:spacing w:line="360" w:lineRule="auto"/>
        <w:ind w:firstLine="480" w:firstLineChars="200"/>
        <w:jc w:val="left"/>
        <w:rPr>
          <w:rFonts w:ascii="Times New Roman Regular" w:hAnsi="Times New Roman Regular" w:cs="Times New Roman Regular" w:eastAsiaTheme="minorEastAsia"/>
          <w:color w:val="auto"/>
          <w:sz w:val="24"/>
          <w:highlight w:val="none"/>
          <w:lang w:bidi="ar"/>
        </w:rPr>
      </w:pPr>
      <w:r>
        <w:rPr>
          <w:rFonts w:ascii="Times New Roman Regular" w:hAnsi="Times New Roman Regular" w:cs="Times New Roman Regular" w:eastAsiaTheme="minorEastAsia"/>
          <w:color w:val="auto"/>
          <w:sz w:val="24"/>
          <w:highlight w:val="none"/>
          <w:lang w:bidi="ar"/>
        </w:rPr>
        <w:t>2.2接待服务工作按需完成，不出现因接待不周产生的投诉事件。</w:t>
      </w:r>
    </w:p>
    <w:bookmarkEnd w:id="527"/>
    <w:p w14:paraId="0A66AF66">
      <w:pPr>
        <w:spacing w:after="120" w:line="360" w:lineRule="auto"/>
        <w:rPr>
          <w:rFonts w:ascii="Times New Roman Regular" w:hAnsi="Times New Roman Regular" w:cs="Times New Roman Regular"/>
          <w:color w:val="auto"/>
          <w:sz w:val="24"/>
          <w:highlight w:val="none"/>
        </w:rPr>
      </w:pPr>
      <w:bookmarkStart w:id="529" w:name="_Toc13234"/>
    </w:p>
    <w:bookmarkEnd w:id="529"/>
    <w:p w14:paraId="206382A5">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lang w:bidi="ar"/>
        </w:rPr>
      </w:pPr>
    </w:p>
    <w:p w14:paraId="2497BC53">
      <w:pPr>
        <w:rPr>
          <w:rFonts w:hint="eastAsia" w:asciiTheme="minorEastAsia" w:hAnsiTheme="minorEastAsia" w:eastAsiaTheme="minorEastAsia" w:cstheme="minorEastAsia"/>
          <w:b/>
          <w:bCs/>
          <w:color w:val="auto"/>
          <w:sz w:val="36"/>
          <w:szCs w:val="30"/>
          <w:highlight w:val="none"/>
        </w:rPr>
      </w:pPr>
      <w:r>
        <w:rPr>
          <w:rFonts w:hint="eastAsia" w:asciiTheme="minorEastAsia" w:hAnsiTheme="minorEastAsia" w:eastAsiaTheme="minorEastAsia" w:cstheme="minorEastAsia"/>
          <w:b/>
          <w:bCs/>
          <w:color w:val="auto"/>
          <w:sz w:val="36"/>
          <w:szCs w:val="30"/>
          <w:highlight w:val="none"/>
        </w:rPr>
        <w:br w:type="page"/>
      </w:r>
    </w:p>
    <w:bookmarkEnd w:id="519"/>
    <w:bookmarkEnd w:id="520"/>
    <w:bookmarkEnd w:id="521"/>
    <w:bookmarkEnd w:id="522"/>
    <w:bookmarkEnd w:id="523"/>
    <w:bookmarkEnd w:id="524"/>
    <w:bookmarkEnd w:id="525"/>
    <w:p w14:paraId="6C208175">
      <w:pPr>
        <w:widowControl/>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开办清洁验收标准</w:t>
      </w:r>
    </w:p>
    <w:p w14:paraId="36136662">
      <w:pPr>
        <w:numPr>
          <w:ilvl w:val="0"/>
          <w:numId w:val="14"/>
        </w:numPr>
        <w:spacing w:after="0" w:line="360" w:lineRule="auto"/>
        <w:ind w:firstLine="422" w:firstLineChars="175"/>
        <w:rPr>
          <w:rFonts w:ascii="Times New Roman Regular" w:hAnsi="Times New Roman Regular" w:cs="Times New Roman Regular"/>
          <w:b/>
          <w:bCs/>
          <w:color w:val="auto"/>
          <w:sz w:val="24"/>
          <w:highlight w:val="none"/>
        </w:rPr>
      </w:pPr>
      <w:r>
        <w:rPr>
          <w:rFonts w:ascii="Times New Roman Regular" w:hAnsi="Times New Roman Regular" w:cs="Times New Roman Regular"/>
          <w:b/>
          <w:bCs/>
          <w:color w:val="auto"/>
          <w:sz w:val="24"/>
          <w:highlight w:val="none"/>
        </w:rPr>
        <w:t>清洁范围：</w:t>
      </w:r>
    </w:p>
    <w:p w14:paraId="214B8144">
      <w:pPr>
        <w:spacing w:after="0" w:line="360" w:lineRule="auto"/>
        <w:ind w:firstLine="480" w:firstLineChars="200"/>
        <w:rPr>
          <w:rFonts w:ascii="Times New Roman Regular" w:hAnsi="Times New Roman Regular" w:cs="Times New Roman Regular"/>
          <w:color w:val="auto"/>
          <w:sz w:val="24"/>
          <w:highlight w:val="none"/>
        </w:rPr>
      </w:pPr>
      <w:r>
        <w:rPr>
          <w:rFonts w:hint="eastAsia" w:ascii="宋体" w:hAnsi="宋体" w:cs="宋体"/>
          <w:color w:val="auto"/>
          <w:sz w:val="24"/>
          <w:highlight w:val="none"/>
        </w:rPr>
        <w:t>（一）</w:t>
      </w:r>
      <w:r>
        <w:rPr>
          <w:rFonts w:ascii="Times New Roman Regular" w:hAnsi="Times New Roman Regular" w:cs="Times New Roman Regular"/>
          <w:color w:val="auto"/>
          <w:sz w:val="24"/>
          <w:highlight w:val="none"/>
        </w:rPr>
        <w:t>常规清洁范围，包含不限于公区天地墙、户内天地墙、地下室地面、建筑物外立面（含门窗、栏杆等）、设备房、大堂入口门廊、户内设施设备、与主体结构相连的雨棚。大致细分如下：</w:t>
      </w:r>
    </w:p>
    <w:p w14:paraId="68AAC200">
      <w:pPr>
        <w:numPr>
          <w:ilvl w:val="0"/>
          <w:numId w:val="15"/>
        </w:numPr>
        <w:adjustRightInd w:val="0"/>
        <w:snapToGrid w:val="0"/>
        <w:spacing w:after="0" w:line="360" w:lineRule="auto"/>
        <w:ind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以楼栋大堂入户门为界线，楼栋内所有地面、墙面、公共楼道（含消防楼梯）、电梯前室、相关设施如：扶手、单元门、消防箱、照明灯具、消防防火门、电（水表间）门、门框（包含清除保护膜）等清洁。</w:t>
      </w:r>
    </w:p>
    <w:p w14:paraId="79E171F5">
      <w:pPr>
        <w:numPr>
          <w:ilvl w:val="0"/>
          <w:numId w:val="15"/>
        </w:numPr>
        <w:adjustRightInd w:val="0"/>
        <w:snapToGrid w:val="0"/>
        <w:spacing w:after="0" w:line="360" w:lineRule="auto"/>
        <w:ind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室内地面、梯间、露台、栏杆、管道表面、百叶、铝合金框架、沟槽、玻璃、外墙玻璃皮等。</w:t>
      </w:r>
    </w:p>
    <w:p w14:paraId="58DDBCCA">
      <w:pPr>
        <w:numPr>
          <w:ilvl w:val="0"/>
          <w:numId w:val="15"/>
        </w:numPr>
        <w:adjustRightInd w:val="0"/>
        <w:snapToGrid w:val="0"/>
        <w:spacing w:after="0" w:line="360" w:lineRule="auto"/>
        <w:ind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入户门、玻璃门窗内外（玻璃使用玻璃清洁剂刮净、如在清洁过程中发现有损伤应及时通知相关负责人）、室内天花、墙面。</w:t>
      </w:r>
    </w:p>
    <w:p w14:paraId="4DA063BA">
      <w:pPr>
        <w:numPr>
          <w:ilvl w:val="0"/>
          <w:numId w:val="15"/>
        </w:numPr>
        <w:adjustRightInd w:val="0"/>
        <w:snapToGrid w:val="0"/>
        <w:spacing w:after="0" w:line="360" w:lineRule="auto"/>
        <w:ind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大厅内外玻璃及附件、落水管表面。</w:t>
      </w:r>
    </w:p>
    <w:p w14:paraId="1D1EC850">
      <w:pPr>
        <w:numPr>
          <w:ilvl w:val="0"/>
          <w:numId w:val="15"/>
        </w:numPr>
        <w:adjustRightInd w:val="0"/>
        <w:snapToGrid w:val="0"/>
        <w:spacing w:after="0" w:line="360" w:lineRule="auto"/>
        <w:ind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楼栋范围内的如，电梯、扶梯、小品、玻璃，高位部位等。</w:t>
      </w:r>
    </w:p>
    <w:p w14:paraId="40F7749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（二）精清洁范围：根据比选人要求对指定区域的地面石材及玻璃（幕墙、门窗等）等进行不少于一次的专业化深度清洁，并进行后续持续保养维护。</w:t>
      </w:r>
    </w:p>
    <w:p w14:paraId="703F876F">
      <w:pPr>
        <w:numPr>
          <w:ilvl w:val="0"/>
          <w:numId w:val="14"/>
        </w:numPr>
        <w:spacing w:after="0" w:line="360" w:lineRule="auto"/>
        <w:ind w:firstLine="422" w:firstLineChars="175"/>
        <w:rPr>
          <w:rFonts w:ascii="Times New Roman Regular" w:hAnsi="Times New Roman Regular" w:cs="Times New Roman Regular"/>
          <w:b/>
          <w:bCs/>
          <w:color w:val="auto"/>
          <w:sz w:val="24"/>
          <w:highlight w:val="none"/>
        </w:rPr>
      </w:pPr>
      <w:r>
        <w:rPr>
          <w:rFonts w:ascii="Times New Roman Regular" w:hAnsi="Times New Roman Regular" w:cs="Times New Roman Regular"/>
          <w:b/>
          <w:bCs/>
          <w:color w:val="auto"/>
          <w:sz w:val="24"/>
          <w:highlight w:val="none"/>
        </w:rPr>
        <w:t>验收标准：</w:t>
      </w:r>
      <w:r>
        <w:rPr>
          <w:rFonts w:ascii="Times New Roman Regular" w:hAnsi="Times New Roman Regular" w:cs="Times New Roman Regular"/>
          <w:b/>
          <w:bCs/>
          <w:color w:val="auto"/>
          <w:sz w:val="24"/>
          <w:highlight w:val="none"/>
        </w:rPr>
        <w:br w:type="textWrapping"/>
      </w:r>
      <w:r>
        <w:rPr>
          <w:rFonts w:ascii="Times New Roman Regular" w:hAnsi="Times New Roman Regular" w:cs="Times New Roman Regular"/>
          <w:b/>
          <w:bCs/>
          <w:color w:val="auto"/>
          <w:sz w:val="24"/>
          <w:highlight w:val="none"/>
        </w:rPr>
        <w:t xml:space="preserve">   各区域或部位完成清洁标准原则：</w:t>
      </w:r>
    </w:p>
    <w:p w14:paraId="503BA655">
      <w:pPr>
        <w:numPr>
          <w:ilvl w:val="0"/>
          <w:numId w:val="16"/>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地面：无污渍、无水泥块、无积水、无垃圾、无拖痕；</w:t>
      </w:r>
    </w:p>
    <w:p w14:paraId="1B68F235">
      <w:pPr>
        <w:numPr>
          <w:ilvl w:val="0"/>
          <w:numId w:val="16"/>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墙面：无污渍、无粘贴物；</w:t>
      </w:r>
    </w:p>
    <w:p w14:paraId="2420A13D">
      <w:pPr>
        <w:numPr>
          <w:ilvl w:val="0"/>
          <w:numId w:val="16"/>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电梯：无污渍、无锈迹、无水泥垢；</w:t>
      </w:r>
    </w:p>
    <w:p w14:paraId="12D66DAA">
      <w:pPr>
        <w:numPr>
          <w:ilvl w:val="0"/>
          <w:numId w:val="16"/>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玻璃：玻璃门窗（包括窗框、窗台、窗槽）：无灰尘、无污迹。玻璃门窗无划痕，若在清洁前产生的划痕（玻璃或铝合金窗框上，报甲方协调厂家），由厂家自行处理；</w:t>
      </w:r>
    </w:p>
    <w:p w14:paraId="4739D7B1">
      <w:pPr>
        <w:numPr>
          <w:ilvl w:val="0"/>
          <w:numId w:val="16"/>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铝合金窗框等沟槽内无粘贴物、无水泥垢、无尘沙、无污渍等；</w:t>
      </w:r>
    </w:p>
    <w:p w14:paraId="11147F57">
      <w:pPr>
        <w:numPr>
          <w:ilvl w:val="0"/>
          <w:numId w:val="16"/>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指示牌： 无污渍、无锈迹；</w:t>
      </w:r>
    </w:p>
    <w:p w14:paraId="5A65DE82">
      <w:pPr>
        <w:numPr>
          <w:ilvl w:val="0"/>
          <w:numId w:val="16"/>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信报箱：无锈迹，无水泥垢；</w:t>
      </w:r>
    </w:p>
    <w:p w14:paraId="1115FA05">
      <w:pPr>
        <w:numPr>
          <w:ilvl w:val="0"/>
          <w:numId w:val="16"/>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单元大门: 无污渍、元粘贴物、目视无积尘；</w:t>
      </w:r>
    </w:p>
    <w:p w14:paraId="13254EA9">
      <w:pPr>
        <w:numPr>
          <w:ilvl w:val="0"/>
          <w:numId w:val="16"/>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防火门、水电表间门、消火栓：无污渍、目视无积尘、无粘贴物；</w:t>
      </w:r>
    </w:p>
    <w:p w14:paraId="19476FC1">
      <w:pPr>
        <w:numPr>
          <w:ilvl w:val="0"/>
          <w:numId w:val="16"/>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管道：无污渍、无水泥块、无积灰、无杂物、无胶渍；</w:t>
      </w:r>
    </w:p>
    <w:p w14:paraId="64970817">
      <w:pPr>
        <w:numPr>
          <w:ilvl w:val="0"/>
          <w:numId w:val="16"/>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梯步：无污渍、无水泥块、无积灰、无杂物；</w:t>
      </w:r>
    </w:p>
    <w:p w14:paraId="111E576A">
      <w:pPr>
        <w:numPr>
          <w:ilvl w:val="0"/>
          <w:numId w:val="16"/>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窗框、窗槽：无污渍、目视无积尘、无施工阶段的保护胶条、无清洗后的表面损伤；</w:t>
      </w:r>
    </w:p>
    <w:p w14:paraId="540C370D">
      <w:pPr>
        <w:numPr>
          <w:ilvl w:val="0"/>
          <w:numId w:val="16"/>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屋顶：无污渍、无水泥块、无施工遗弃物；</w:t>
      </w:r>
    </w:p>
    <w:p w14:paraId="73A8DABE">
      <w:pPr>
        <w:numPr>
          <w:ilvl w:val="0"/>
          <w:numId w:val="16"/>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天沟：无积沙，排水畅通；</w:t>
      </w:r>
    </w:p>
    <w:p w14:paraId="2FDC8FE1">
      <w:pPr>
        <w:numPr>
          <w:ilvl w:val="0"/>
          <w:numId w:val="16"/>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露台：无污染、无垃圾；</w:t>
      </w:r>
    </w:p>
    <w:p w14:paraId="3B887119">
      <w:pPr>
        <w:numPr>
          <w:ilvl w:val="0"/>
          <w:numId w:val="16"/>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卫生间：无污染，无垃圾，无水泥石块，目视无积尘。</w:t>
      </w:r>
    </w:p>
    <w:p w14:paraId="7C67950F">
      <w:pPr>
        <w:numPr>
          <w:ilvl w:val="0"/>
          <w:numId w:val="16"/>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hint="eastAsia" w:ascii="Times New Roman Regular" w:hAnsi="Times New Roman Regular" w:cs="Times New Roman Regular"/>
          <w:color w:val="auto"/>
          <w:sz w:val="24"/>
          <w:highlight w:val="none"/>
        </w:rPr>
        <w:t>精清洁标准：</w:t>
      </w:r>
    </w:p>
    <w:p w14:paraId="2CCE5D82">
      <w:pPr>
        <w:adjustRightInd w:val="0"/>
        <w:snapToGrid w:val="0"/>
        <w:spacing w:after="0" w:line="360" w:lineRule="auto"/>
        <w:ind w:left="480"/>
        <w:rPr>
          <w:rFonts w:ascii="Times New Roman Regular" w:hAnsi="Times New Roman Regular" w:cs="Times New Roman Regular"/>
          <w:color w:val="auto"/>
          <w:sz w:val="24"/>
          <w:highlight w:val="none"/>
        </w:rPr>
      </w:pPr>
      <w:r>
        <w:rPr>
          <w:rFonts w:hint="eastAsia" w:ascii="Times New Roman Regular" w:hAnsi="Times New Roman Regular" w:cs="Times New Roman Regular"/>
          <w:color w:val="auto"/>
          <w:sz w:val="24"/>
          <w:highlight w:val="none"/>
        </w:rPr>
        <w:t>地面石材:清洁、去污、无缝处理、石材抛光及结晶（含后续保养）等，需达到表面洁净无污、接缝清晰、整体光亮。</w:t>
      </w:r>
    </w:p>
    <w:p w14:paraId="03E5FDDA">
      <w:pPr>
        <w:adjustRightInd w:val="0"/>
        <w:snapToGrid w:val="0"/>
        <w:spacing w:after="0" w:line="360" w:lineRule="auto"/>
        <w:ind w:left="480"/>
        <w:rPr>
          <w:rFonts w:ascii="Times New Roman Regular" w:hAnsi="Times New Roman Regular" w:cs="Times New Roman Regular"/>
          <w:color w:val="auto"/>
          <w:sz w:val="24"/>
          <w:highlight w:val="none"/>
        </w:rPr>
      </w:pPr>
      <w:r>
        <w:rPr>
          <w:rFonts w:hint="eastAsia" w:ascii="Times New Roman Regular" w:hAnsi="Times New Roman Regular" w:cs="Times New Roman Regular"/>
          <w:color w:val="auto"/>
          <w:sz w:val="24"/>
          <w:highlight w:val="none"/>
        </w:rPr>
        <w:t>玻璃：清洁玻璃及边框，需达到内外表面通透、无水痕、无手印、无条纹。</w:t>
      </w:r>
    </w:p>
    <w:p w14:paraId="29483B76">
      <w:pPr>
        <w:adjustRightInd w:val="0"/>
        <w:snapToGrid w:val="0"/>
        <w:spacing w:after="0" w:line="360" w:lineRule="auto"/>
        <w:ind w:left="480"/>
        <w:rPr>
          <w:rFonts w:ascii="Times New Roman Regular" w:hAnsi="Times New Roman Regular" w:cs="Times New Roman Regular"/>
          <w:color w:val="auto"/>
          <w:sz w:val="24"/>
          <w:highlight w:val="none"/>
        </w:rPr>
      </w:pPr>
      <w:r>
        <w:rPr>
          <w:rFonts w:hint="eastAsia" w:ascii="Times New Roman Regular" w:hAnsi="Times New Roman Regular" w:cs="Times New Roman Regular"/>
          <w:color w:val="auto"/>
          <w:sz w:val="24"/>
          <w:highlight w:val="none"/>
        </w:rPr>
        <w:t>其他区域按照采购方要求具体执行。</w:t>
      </w:r>
    </w:p>
    <w:p w14:paraId="531DD83C">
      <w:pPr>
        <w:spacing w:after="0" w:line="360" w:lineRule="auto"/>
        <w:ind w:firstLine="482" w:firstLineChars="200"/>
        <w:rPr>
          <w:rFonts w:ascii="Times New Roman Regular" w:hAnsi="Times New Roman Regular" w:cs="Times New Roman Regular"/>
          <w:b/>
          <w:bCs/>
          <w:color w:val="auto"/>
          <w:sz w:val="24"/>
          <w:highlight w:val="none"/>
        </w:rPr>
      </w:pPr>
      <w:r>
        <w:rPr>
          <w:rFonts w:ascii="Times New Roman Regular" w:hAnsi="Times New Roman Regular" w:cs="Times New Roman Regular"/>
          <w:b/>
          <w:bCs/>
          <w:color w:val="auto"/>
          <w:sz w:val="24"/>
          <w:highlight w:val="none"/>
        </w:rPr>
        <w:t>具体点位的清洁完成标准原则：</w:t>
      </w:r>
    </w:p>
    <w:p w14:paraId="3AFD62BE">
      <w:pPr>
        <w:numPr>
          <w:ilvl w:val="0"/>
          <w:numId w:val="17"/>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内外玻璃清洁标准：目视无水痕、无手印、洁净光亮，框缝无尘土、洁净，窗台下手摸光滑无尘土。</w:t>
      </w:r>
    </w:p>
    <w:p w14:paraId="25C1F0E9">
      <w:pPr>
        <w:numPr>
          <w:ilvl w:val="0"/>
          <w:numId w:val="17"/>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卫生间清洁标准：墙体、柜:无杂物、无污渍，洁具触摸光滑、有光泽、无异味、手摸无浮尘。</w:t>
      </w:r>
    </w:p>
    <w:p w14:paraId="1C43E4FA">
      <w:pPr>
        <w:numPr>
          <w:ilvl w:val="0"/>
          <w:numId w:val="17"/>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门及框清洁标准：手摸光滑、无污渍、沿口处无尘无死角，有光泽、手摸无浮尘。</w:t>
      </w:r>
    </w:p>
    <w:p w14:paraId="73B4057D">
      <w:pPr>
        <w:numPr>
          <w:ilvl w:val="0"/>
          <w:numId w:val="17"/>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地面清洁标准：无污渍、地板光滑有光泽，石材无手摸无浮尘。</w:t>
      </w:r>
    </w:p>
    <w:p w14:paraId="5C436EDD">
      <w:pPr>
        <w:numPr>
          <w:ilvl w:val="0"/>
          <w:numId w:val="17"/>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地角线清洁标准：无污渍、洁净、无胶渍、手摸无浮尘。瓷砖清洁标准:无涂料点、无水泥渍、手摸无浮尘。</w:t>
      </w:r>
    </w:p>
    <w:p w14:paraId="22010834">
      <w:pPr>
        <w:numPr>
          <w:ilvl w:val="0"/>
          <w:numId w:val="17"/>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石材清洁标准：无污渍、无胶点、手摸无浮尘。</w:t>
      </w:r>
    </w:p>
    <w:p w14:paraId="1CA4664B">
      <w:pPr>
        <w:numPr>
          <w:ilvl w:val="0"/>
          <w:numId w:val="17"/>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栏杆清洁标准：手摸光滑、无尘土、无污渍。</w:t>
      </w:r>
    </w:p>
    <w:p w14:paraId="69F515F3">
      <w:pPr>
        <w:numPr>
          <w:ilvl w:val="0"/>
          <w:numId w:val="17"/>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吊顶清洁标准：无污渍、无胶点、手摸无浮尘。</w:t>
      </w:r>
    </w:p>
    <w:p w14:paraId="7A57E8C9">
      <w:pPr>
        <w:numPr>
          <w:ilvl w:val="0"/>
          <w:numId w:val="17"/>
        </w:numPr>
        <w:adjustRightInd w:val="0"/>
        <w:snapToGrid w:val="0"/>
        <w:spacing w:after="0" w:line="360" w:lineRule="auto"/>
        <w:ind w:left="0" w:firstLine="480" w:firstLineChars="200"/>
        <w:rPr>
          <w:rFonts w:ascii="Times New Roman Regular" w:hAnsi="Times New Roman Regular" w:cs="Times New Roman Regular"/>
          <w:color w:val="auto"/>
          <w:sz w:val="24"/>
          <w:highlight w:val="none"/>
        </w:rPr>
      </w:pPr>
      <w:r>
        <w:rPr>
          <w:rFonts w:ascii="Times New Roman Regular" w:hAnsi="Times New Roman Regular" w:cs="Times New Roman Regular"/>
          <w:color w:val="auto"/>
          <w:sz w:val="24"/>
          <w:highlight w:val="none"/>
        </w:rPr>
        <w:t>其他清洁标准：墙体、柜无杂物、无污渍无尘土，瓷砖表面洁净，手摸光滑，有光泽、手摸无浮尘。</w:t>
      </w:r>
    </w:p>
    <w:p w14:paraId="198A5B3C">
      <w:pPr>
        <w:widowControl/>
        <w:jc w:val="left"/>
        <w:rPr>
          <w:color w:val="auto"/>
          <w:highlight w:val="none"/>
        </w:rPr>
      </w:pPr>
      <w:r>
        <w:rPr>
          <w:color w:val="auto"/>
          <w:highlight w:val="none"/>
        </w:rPr>
        <w:br w:type="page"/>
      </w:r>
      <w:r>
        <w:rPr>
          <w:color w:val="auto"/>
          <w:highlight w:val="none"/>
        </w:rPr>
        <w:br w:type="page"/>
      </w:r>
    </w:p>
    <w:p w14:paraId="6BDADC25">
      <w:pPr>
        <w:widowControl/>
        <w:numPr>
          <w:ilvl w:val="0"/>
          <w:numId w:val="0"/>
        </w:numPr>
        <w:adjustRightInd w:val="0"/>
        <w:snapToGrid w:val="0"/>
        <w:spacing w:after="0"/>
        <w:ind w:left="142" w:firstLine="0"/>
        <w:jc w:val="left"/>
        <w:rPr>
          <w:rFonts w:ascii="Times New Roman Regular" w:hAnsi="Times New Roman Regular" w:cs="Times New Roman Regular" w:eastAsiaTheme="minorEastAsia"/>
          <w:b/>
          <w:bCs/>
          <w:color w:val="auto"/>
          <w:sz w:val="24"/>
          <w:highlight w:val="none"/>
          <w:lang w:bidi="ar"/>
        </w:rPr>
      </w:pPr>
      <w:r>
        <w:rPr>
          <w:rFonts w:hint="eastAsia" w:ascii="宋体" w:hAnsi="宋体" w:cstheme="minorEastAsia"/>
          <w:b/>
          <w:bCs/>
          <w:color w:val="auto"/>
          <w:sz w:val="24"/>
          <w:highlight w:val="none"/>
          <w:lang w:bidi="ar"/>
        </w:rPr>
        <w:t>八、</w:t>
      </w:r>
      <w:r>
        <w:rPr>
          <w:rFonts w:ascii="Times New Roman Regular" w:hAnsi="Times New Roman Regular" w:cs="Times New Roman Regular" w:eastAsiaTheme="minorEastAsia"/>
          <w:b/>
          <w:bCs/>
          <w:color w:val="auto"/>
          <w:sz w:val="24"/>
          <w:highlight w:val="none"/>
          <w:lang w:bidi="ar"/>
        </w:rPr>
        <w:t>考核方式</w:t>
      </w:r>
    </w:p>
    <w:p w14:paraId="463C5EFE">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物业服务测评标准</w:t>
      </w:r>
    </w:p>
    <w:tbl>
      <w:tblPr>
        <w:tblStyle w:val="48"/>
        <w:tblW w:w="8928" w:type="dxa"/>
        <w:jc w:val="center"/>
        <w:tblLayout w:type="fixed"/>
        <w:tblCellMar>
          <w:top w:w="0" w:type="dxa"/>
          <w:left w:w="108" w:type="dxa"/>
          <w:bottom w:w="0" w:type="dxa"/>
          <w:right w:w="108" w:type="dxa"/>
        </w:tblCellMar>
      </w:tblPr>
      <w:tblGrid>
        <w:gridCol w:w="594"/>
        <w:gridCol w:w="967"/>
        <w:gridCol w:w="2167"/>
        <w:gridCol w:w="4466"/>
        <w:gridCol w:w="734"/>
      </w:tblGrid>
      <w:tr w14:paraId="30CB5A5B">
        <w:tblPrEx>
          <w:tblCellMar>
            <w:top w:w="0" w:type="dxa"/>
            <w:left w:w="108" w:type="dxa"/>
            <w:bottom w:w="0" w:type="dxa"/>
            <w:right w:w="108" w:type="dxa"/>
          </w:tblCellMar>
        </w:tblPrEx>
        <w:trPr>
          <w:trHeight w:val="336" w:hRule="atLeast"/>
          <w:jc w:val="center"/>
        </w:trPr>
        <w:tc>
          <w:tcPr>
            <w:tcW w:w="594" w:type="dxa"/>
            <w:tcBorders>
              <w:top w:val="single" w:color="000000" w:sz="4" w:space="0"/>
              <w:left w:val="single" w:color="000000" w:sz="4" w:space="0"/>
              <w:bottom w:val="single" w:color="000000" w:sz="4" w:space="0"/>
              <w:right w:val="single" w:color="000000" w:sz="4" w:space="0"/>
            </w:tcBorders>
            <w:vAlign w:val="center"/>
          </w:tcPr>
          <w:p w14:paraId="15151150">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Style w:val="320"/>
                <w:rFonts w:hint="eastAsia" w:asciiTheme="minorEastAsia" w:hAnsiTheme="minorEastAsia" w:eastAsiaTheme="minorEastAsia" w:cstheme="minorEastAsia"/>
                <w:color w:val="auto"/>
                <w:sz w:val="24"/>
                <w:szCs w:val="24"/>
                <w:highlight w:val="none"/>
                <w:lang w:bidi="ar"/>
              </w:rPr>
              <w:t>序号</w:t>
            </w:r>
          </w:p>
        </w:tc>
        <w:tc>
          <w:tcPr>
            <w:tcW w:w="967" w:type="dxa"/>
            <w:tcBorders>
              <w:top w:val="single" w:color="000000" w:sz="4" w:space="0"/>
              <w:left w:val="single" w:color="000000" w:sz="4" w:space="0"/>
              <w:bottom w:val="single" w:color="000000" w:sz="4" w:space="0"/>
              <w:right w:val="single" w:color="000000" w:sz="4" w:space="0"/>
            </w:tcBorders>
            <w:vAlign w:val="center"/>
          </w:tcPr>
          <w:p w14:paraId="6445F823">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Style w:val="320"/>
                <w:rFonts w:hint="eastAsia" w:asciiTheme="minorEastAsia" w:hAnsiTheme="minorEastAsia" w:eastAsiaTheme="minorEastAsia" w:cstheme="minorEastAsia"/>
                <w:color w:val="auto"/>
                <w:sz w:val="24"/>
                <w:szCs w:val="24"/>
                <w:highlight w:val="none"/>
                <w:lang w:bidi="ar"/>
              </w:rPr>
              <w:t>评价项</w:t>
            </w:r>
          </w:p>
        </w:tc>
        <w:tc>
          <w:tcPr>
            <w:tcW w:w="2167" w:type="dxa"/>
            <w:tcBorders>
              <w:top w:val="single" w:color="000000" w:sz="4" w:space="0"/>
              <w:left w:val="single" w:color="000000" w:sz="4" w:space="0"/>
              <w:bottom w:val="single" w:color="000000" w:sz="4" w:space="0"/>
              <w:right w:val="single" w:color="000000" w:sz="4" w:space="0"/>
            </w:tcBorders>
            <w:vAlign w:val="center"/>
          </w:tcPr>
          <w:p w14:paraId="6B4D3AE4">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Style w:val="320"/>
                <w:rFonts w:hint="eastAsia" w:asciiTheme="minorEastAsia" w:hAnsiTheme="minorEastAsia" w:eastAsiaTheme="minorEastAsia" w:cstheme="minorEastAsia"/>
                <w:color w:val="auto"/>
                <w:sz w:val="24"/>
                <w:szCs w:val="24"/>
                <w:highlight w:val="none"/>
                <w:lang w:bidi="ar"/>
              </w:rPr>
              <w:t>评价子项目</w:t>
            </w:r>
          </w:p>
        </w:tc>
        <w:tc>
          <w:tcPr>
            <w:tcW w:w="4466" w:type="dxa"/>
            <w:tcBorders>
              <w:top w:val="single" w:color="000000" w:sz="4" w:space="0"/>
              <w:left w:val="single" w:color="000000" w:sz="4" w:space="0"/>
              <w:bottom w:val="single" w:color="000000" w:sz="4" w:space="0"/>
              <w:right w:val="single" w:color="000000" w:sz="4" w:space="0"/>
            </w:tcBorders>
            <w:vAlign w:val="center"/>
          </w:tcPr>
          <w:p w14:paraId="0CD9376A">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Style w:val="320"/>
                <w:rFonts w:hint="eastAsia" w:asciiTheme="minorEastAsia" w:hAnsiTheme="minorEastAsia" w:eastAsiaTheme="minorEastAsia" w:cstheme="minorEastAsia"/>
                <w:color w:val="auto"/>
                <w:sz w:val="24"/>
                <w:szCs w:val="24"/>
                <w:highlight w:val="none"/>
                <w:lang w:bidi="ar"/>
              </w:rPr>
              <w:t>评价内容</w:t>
            </w:r>
          </w:p>
        </w:tc>
        <w:tc>
          <w:tcPr>
            <w:tcW w:w="734" w:type="dxa"/>
            <w:tcBorders>
              <w:top w:val="single" w:color="000000" w:sz="4" w:space="0"/>
              <w:left w:val="single" w:color="000000" w:sz="4" w:space="0"/>
              <w:bottom w:val="single" w:color="000000" w:sz="4" w:space="0"/>
              <w:right w:val="single" w:color="000000" w:sz="4" w:space="0"/>
            </w:tcBorders>
            <w:vAlign w:val="center"/>
          </w:tcPr>
          <w:p w14:paraId="042F9748">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Style w:val="320"/>
                <w:rFonts w:hint="eastAsia" w:asciiTheme="minorEastAsia" w:hAnsiTheme="minorEastAsia" w:eastAsiaTheme="minorEastAsia" w:cstheme="minorEastAsia"/>
                <w:color w:val="auto"/>
                <w:sz w:val="24"/>
                <w:szCs w:val="24"/>
                <w:highlight w:val="none"/>
                <w:lang w:bidi="ar"/>
              </w:rPr>
              <w:t>给定分值</w:t>
            </w:r>
          </w:p>
        </w:tc>
      </w:tr>
      <w:tr w14:paraId="48FFFDA9">
        <w:tblPrEx>
          <w:tblCellMar>
            <w:top w:w="0" w:type="dxa"/>
            <w:left w:w="108" w:type="dxa"/>
            <w:bottom w:w="0" w:type="dxa"/>
            <w:right w:w="108" w:type="dxa"/>
          </w:tblCellMar>
        </w:tblPrEx>
        <w:trPr>
          <w:trHeight w:val="560" w:hRule="atLeast"/>
          <w:jc w:val="center"/>
        </w:trPr>
        <w:tc>
          <w:tcPr>
            <w:tcW w:w="594" w:type="dxa"/>
            <w:tcBorders>
              <w:top w:val="single" w:color="000000" w:sz="4" w:space="0"/>
              <w:left w:val="single" w:color="000000" w:sz="4" w:space="0"/>
              <w:bottom w:val="single" w:color="000000" w:sz="4" w:space="0"/>
              <w:right w:val="single" w:color="000000" w:sz="4" w:space="0"/>
            </w:tcBorders>
            <w:vAlign w:val="center"/>
          </w:tcPr>
          <w:p w14:paraId="04562D8E">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 </w:t>
            </w:r>
          </w:p>
        </w:tc>
        <w:tc>
          <w:tcPr>
            <w:tcW w:w="967" w:type="dxa"/>
            <w:vMerge w:val="restart"/>
            <w:tcBorders>
              <w:top w:val="single" w:color="000000" w:sz="4" w:space="0"/>
              <w:left w:val="single" w:color="000000" w:sz="4" w:space="0"/>
              <w:bottom w:val="single" w:color="000000" w:sz="4" w:space="0"/>
              <w:right w:val="single" w:color="000000" w:sz="4" w:space="0"/>
            </w:tcBorders>
            <w:vAlign w:val="center"/>
          </w:tcPr>
          <w:p w14:paraId="791E418D">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客户服务</w:t>
            </w:r>
          </w:p>
        </w:tc>
        <w:tc>
          <w:tcPr>
            <w:tcW w:w="2167" w:type="dxa"/>
            <w:tcBorders>
              <w:top w:val="single" w:color="000000" w:sz="4" w:space="0"/>
              <w:left w:val="single" w:color="000000" w:sz="4" w:space="0"/>
              <w:bottom w:val="single" w:color="000000" w:sz="4" w:space="0"/>
              <w:right w:val="single" w:color="000000" w:sz="4" w:space="0"/>
            </w:tcBorders>
            <w:vAlign w:val="center"/>
          </w:tcPr>
          <w:p w14:paraId="18C5BB6E">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人员形象礼仪</w:t>
            </w:r>
          </w:p>
        </w:tc>
        <w:tc>
          <w:tcPr>
            <w:tcW w:w="4466" w:type="dxa"/>
            <w:tcBorders>
              <w:top w:val="single" w:color="000000" w:sz="4" w:space="0"/>
              <w:left w:val="single" w:color="000000" w:sz="4" w:space="0"/>
              <w:bottom w:val="single" w:color="000000" w:sz="4" w:space="0"/>
              <w:right w:val="single" w:color="000000" w:sz="4" w:space="0"/>
            </w:tcBorders>
            <w:vAlign w:val="center"/>
          </w:tcPr>
          <w:p w14:paraId="74B43284">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着装统一，保持仪容整洁；精神饱满、用语文明礼貌，态度温和耐心。</w:t>
            </w:r>
          </w:p>
        </w:tc>
        <w:tc>
          <w:tcPr>
            <w:tcW w:w="734" w:type="dxa"/>
            <w:tcBorders>
              <w:top w:val="single" w:color="000000" w:sz="4" w:space="0"/>
              <w:left w:val="single" w:color="000000" w:sz="4" w:space="0"/>
              <w:bottom w:val="single" w:color="000000" w:sz="4" w:space="0"/>
              <w:right w:val="single" w:color="000000" w:sz="4" w:space="0"/>
            </w:tcBorders>
            <w:vAlign w:val="center"/>
          </w:tcPr>
          <w:p w14:paraId="4002DDB3">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695A7AFD">
        <w:tblPrEx>
          <w:tblCellMar>
            <w:top w:w="0" w:type="dxa"/>
            <w:left w:w="108" w:type="dxa"/>
            <w:bottom w:w="0" w:type="dxa"/>
            <w:right w:w="108" w:type="dxa"/>
          </w:tblCellMar>
        </w:tblPrEx>
        <w:trPr>
          <w:trHeight w:val="560" w:hRule="atLeast"/>
          <w:jc w:val="center"/>
        </w:trPr>
        <w:tc>
          <w:tcPr>
            <w:tcW w:w="594" w:type="dxa"/>
            <w:tcBorders>
              <w:top w:val="single" w:color="000000" w:sz="4" w:space="0"/>
              <w:left w:val="single" w:color="000000" w:sz="4" w:space="0"/>
              <w:bottom w:val="single" w:color="000000" w:sz="4" w:space="0"/>
              <w:right w:val="single" w:color="000000" w:sz="4" w:space="0"/>
            </w:tcBorders>
            <w:vAlign w:val="center"/>
          </w:tcPr>
          <w:p w14:paraId="1FB309DF">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2 </w:t>
            </w:r>
          </w:p>
        </w:tc>
        <w:tc>
          <w:tcPr>
            <w:tcW w:w="967" w:type="dxa"/>
            <w:vMerge w:val="continue"/>
            <w:tcBorders>
              <w:top w:val="single" w:color="000000" w:sz="4" w:space="0"/>
              <w:left w:val="single" w:color="000000" w:sz="4" w:space="0"/>
              <w:bottom w:val="single" w:color="000000" w:sz="4" w:space="0"/>
              <w:right w:val="single" w:color="000000" w:sz="4" w:space="0"/>
            </w:tcBorders>
            <w:vAlign w:val="center"/>
          </w:tcPr>
          <w:p w14:paraId="328E82CF">
            <w:pPr>
              <w:spacing w:line="360" w:lineRule="auto"/>
              <w:jc w:val="center"/>
              <w:rPr>
                <w:rFonts w:hint="eastAsia" w:asciiTheme="minorEastAsia" w:hAnsiTheme="minorEastAsia" w:eastAsiaTheme="minorEastAsia" w:cstheme="minorEastAsia"/>
                <w:color w:val="auto"/>
                <w:sz w:val="24"/>
                <w:highlight w:val="none"/>
              </w:rPr>
            </w:pPr>
          </w:p>
        </w:tc>
        <w:tc>
          <w:tcPr>
            <w:tcW w:w="2167" w:type="dxa"/>
            <w:vMerge w:val="restart"/>
            <w:tcBorders>
              <w:top w:val="single" w:color="000000" w:sz="4" w:space="0"/>
              <w:left w:val="single" w:color="000000" w:sz="4" w:space="0"/>
              <w:bottom w:val="single" w:color="000000" w:sz="4" w:space="0"/>
              <w:right w:val="single" w:color="000000" w:sz="4" w:space="0"/>
            </w:tcBorders>
            <w:vAlign w:val="center"/>
          </w:tcPr>
          <w:p w14:paraId="203D0E07">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客户服务</w:t>
            </w:r>
          </w:p>
        </w:tc>
        <w:tc>
          <w:tcPr>
            <w:tcW w:w="4466" w:type="dxa"/>
            <w:tcBorders>
              <w:top w:val="single" w:color="000000" w:sz="4" w:space="0"/>
              <w:left w:val="single" w:color="000000" w:sz="4" w:space="0"/>
              <w:bottom w:val="single" w:color="000000" w:sz="4" w:space="0"/>
              <w:right w:val="single" w:color="000000" w:sz="4" w:space="0"/>
            </w:tcBorders>
            <w:vAlign w:val="center"/>
          </w:tcPr>
          <w:p w14:paraId="614FD950">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筹备期现场各方职能部门及供方工作沟通协调，协同筹备现场有序开展工作。</w:t>
            </w:r>
          </w:p>
        </w:tc>
        <w:tc>
          <w:tcPr>
            <w:tcW w:w="734" w:type="dxa"/>
            <w:tcBorders>
              <w:top w:val="single" w:color="000000" w:sz="4" w:space="0"/>
              <w:left w:val="single" w:color="000000" w:sz="4" w:space="0"/>
              <w:bottom w:val="single" w:color="000000" w:sz="4" w:space="0"/>
              <w:right w:val="single" w:color="000000" w:sz="4" w:space="0"/>
            </w:tcBorders>
            <w:vAlign w:val="center"/>
          </w:tcPr>
          <w:p w14:paraId="4F50C9CC">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308914AD">
        <w:tblPrEx>
          <w:tblCellMar>
            <w:top w:w="0" w:type="dxa"/>
            <w:left w:w="108" w:type="dxa"/>
            <w:bottom w:w="0" w:type="dxa"/>
            <w:right w:w="108" w:type="dxa"/>
          </w:tblCellMar>
        </w:tblPrEx>
        <w:trPr>
          <w:trHeight w:val="336" w:hRule="atLeast"/>
          <w:jc w:val="center"/>
        </w:trPr>
        <w:tc>
          <w:tcPr>
            <w:tcW w:w="594" w:type="dxa"/>
            <w:tcBorders>
              <w:top w:val="single" w:color="000000" w:sz="4" w:space="0"/>
              <w:left w:val="single" w:color="000000" w:sz="4" w:space="0"/>
              <w:bottom w:val="single" w:color="000000" w:sz="4" w:space="0"/>
              <w:right w:val="single" w:color="000000" w:sz="4" w:space="0"/>
            </w:tcBorders>
            <w:vAlign w:val="center"/>
          </w:tcPr>
          <w:p w14:paraId="4F2D1A9E">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3 </w:t>
            </w:r>
          </w:p>
        </w:tc>
        <w:tc>
          <w:tcPr>
            <w:tcW w:w="967" w:type="dxa"/>
            <w:vMerge w:val="continue"/>
            <w:tcBorders>
              <w:top w:val="single" w:color="000000" w:sz="4" w:space="0"/>
              <w:left w:val="single" w:color="000000" w:sz="4" w:space="0"/>
              <w:bottom w:val="single" w:color="000000" w:sz="4" w:space="0"/>
              <w:right w:val="single" w:color="000000" w:sz="4" w:space="0"/>
            </w:tcBorders>
            <w:vAlign w:val="center"/>
          </w:tcPr>
          <w:p w14:paraId="10631005">
            <w:pPr>
              <w:spacing w:line="360" w:lineRule="auto"/>
              <w:jc w:val="center"/>
              <w:rPr>
                <w:rFonts w:hint="eastAsia" w:asciiTheme="minorEastAsia" w:hAnsiTheme="minorEastAsia" w:eastAsiaTheme="minorEastAsia" w:cstheme="minorEastAsia"/>
                <w:color w:val="auto"/>
                <w:sz w:val="24"/>
                <w:highlight w:val="none"/>
              </w:rPr>
            </w:pPr>
          </w:p>
        </w:tc>
        <w:tc>
          <w:tcPr>
            <w:tcW w:w="2167" w:type="dxa"/>
            <w:vMerge w:val="continue"/>
            <w:tcBorders>
              <w:top w:val="single" w:color="000000" w:sz="4" w:space="0"/>
              <w:left w:val="single" w:color="000000" w:sz="4" w:space="0"/>
              <w:bottom w:val="single" w:color="000000" w:sz="4" w:space="0"/>
              <w:right w:val="single" w:color="000000" w:sz="4" w:space="0"/>
            </w:tcBorders>
            <w:vAlign w:val="center"/>
          </w:tcPr>
          <w:p w14:paraId="436A4384">
            <w:pPr>
              <w:spacing w:line="360" w:lineRule="auto"/>
              <w:jc w:val="left"/>
              <w:rPr>
                <w:rFonts w:hint="eastAsia" w:asciiTheme="minorEastAsia" w:hAnsiTheme="minorEastAsia" w:eastAsiaTheme="minorEastAsia" w:cstheme="minorEastAsia"/>
                <w:color w:val="auto"/>
                <w:sz w:val="24"/>
                <w:highlight w:val="none"/>
              </w:rPr>
            </w:pPr>
          </w:p>
        </w:tc>
        <w:tc>
          <w:tcPr>
            <w:tcW w:w="4466" w:type="dxa"/>
            <w:tcBorders>
              <w:top w:val="single" w:color="000000" w:sz="4" w:space="0"/>
              <w:left w:val="single" w:color="000000" w:sz="4" w:space="0"/>
              <w:bottom w:val="single" w:color="000000" w:sz="4" w:space="0"/>
              <w:right w:val="single" w:color="000000" w:sz="4" w:space="0"/>
            </w:tcBorders>
            <w:vAlign w:val="center"/>
          </w:tcPr>
          <w:p w14:paraId="5EAD0587">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协同会务服务，根据主办方需求制定服务方案并实施。</w:t>
            </w:r>
          </w:p>
        </w:tc>
        <w:tc>
          <w:tcPr>
            <w:tcW w:w="734" w:type="dxa"/>
            <w:tcBorders>
              <w:top w:val="single" w:color="000000" w:sz="4" w:space="0"/>
              <w:left w:val="single" w:color="000000" w:sz="4" w:space="0"/>
              <w:bottom w:val="single" w:color="000000" w:sz="4" w:space="0"/>
              <w:right w:val="single" w:color="000000" w:sz="4" w:space="0"/>
            </w:tcBorders>
            <w:vAlign w:val="center"/>
          </w:tcPr>
          <w:p w14:paraId="2EB9FF6F">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2C021DBA">
        <w:tblPrEx>
          <w:tblCellMar>
            <w:top w:w="0" w:type="dxa"/>
            <w:left w:w="108" w:type="dxa"/>
            <w:bottom w:w="0" w:type="dxa"/>
            <w:right w:w="108" w:type="dxa"/>
          </w:tblCellMar>
        </w:tblPrEx>
        <w:trPr>
          <w:trHeight w:val="336" w:hRule="atLeast"/>
          <w:jc w:val="center"/>
        </w:trPr>
        <w:tc>
          <w:tcPr>
            <w:tcW w:w="594" w:type="dxa"/>
            <w:tcBorders>
              <w:top w:val="single" w:color="000000" w:sz="4" w:space="0"/>
              <w:left w:val="single" w:color="000000" w:sz="4" w:space="0"/>
              <w:bottom w:val="single" w:color="000000" w:sz="4" w:space="0"/>
              <w:right w:val="single" w:color="000000" w:sz="4" w:space="0"/>
            </w:tcBorders>
            <w:vAlign w:val="center"/>
          </w:tcPr>
          <w:p w14:paraId="15EAF20A">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4 </w:t>
            </w:r>
          </w:p>
        </w:tc>
        <w:tc>
          <w:tcPr>
            <w:tcW w:w="967" w:type="dxa"/>
            <w:vMerge w:val="restart"/>
            <w:tcBorders>
              <w:top w:val="single" w:color="000000" w:sz="4" w:space="0"/>
              <w:left w:val="single" w:color="000000" w:sz="4" w:space="0"/>
              <w:bottom w:val="single" w:color="000000" w:sz="4" w:space="0"/>
              <w:right w:val="single" w:color="000000" w:sz="4" w:space="0"/>
            </w:tcBorders>
            <w:vAlign w:val="center"/>
          </w:tcPr>
          <w:p w14:paraId="71541E28">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房屋与设施设备管理</w:t>
            </w:r>
          </w:p>
        </w:tc>
        <w:tc>
          <w:tcPr>
            <w:tcW w:w="2167" w:type="dxa"/>
            <w:tcBorders>
              <w:top w:val="single" w:color="000000" w:sz="4" w:space="0"/>
              <w:left w:val="single" w:color="000000" w:sz="4" w:space="0"/>
              <w:bottom w:val="single" w:color="000000" w:sz="4" w:space="0"/>
              <w:right w:val="single" w:color="000000" w:sz="4" w:space="0"/>
            </w:tcBorders>
            <w:vAlign w:val="center"/>
          </w:tcPr>
          <w:p w14:paraId="4315CB09">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房屋本体管理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361ADE54">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现状管理，做好报修登记及跟进反馈。</w:t>
            </w:r>
          </w:p>
        </w:tc>
        <w:tc>
          <w:tcPr>
            <w:tcW w:w="734" w:type="dxa"/>
            <w:tcBorders>
              <w:top w:val="single" w:color="000000" w:sz="4" w:space="0"/>
              <w:left w:val="single" w:color="000000" w:sz="4" w:space="0"/>
              <w:bottom w:val="single" w:color="000000" w:sz="4" w:space="0"/>
              <w:right w:val="single" w:color="000000" w:sz="4" w:space="0"/>
            </w:tcBorders>
            <w:vAlign w:val="center"/>
          </w:tcPr>
          <w:p w14:paraId="3FD00FFC">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2133AD69">
        <w:tblPrEx>
          <w:tblCellMar>
            <w:top w:w="0" w:type="dxa"/>
            <w:left w:w="108" w:type="dxa"/>
            <w:bottom w:w="0" w:type="dxa"/>
            <w:right w:w="108" w:type="dxa"/>
          </w:tblCellMar>
        </w:tblPrEx>
        <w:trPr>
          <w:trHeight w:val="336" w:hRule="atLeast"/>
          <w:jc w:val="center"/>
        </w:trPr>
        <w:tc>
          <w:tcPr>
            <w:tcW w:w="594" w:type="dxa"/>
            <w:tcBorders>
              <w:top w:val="single" w:color="000000" w:sz="4" w:space="0"/>
              <w:left w:val="single" w:color="000000" w:sz="4" w:space="0"/>
              <w:bottom w:val="single" w:color="000000" w:sz="4" w:space="0"/>
              <w:right w:val="single" w:color="000000" w:sz="4" w:space="0"/>
            </w:tcBorders>
            <w:vAlign w:val="center"/>
          </w:tcPr>
          <w:p w14:paraId="683B209D">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5 </w:t>
            </w:r>
          </w:p>
        </w:tc>
        <w:tc>
          <w:tcPr>
            <w:tcW w:w="967" w:type="dxa"/>
            <w:vMerge w:val="continue"/>
            <w:tcBorders>
              <w:top w:val="single" w:color="000000" w:sz="4" w:space="0"/>
              <w:left w:val="single" w:color="000000" w:sz="4" w:space="0"/>
              <w:bottom w:val="single" w:color="000000" w:sz="4" w:space="0"/>
              <w:right w:val="single" w:color="000000" w:sz="4" w:space="0"/>
            </w:tcBorders>
            <w:vAlign w:val="center"/>
          </w:tcPr>
          <w:p w14:paraId="3F5F2225">
            <w:pPr>
              <w:spacing w:line="360" w:lineRule="auto"/>
              <w:jc w:val="center"/>
              <w:rPr>
                <w:rFonts w:hint="eastAsia" w:asciiTheme="minorEastAsia" w:hAnsiTheme="minorEastAsia" w:eastAsiaTheme="minorEastAsia" w:cstheme="minorEastAsia"/>
                <w:color w:val="auto"/>
                <w:sz w:val="24"/>
                <w:highlight w:val="none"/>
              </w:rPr>
            </w:pPr>
          </w:p>
        </w:tc>
        <w:tc>
          <w:tcPr>
            <w:tcW w:w="2167" w:type="dxa"/>
            <w:tcBorders>
              <w:top w:val="single" w:color="000000" w:sz="4" w:space="0"/>
              <w:left w:val="single" w:color="000000" w:sz="4" w:space="0"/>
              <w:bottom w:val="single" w:color="000000" w:sz="4" w:space="0"/>
              <w:right w:val="single" w:color="000000" w:sz="4" w:space="0"/>
            </w:tcBorders>
            <w:vAlign w:val="center"/>
          </w:tcPr>
          <w:p w14:paraId="3FADA9A0">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房屋及共用设施管理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04514435">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现状管理，做好报修登记及跟进反馈。</w:t>
            </w:r>
          </w:p>
        </w:tc>
        <w:tc>
          <w:tcPr>
            <w:tcW w:w="734" w:type="dxa"/>
            <w:tcBorders>
              <w:top w:val="single" w:color="000000" w:sz="4" w:space="0"/>
              <w:left w:val="single" w:color="000000" w:sz="4" w:space="0"/>
              <w:bottom w:val="single" w:color="000000" w:sz="4" w:space="0"/>
              <w:right w:val="single" w:color="000000" w:sz="4" w:space="0"/>
            </w:tcBorders>
            <w:vAlign w:val="center"/>
          </w:tcPr>
          <w:p w14:paraId="3CB25A01">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2A7DA571">
        <w:tblPrEx>
          <w:tblCellMar>
            <w:top w:w="0" w:type="dxa"/>
            <w:left w:w="108" w:type="dxa"/>
            <w:bottom w:w="0" w:type="dxa"/>
            <w:right w:w="108" w:type="dxa"/>
          </w:tblCellMar>
        </w:tblPrEx>
        <w:trPr>
          <w:trHeight w:val="560" w:hRule="atLeast"/>
          <w:jc w:val="center"/>
        </w:trPr>
        <w:tc>
          <w:tcPr>
            <w:tcW w:w="594" w:type="dxa"/>
            <w:tcBorders>
              <w:top w:val="single" w:color="000000" w:sz="4" w:space="0"/>
              <w:left w:val="single" w:color="000000" w:sz="4" w:space="0"/>
              <w:bottom w:val="single" w:color="000000" w:sz="4" w:space="0"/>
              <w:right w:val="single" w:color="000000" w:sz="4" w:space="0"/>
            </w:tcBorders>
            <w:vAlign w:val="center"/>
          </w:tcPr>
          <w:p w14:paraId="56904ED7">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6 </w:t>
            </w:r>
          </w:p>
        </w:tc>
        <w:tc>
          <w:tcPr>
            <w:tcW w:w="967" w:type="dxa"/>
            <w:vMerge w:val="continue"/>
            <w:tcBorders>
              <w:top w:val="single" w:color="000000" w:sz="4" w:space="0"/>
              <w:left w:val="single" w:color="000000" w:sz="4" w:space="0"/>
              <w:bottom w:val="single" w:color="000000" w:sz="4" w:space="0"/>
              <w:right w:val="single" w:color="000000" w:sz="4" w:space="0"/>
            </w:tcBorders>
            <w:vAlign w:val="center"/>
          </w:tcPr>
          <w:p w14:paraId="792D62B2">
            <w:pPr>
              <w:spacing w:line="360" w:lineRule="auto"/>
              <w:jc w:val="center"/>
              <w:rPr>
                <w:rFonts w:hint="eastAsia" w:asciiTheme="minorEastAsia" w:hAnsiTheme="minorEastAsia" w:eastAsiaTheme="minorEastAsia" w:cstheme="minorEastAsia"/>
                <w:color w:val="auto"/>
                <w:sz w:val="24"/>
                <w:highlight w:val="none"/>
              </w:rPr>
            </w:pPr>
          </w:p>
        </w:tc>
        <w:tc>
          <w:tcPr>
            <w:tcW w:w="2167" w:type="dxa"/>
            <w:tcBorders>
              <w:top w:val="single" w:color="000000" w:sz="4" w:space="0"/>
              <w:left w:val="single" w:color="000000" w:sz="4" w:space="0"/>
              <w:bottom w:val="single" w:color="000000" w:sz="4" w:space="0"/>
              <w:right w:val="single" w:color="000000" w:sz="4" w:space="0"/>
            </w:tcBorders>
            <w:vAlign w:val="center"/>
          </w:tcPr>
          <w:p w14:paraId="5D3049A3">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设施设备管理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2085DF8A">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公区设施设备功能缺失的及时报修、登记及跟进反馈。</w:t>
            </w:r>
          </w:p>
        </w:tc>
        <w:tc>
          <w:tcPr>
            <w:tcW w:w="734" w:type="dxa"/>
            <w:tcBorders>
              <w:top w:val="single" w:color="000000" w:sz="4" w:space="0"/>
              <w:left w:val="single" w:color="000000" w:sz="4" w:space="0"/>
              <w:bottom w:val="single" w:color="000000" w:sz="4" w:space="0"/>
              <w:right w:val="single" w:color="000000" w:sz="4" w:space="0"/>
            </w:tcBorders>
            <w:vAlign w:val="center"/>
          </w:tcPr>
          <w:p w14:paraId="4ADD6522">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279363AB">
        <w:tblPrEx>
          <w:tblCellMar>
            <w:top w:w="0" w:type="dxa"/>
            <w:left w:w="108" w:type="dxa"/>
            <w:bottom w:w="0" w:type="dxa"/>
            <w:right w:w="108" w:type="dxa"/>
          </w:tblCellMar>
        </w:tblPrEx>
        <w:trPr>
          <w:trHeight w:val="336" w:hRule="atLeast"/>
          <w:jc w:val="center"/>
        </w:trPr>
        <w:tc>
          <w:tcPr>
            <w:tcW w:w="594" w:type="dxa"/>
            <w:tcBorders>
              <w:top w:val="single" w:color="000000" w:sz="4" w:space="0"/>
              <w:left w:val="single" w:color="000000" w:sz="4" w:space="0"/>
              <w:bottom w:val="single" w:color="000000" w:sz="4" w:space="0"/>
              <w:right w:val="single" w:color="000000" w:sz="4" w:space="0"/>
            </w:tcBorders>
            <w:vAlign w:val="center"/>
          </w:tcPr>
          <w:p w14:paraId="31409C98">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7 </w:t>
            </w:r>
          </w:p>
        </w:tc>
        <w:tc>
          <w:tcPr>
            <w:tcW w:w="967" w:type="dxa"/>
            <w:vMerge w:val="restart"/>
            <w:tcBorders>
              <w:top w:val="single" w:color="000000" w:sz="4" w:space="0"/>
              <w:left w:val="single" w:color="000000" w:sz="4" w:space="0"/>
              <w:bottom w:val="single" w:color="000000" w:sz="4" w:space="0"/>
              <w:right w:val="single" w:color="000000" w:sz="4" w:space="0"/>
            </w:tcBorders>
            <w:vAlign w:val="center"/>
          </w:tcPr>
          <w:p w14:paraId="16C44412">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秩序维护管理</w:t>
            </w:r>
          </w:p>
        </w:tc>
        <w:tc>
          <w:tcPr>
            <w:tcW w:w="2167" w:type="dxa"/>
            <w:tcBorders>
              <w:top w:val="single" w:color="000000" w:sz="4" w:space="0"/>
              <w:left w:val="single" w:color="000000" w:sz="4" w:space="0"/>
              <w:bottom w:val="single" w:color="000000" w:sz="4" w:space="0"/>
              <w:right w:val="single" w:color="000000" w:sz="4" w:space="0"/>
            </w:tcBorders>
            <w:vAlign w:val="center"/>
          </w:tcPr>
          <w:p w14:paraId="027419A5">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出入与监控管理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3B087DC6">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24h值班，对出入口的人员、车辆和物品进行管理和登记。</w:t>
            </w:r>
          </w:p>
        </w:tc>
        <w:tc>
          <w:tcPr>
            <w:tcW w:w="734" w:type="dxa"/>
            <w:tcBorders>
              <w:top w:val="single" w:color="000000" w:sz="4" w:space="0"/>
              <w:left w:val="single" w:color="000000" w:sz="4" w:space="0"/>
              <w:bottom w:val="single" w:color="000000" w:sz="4" w:space="0"/>
              <w:right w:val="single" w:color="000000" w:sz="4" w:space="0"/>
            </w:tcBorders>
            <w:vAlign w:val="center"/>
          </w:tcPr>
          <w:p w14:paraId="4FCDDC90">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2A4E236F">
        <w:tblPrEx>
          <w:tblCellMar>
            <w:top w:w="0" w:type="dxa"/>
            <w:left w:w="108" w:type="dxa"/>
            <w:bottom w:w="0" w:type="dxa"/>
            <w:right w:w="108" w:type="dxa"/>
          </w:tblCellMar>
        </w:tblPrEx>
        <w:trPr>
          <w:trHeight w:val="336" w:hRule="atLeast"/>
          <w:jc w:val="center"/>
        </w:trPr>
        <w:tc>
          <w:tcPr>
            <w:tcW w:w="594" w:type="dxa"/>
            <w:tcBorders>
              <w:top w:val="single" w:color="000000" w:sz="4" w:space="0"/>
              <w:left w:val="single" w:color="000000" w:sz="4" w:space="0"/>
              <w:bottom w:val="single" w:color="000000" w:sz="4" w:space="0"/>
              <w:right w:val="single" w:color="000000" w:sz="4" w:space="0"/>
            </w:tcBorders>
            <w:vAlign w:val="center"/>
          </w:tcPr>
          <w:p w14:paraId="5C636B6A">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8 </w:t>
            </w:r>
          </w:p>
        </w:tc>
        <w:tc>
          <w:tcPr>
            <w:tcW w:w="967" w:type="dxa"/>
            <w:vMerge w:val="continue"/>
            <w:tcBorders>
              <w:top w:val="single" w:color="000000" w:sz="4" w:space="0"/>
              <w:left w:val="single" w:color="000000" w:sz="4" w:space="0"/>
              <w:bottom w:val="single" w:color="000000" w:sz="4" w:space="0"/>
              <w:right w:val="single" w:color="000000" w:sz="4" w:space="0"/>
            </w:tcBorders>
            <w:vAlign w:val="center"/>
          </w:tcPr>
          <w:p w14:paraId="6D1CA89B">
            <w:pPr>
              <w:spacing w:line="360" w:lineRule="auto"/>
              <w:jc w:val="center"/>
              <w:rPr>
                <w:rFonts w:hint="eastAsia" w:asciiTheme="minorEastAsia" w:hAnsiTheme="minorEastAsia" w:eastAsiaTheme="minorEastAsia" w:cstheme="minorEastAsia"/>
                <w:color w:val="auto"/>
                <w:sz w:val="24"/>
                <w:highlight w:val="none"/>
              </w:rPr>
            </w:pPr>
          </w:p>
        </w:tc>
        <w:tc>
          <w:tcPr>
            <w:tcW w:w="2167" w:type="dxa"/>
            <w:tcBorders>
              <w:top w:val="single" w:color="000000" w:sz="4" w:space="0"/>
              <w:left w:val="single" w:color="000000" w:sz="4" w:space="0"/>
              <w:bottom w:val="single" w:color="000000" w:sz="4" w:space="0"/>
              <w:right w:val="single" w:color="000000" w:sz="4" w:space="0"/>
            </w:tcBorders>
            <w:vAlign w:val="center"/>
          </w:tcPr>
          <w:p w14:paraId="7F7D401C">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巡查管理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0311717B">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应根据现场情况合理制定巡查路线，定期巡查并做好记录保存。</w:t>
            </w:r>
          </w:p>
        </w:tc>
        <w:tc>
          <w:tcPr>
            <w:tcW w:w="734" w:type="dxa"/>
            <w:tcBorders>
              <w:top w:val="single" w:color="000000" w:sz="4" w:space="0"/>
              <w:left w:val="single" w:color="000000" w:sz="4" w:space="0"/>
              <w:bottom w:val="single" w:color="000000" w:sz="4" w:space="0"/>
              <w:right w:val="single" w:color="000000" w:sz="4" w:space="0"/>
            </w:tcBorders>
            <w:vAlign w:val="center"/>
          </w:tcPr>
          <w:p w14:paraId="4F3B202C">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713BED6B">
        <w:tblPrEx>
          <w:tblCellMar>
            <w:top w:w="0" w:type="dxa"/>
            <w:left w:w="108" w:type="dxa"/>
            <w:bottom w:w="0" w:type="dxa"/>
            <w:right w:w="108" w:type="dxa"/>
          </w:tblCellMar>
        </w:tblPrEx>
        <w:trPr>
          <w:trHeight w:val="336" w:hRule="atLeast"/>
          <w:jc w:val="center"/>
        </w:trPr>
        <w:tc>
          <w:tcPr>
            <w:tcW w:w="594" w:type="dxa"/>
            <w:tcBorders>
              <w:top w:val="single" w:color="000000" w:sz="4" w:space="0"/>
              <w:left w:val="single" w:color="000000" w:sz="4" w:space="0"/>
              <w:bottom w:val="single" w:color="000000" w:sz="4" w:space="0"/>
              <w:right w:val="single" w:color="000000" w:sz="4" w:space="0"/>
            </w:tcBorders>
            <w:vAlign w:val="center"/>
          </w:tcPr>
          <w:p w14:paraId="12B235F0">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9 </w:t>
            </w:r>
          </w:p>
        </w:tc>
        <w:tc>
          <w:tcPr>
            <w:tcW w:w="967" w:type="dxa"/>
            <w:vMerge w:val="continue"/>
            <w:tcBorders>
              <w:top w:val="single" w:color="000000" w:sz="4" w:space="0"/>
              <w:left w:val="single" w:color="000000" w:sz="4" w:space="0"/>
              <w:bottom w:val="single" w:color="000000" w:sz="4" w:space="0"/>
              <w:right w:val="single" w:color="000000" w:sz="4" w:space="0"/>
            </w:tcBorders>
            <w:vAlign w:val="center"/>
          </w:tcPr>
          <w:p w14:paraId="59CBFF25">
            <w:pPr>
              <w:spacing w:line="360" w:lineRule="auto"/>
              <w:jc w:val="center"/>
              <w:rPr>
                <w:rFonts w:hint="eastAsia" w:asciiTheme="minorEastAsia" w:hAnsiTheme="minorEastAsia" w:eastAsiaTheme="minorEastAsia" w:cstheme="minorEastAsia"/>
                <w:color w:val="auto"/>
                <w:sz w:val="24"/>
                <w:highlight w:val="none"/>
              </w:rPr>
            </w:pPr>
          </w:p>
        </w:tc>
        <w:tc>
          <w:tcPr>
            <w:tcW w:w="2167" w:type="dxa"/>
            <w:tcBorders>
              <w:top w:val="single" w:color="000000" w:sz="4" w:space="0"/>
              <w:left w:val="single" w:color="000000" w:sz="4" w:space="0"/>
              <w:bottom w:val="single" w:color="000000" w:sz="4" w:space="0"/>
              <w:right w:val="single" w:color="000000" w:sz="4" w:space="0"/>
            </w:tcBorders>
            <w:vAlign w:val="center"/>
          </w:tcPr>
          <w:p w14:paraId="020808CF">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消防管理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0946A2ED">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现状管理，消防设施调试完成移交后，按合同服务约定执行。</w:t>
            </w:r>
          </w:p>
        </w:tc>
        <w:tc>
          <w:tcPr>
            <w:tcW w:w="734" w:type="dxa"/>
            <w:tcBorders>
              <w:top w:val="single" w:color="000000" w:sz="4" w:space="0"/>
              <w:left w:val="single" w:color="000000" w:sz="4" w:space="0"/>
              <w:bottom w:val="single" w:color="000000" w:sz="4" w:space="0"/>
              <w:right w:val="single" w:color="000000" w:sz="4" w:space="0"/>
            </w:tcBorders>
            <w:vAlign w:val="center"/>
          </w:tcPr>
          <w:p w14:paraId="75E51AA4">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6BD692A6">
        <w:tblPrEx>
          <w:tblCellMar>
            <w:top w:w="0" w:type="dxa"/>
            <w:left w:w="108" w:type="dxa"/>
            <w:bottom w:w="0" w:type="dxa"/>
            <w:right w:w="108" w:type="dxa"/>
          </w:tblCellMar>
        </w:tblPrEx>
        <w:trPr>
          <w:trHeight w:val="336" w:hRule="atLeast"/>
          <w:jc w:val="center"/>
        </w:trPr>
        <w:tc>
          <w:tcPr>
            <w:tcW w:w="594" w:type="dxa"/>
            <w:tcBorders>
              <w:top w:val="single" w:color="000000" w:sz="4" w:space="0"/>
              <w:left w:val="single" w:color="000000" w:sz="4" w:space="0"/>
              <w:bottom w:val="single" w:color="000000" w:sz="4" w:space="0"/>
              <w:right w:val="single" w:color="000000" w:sz="4" w:space="0"/>
            </w:tcBorders>
            <w:vAlign w:val="center"/>
          </w:tcPr>
          <w:p w14:paraId="23100980">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c>
          <w:tcPr>
            <w:tcW w:w="967" w:type="dxa"/>
            <w:vMerge w:val="continue"/>
            <w:tcBorders>
              <w:top w:val="single" w:color="000000" w:sz="4" w:space="0"/>
              <w:left w:val="single" w:color="000000" w:sz="4" w:space="0"/>
              <w:bottom w:val="single" w:color="000000" w:sz="4" w:space="0"/>
              <w:right w:val="single" w:color="000000" w:sz="4" w:space="0"/>
            </w:tcBorders>
            <w:vAlign w:val="center"/>
          </w:tcPr>
          <w:p w14:paraId="39492F12">
            <w:pPr>
              <w:spacing w:line="360" w:lineRule="auto"/>
              <w:jc w:val="center"/>
              <w:rPr>
                <w:rFonts w:hint="eastAsia" w:asciiTheme="minorEastAsia" w:hAnsiTheme="minorEastAsia" w:eastAsiaTheme="minorEastAsia" w:cstheme="minorEastAsia"/>
                <w:color w:val="auto"/>
                <w:sz w:val="24"/>
                <w:highlight w:val="none"/>
              </w:rPr>
            </w:pPr>
          </w:p>
        </w:tc>
        <w:tc>
          <w:tcPr>
            <w:tcW w:w="2167" w:type="dxa"/>
            <w:tcBorders>
              <w:top w:val="single" w:color="000000" w:sz="4" w:space="0"/>
              <w:left w:val="single" w:color="000000" w:sz="4" w:space="0"/>
              <w:bottom w:val="single" w:color="000000" w:sz="4" w:space="0"/>
              <w:right w:val="single" w:color="000000" w:sz="4" w:space="0"/>
            </w:tcBorders>
            <w:vAlign w:val="center"/>
          </w:tcPr>
          <w:p w14:paraId="479F8886">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停车管理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4E45655B">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引导车辆在所委托资产范围内指定区域停放车辆，非指定区域搬运物资即停即走。</w:t>
            </w:r>
          </w:p>
        </w:tc>
        <w:tc>
          <w:tcPr>
            <w:tcW w:w="734" w:type="dxa"/>
            <w:tcBorders>
              <w:top w:val="single" w:color="000000" w:sz="4" w:space="0"/>
              <w:left w:val="single" w:color="000000" w:sz="4" w:space="0"/>
              <w:bottom w:val="single" w:color="000000" w:sz="4" w:space="0"/>
              <w:right w:val="single" w:color="000000" w:sz="4" w:space="0"/>
            </w:tcBorders>
            <w:vAlign w:val="center"/>
          </w:tcPr>
          <w:p w14:paraId="574E2461">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3CFED0C7">
        <w:tblPrEx>
          <w:tblCellMar>
            <w:top w:w="0" w:type="dxa"/>
            <w:left w:w="108" w:type="dxa"/>
            <w:bottom w:w="0" w:type="dxa"/>
            <w:right w:w="108" w:type="dxa"/>
          </w:tblCellMar>
        </w:tblPrEx>
        <w:trPr>
          <w:trHeight w:val="560" w:hRule="atLeast"/>
          <w:jc w:val="center"/>
        </w:trPr>
        <w:tc>
          <w:tcPr>
            <w:tcW w:w="594" w:type="dxa"/>
            <w:tcBorders>
              <w:top w:val="single" w:color="000000" w:sz="4" w:space="0"/>
              <w:left w:val="single" w:color="000000" w:sz="4" w:space="0"/>
              <w:bottom w:val="single" w:color="000000" w:sz="4" w:space="0"/>
              <w:right w:val="single" w:color="000000" w:sz="4" w:space="0"/>
            </w:tcBorders>
            <w:vAlign w:val="center"/>
          </w:tcPr>
          <w:p w14:paraId="21C4DC59">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11 </w:t>
            </w:r>
          </w:p>
        </w:tc>
        <w:tc>
          <w:tcPr>
            <w:tcW w:w="967" w:type="dxa"/>
            <w:vMerge w:val="restart"/>
            <w:tcBorders>
              <w:top w:val="single" w:color="000000" w:sz="4" w:space="0"/>
              <w:left w:val="single" w:color="000000" w:sz="4" w:space="0"/>
              <w:bottom w:val="single" w:color="000000" w:sz="4" w:space="0"/>
              <w:right w:val="single" w:color="000000" w:sz="4" w:space="0"/>
            </w:tcBorders>
            <w:vAlign w:val="center"/>
          </w:tcPr>
          <w:p w14:paraId="1846077E">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环境卫生服务</w:t>
            </w:r>
          </w:p>
        </w:tc>
        <w:tc>
          <w:tcPr>
            <w:tcW w:w="2167" w:type="dxa"/>
            <w:tcBorders>
              <w:top w:val="single" w:color="000000" w:sz="4" w:space="0"/>
              <w:left w:val="single" w:color="000000" w:sz="4" w:space="0"/>
              <w:bottom w:val="single" w:color="000000" w:sz="4" w:space="0"/>
              <w:right w:val="single" w:color="000000" w:sz="4" w:space="0"/>
            </w:tcBorders>
            <w:vAlign w:val="center"/>
          </w:tcPr>
          <w:p w14:paraId="519A3959">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保洁管理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2496FD9A">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楼栋外公区保洁满足合同约定服务标准；楼栋内封闭状态，现状管理，局部区域开放按精清洁标准日常维护。</w:t>
            </w:r>
          </w:p>
        </w:tc>
        <w:tc>
          <w:tcPr>
            <w:tcW w:w="734" w:type="dxa"/>
            <w:tcBorders>
              <w:top w:val="single" w:color="000000" w:sz="4" w:space="0"/>
              <w:left w:val="single" w:color="000000" w:sz="4" w:space="0"/>
              <w:bottom w:val="single" w:color="000000" w:sz="4" w:space="0"/>
              <w:right w:val="single" w:color="000000" w:sz="4" w:space="0"/>
            </w:tcBorders>
            <w:vAlign w:val="center"/>
          </w:tcPr>
          <w:p w14:paraId="4F8BB07F">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4C591F7C">
        <w:tblPrEx>
          <w:tblCellMar>
            <w:top w:w="0" w:type="dxa"/>
            <w:left w:w="108" w:type="dxa"/>
            <w:bottom w:w="0" w:type="dxa"/>
            <w:right w:w="108" w:type="dxa"/>
          </w:tblCellMar>
        </w:tblPrEx>
        <w:trPr>
          <w:trHeight w:val="336" w:hRule="atLeast"/>
          <w:jc w:val="center"/>
        </w:trPr>
        <w:tc>
          <w:tcPr>
            <w:tcW w:w="594" w:type="dxa"/>
            <w:tcBorders>
              <w:top w:val="single" w:color="000000" w:sz="4" w:space="0"/>
              <w:left w:val="single" w:color="000000" w:sz="4" w:space="0"/>
              <w:bottom w:val="single" w:color="000000" w:sz="4" w:space="0"/>
              <w:right w:val="single" w:color="000000" w:sz="4" w:space="0"/>
            </w:tcBorders>
            <w:vAlign w:val="center"/>
          </w:tcPr>
          <w:p w14:paraId="169C3790">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12 </w:t>
            </w:r>
          </w:p>
        </w:tc>
        <w:tc>
          <w:tcPr>
            <w:tcW w:w="967" w:type="dxa"/>
            <w:vMerge w:val="continue"/>
            <w:tcBorders>
              <w:top w:val="single" w:color="000000" w:sz="4" w:space="0"/>
              <w:left w:val="single" w:color="000000" w:sz="4" w:space="0"/>
              <w:bottom w:val="single" w:color="000000" w:sz="4" w:space="0"/>
              <w:right w:val="single" w:color="000000" w:sz="4" w:space="0"/>
            </w:tcBorders>
            <w:vAlign w:val="center"/>
          </w:tcPr>
          <w:p w14:paraId="020C5DEB">
            <w:pPr>
              <w:spacing w:line="360" w:lineRule="auto"/>
              <w:jc w:val="center"/>
              <w:rPr>
                <w:rFonts w:hint="eastAsia" w:asciiTheme="minorEastAsia" w:hAnsiTheme="minorEastAsia" w:eastAsiaTheme="minorEastAsia" w:cstheme="minorEastAsia"/>
                <w:color w:val="auto"/>
                <w:sz w:val="24"/>
                <w:highlight w:val="none"/>
              </w:rPr>
            </w:pPr>
          </w:p>
        </w:tc>
        <w:tc>
          <w:tcPr>
            <w:tcW w:w="2167" w:type="dxa"/>
            <w:tcBorders>
              <w:top w:val="single" w:color="000000" w:sz="4" w:space="0"/>
              <w:left w:val="single" w:color="000000" w:sz="4" w:space="0"/>
              <w:bottom w:val="single" w:color="000000" w:sz="4" w:space="0"/>
              <w:right w:val="single" w:color="000000" w:sz="4" w:space="0"/>
            </w:tcBorders>
            <w:vAlign w:val="center"/>
          </w:tcPr>
          <w:p w14:paraId="2F7BA23D">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垃圾管理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350BDBE6">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符合当地垃圾分类政策相关标准及要求；垃圾日产日清。</w:t>
            </w:r>
          </w:p>
        </w:tc>
        <w:tc>
          <w:tcPr>
            <w:tcW w:w="734" w:type="dxa"/>
            <w:tcBorders>
              <w:top w:val="single" w:color="000000" w:sz="4" w:space="0"/>
              <w:left w:val="single" w:color="000000" w:sz="4" w:space="0"/>
              <w:bottom w:val="single" w:color="000000" w:sz="4" w:space="0"/>
              <w:right w:val="single" w:color="000000" w:sz="4" w:space="0"/>
            </w:tcBorders>
            <w:vAlign w:val="center"/>
          </w:tcPr>
          <w:p w14:paraId="22FFD9F4">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5973D1C4">
        <w:tblPrEx>
          <w:tblCellMar>
            <w:top w:w="0" w:type="dxa"/>
            <w:left w:w="108" w:type="dxa"/>
            <w:bottom w:w="0" w:type="dxa"/>
            <w:right w:w="108" w:type="dxa"/>
          </w:tblCellMar>
        </w:tblPrEx>
        <w:trPr>
          <w:trHeight w:val="336" w:hRule="atLeast"/>
          <w:jc w:val="center"/>
        </w:trPr>
        <w:tc>
          <w:tcPr>
            <w:tcW w:w="594" w:type="dxa"/>
            <w:tcBorders>
              <w:top w:val="single" w:color="000000" w:sz="4" w:space="0"/>
              <w:left w:val="single" w:color="000000" w:sz="4" w:space="0"/>
              <w:bottom w:val="single" w:color="000000" w:sz="4" w:space="0"/>
              <w:right w:val="single" w:color="000000" w:sz="4" w:space="0"/>
            </w:tcBorders>
            <w:vAlign w:val="center"/>
          </w:tcPr>
          <w:p w14:paraId="1219BA95">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13 </w:t>
            </w:r>
          </w:p>
        </w:tc>
        <w:tc>
          <w:tcPr>
            <w:tcW w:w="967" w:type="dxa"/>
            <w:vMerge w:val="continue"/>
            <w:tcBorders>
              <w:top w:val="single" w:color="000000" w:sz="4" w:space="0"/>
              <w:left w:val="single" w:color="000000" w:sz="4" w:space="0"/>
              <w:bottom w:val="single" w:color="000000" w:sz="4" w:space="0"/>
              <w:right w:val="single" w:color="000000" w:sz="4" w:space="0"/>
            </w:tcBorders>
            <w:vAlign w:val="center"/>
          </w:tcPr>
          <w:p w14:paraId="00179424">
            <w:pPr>
              <w:spacing w:line="360" w:lineRule="auto"/>
              <w:jc w:val="center"/>
              <w:rPr>
                <w:rFonts w:hint="eastAsia" w:asciiTheme="minorEastAsia" w:hAnsiTheme="minorEastAsia" w:eastAsiaTheme="minorEastAsia" w:cstheme="minorEastAsia"/>
                <w:color w:val="auto"/>
                <w:sz w:val="24"/>
                <w:highlight w:val="none"/>
              </w:rPr>
            </w:pPr>
          </w:p>
        </w:tc>
        <w:tc>
          <w:tcPr>
            <w:tcW w:w="2167" w:type="dxa"/>
            <w:tcBorders>
              <w:top w:val="single" w:color="000000" w:sz="4" w:space="0"/>
              <w:left w:val="single" w:color="000000" w:sz="4" w:space="0"/>
              <w:bottom w:val="single" w:color="000000" w:sz="4" w:space="0"/>
              <w:right w:val="single" w:color="000000" w:sz="4" w:space="0"/>
            </w:tcBorders>
            <w:vAlign w:val="center"/>
          </w:tcPr>
          <w:p w14:paraId="239ACA6C">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绿化管理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0454648F">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现状管理，植物修剪整齐，无杂物、垃圾。</w:t>
            </w:r>
          </w:p>
        </w:tc>
        <w:tc>
          <w:tcPr>
            <w:tcW w:w="734" w:type="dxa"/>
            <w:tcBorders>
              <w:top w:val="single" w:color="000000" w:sz="4" w:space="0"/>
              <w:left w:val="single" w:color="000000" w:sz="4" w:space="0"/>
              <w:bottom w:val="single" w:color="000000" w:sz="4" w:space="0"/>
              <w:right w:val="single" w:color="000000" w:sz="4" w:space="0"/>
            </w:tcBorders>
            <w:vAlign w:val="center"/>
          </w:tcPr>
          <w:p w14:paraId="34A28277">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6BEE64DB">
        <w:tblPrEx>
          <w:tblCellMar>
            <w:top w:w="0" w:type="dxa"/>
            <w:left w:w="108" w:type="dxa"/>
            <w:bottom w:w="0" w:type="dxa"/>
            <w:right w:w="108" w:type="dxa"/>
          </w:tblCellMar>
        </w:tblPrEx>
        <w:trPr>
          <w:trHeight w:val="336" w:hRule="atLeast"/>
          <w:jc w:val="center"/>
        </w:trPr>
        <w:tc>
          <w:tcPr>
            <w:tcW w:w="594" w:type="dxa"/>
            <w:tcBorders>
              <w:top w:val="single" w:color="000000" w:sz="4" w:space="0"/>
              <w:left w:val="single" w:color="000000" w:sz="4" w:space="0"/>
              <w:bottom w:val="single" w:color="000000" w:sz="4" w:space="0"/>
              <w:right w:val="single" w:color="000000" w:sz="4" w:space="0"/>
            </w:tcBorders>
            <w:vAlign w:val="center"/>
          </w:tcPr>
          <w:p w14:paraId="4B43316E">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14 </w:t>
            </w:r>
          </w:p>
        </w:tc>
        <w:tc>
          <w:tcPr>
            <w:tcW w:w="967" w:type="dxa"/>
            <w:vMerge w:val="continue"/>
            <w:tcBorders>
              <w:top w:val="single" w:color="000000" w:sz="4" w:space="0"/>
              <w:left w:val="single" w:color="000000" w:sz="4" w:space="0"/>
              <w:bottom w:val="single" w:color="000000" w:sz="4" w:space="0"/>
              <w:right w:val="single" w:color="000000" w:sz="4" w:space="0"/>
            </w:tcBorders>
            <w:vAlign w:val="center"/>
          </w:tcPr>
          <w:p w14:paraId="6BCC3202">
            <w:pPr>
              <w:spacing w:line="360" w:lineRule="auto"/>
              <w:jc w:val="center"/>
              <w:rPr>
                <w:rFonts w:hint="eastAsia" w:asciiTheme="minorEastAsia" w:hAnsiTheme="minorEastAsia" w:eastAsiaTheme="minorEastAsia" w:cstheme="minorEastAsia"/>
                <w:color w:val="auto"/>
                <w:sz w:val="24"/>
                <w:highlight w:val="none"/>
              </w:rPr>
            </w:pPr>
          </w:p>
        </w:tc>
        <w:tc>
          <w:tcPr>
            <w:tcW w:w="2167" w:type="dxa"/>
            <w:tcBorders>
              <w:top w:val="single" w:color="000000" w:sz="4" w:space="0"/>
              <w:left w:val="single" w:color="000000" w:sz="4" w:space="0"/>
              <w:bottom w:val="single" w:color="000000" w:sz="4" w:space="0"/>
              <w:right w:val="single" w:color="000000" w:sz="4" w:space="0"/>
            </w:tcBorders>
            <w:vAlign w:val="center"/>
          </w:tcPr>
          <w:p w14:paraId="13A769E5">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消杀管理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189630B7">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公共区域定期做防虫及消杀工作，并记录。</w:t>
            </w:r>
          </w:p>
        </w:tc>
        <w:tc>
          <w:tcPr>
            <w:tcW w:w="734" w:type="dxa"/>
            <w:tcBorders>
              <w:top w:val="single" w:color="000000" w:sz="4" w:space="0"/>
              <w:left w:val="single" w:color="000000" w:sz="4" w:space="0"/>
              <w:bottom w:val="single" w:color="000000" w:sz="4" w:space="0"/>
              <w:right w:val="single" w:color="000000" w:sz="4" w:space="0"/>
            </w:tcBorders>
            <w:vAlign w:val="center"/>
          </w:tcPr>
          <w:p w14:paraId="54D78AA3">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487450B3">
        <w:tblPrEx>
          <w:tblCellMar>
            <w:top w:w="0" w:type="dxa"/>
            <w:left w:w="108" w:type="dxa"/>
            <w:bottom w:w="0" w:type="dxa"/>
            <w:right w:w="108" w:type="dxa"/>
          </w:tblCellMar>
        </w:tblPrEx>
        <w:trPr>
          <w:trHeight w:val="340" w:hRule="atLeast"/>
          <w:jc w:val="center"/>
        </w:trPr>
        <w:tc>
          <w:tcPr>
            <w:tcW w:w="594" w:type="dxa"/>
            <w:tcBorders>
              <w:top w:val="single" w:color="000000" w:sz="4" w:space="0"/>
              <w:left w:val="single" w:color="000000" w:sz="4" w:space="0"/>
              <w:bottom w:val="single" w:color="000000" w:sz="4" w:space="0"/>
              <w:right w:val="single" w:color="000000" w:sz="4" w:space="0"/>
            </w:tcBorders>
            <w:vAlign w:val="center"/>
          </w:tcPr>
          <w:p w14:paraId="33A01700">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15 </w:t>
            </w:r>
          </w:p>
        </w:tc>
        <w:tc>
          <w:tcPr>
            <w:tcW w:w="967" w:type="dxa"/>
            <w:tcBorders>
              <w:top w:val="single" w:color="000000" w:sz="4" w:space="0"/>
              <w:left w:val="single" w:color="000000" w:sz="4" w:space="0"/>
              <w:bottom w:val="single" w:color="000000" w:sz="4" w:space="0"/>
              <w:right w:val="single" w:color="000000" w:sz="4" w:space="0"/>
            </w:tcBorders>
            <w:vAlign w:val="center"/>
          </w:tcPr>
          <w:p w14:paraId="1F9F3524">
            <w:pPr>
              <w:widowControl/>
              <w:spacing w:line="360" w:lineRule="auto"/>
              <w:jc w:val="center"/>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其他</w:t>
            </w:r>
          </w:p>
        </w:tc>
        <w:tc>
          <w:tcPr>
            <w:tcW w:w="2167" w:type="dxa"/>
            <w:tcBorders>
              <w:top w:val="single" w:color="000000" w:sz="4" w:space="0"/>
              <w:left w:val="single" w:color="000000" w:sz="4" w:space="0"/>
              <w:bottom w:val="single" w:color="000000" w:sz="4" w:space="0"/>
              <w:right w:val="single" w:color="000000" w:sz="4" w:space="0"/>
            </w:tcBorders>
            <w:vAlign w:val="center"/>
          </w:tcPr>
          <w:p w14:paraId="39C66D43">
            <w:pPr>
              <w:widowControl/>
              <w:spacing w:line="360" w:lineRule="auto"/>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施工管理</w:t>
            </w:r>
          </w:p>
        </w:tc>
        <w:tc>
          <w:tcPr>
            <w:tcW w:w="4466" w:type="dxa"/>
            <w:tcBorders>
              <w:top w:val="single" w:color="000000" w:sz="4" w:space="0"/>
              <w:left w:val="single" w:color="000000" w:sz="4" w:space="0"/>
              <w:bottom w:val="single" w:color="000000" w:sz="4" w:space="0"/>
              <w:right w:val="single" w:color="000000" w:sz="4" w:space="0"/>
            </w:tcBorders>
            <w:vAlign w:val="center"/>
          </w:tcPr>
          <w:p w14:paraId="0C5A6C40">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做好相关施工现场管理，做好登记及现场安全管理。</w:t>
            </w:r>
          </w:p>
        </w:tc>
        <w:tc>
          <w:tcPr>
            <w:tcW w:w="734" w:type="dxa"/>
            <w:tcBorders>
              <w:top w:val="single" w:color="000000" w:sz="4" w:space="0"/>
              <w:left w:val="single" w:color="000000" w:sz="4" w:space="0"/>
              <w:bottom w:val="single" w:color="000000" w:sz="4" w:space="0"/>
              <w:right w:val="single" w:color="000000" w:sz="4" w:space="0"/>
            </w:tcBorders>
            <w:vAlign w:val="center"/>
          </w:tcPr>
          <w:p w14:paraId="03F77C9D">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 </w:t>
            </w:r>
          </w:p>
        </w:tc>
      </w:tr>
      <w:tr w14:paraId="1A0C8FBD">
        <w:tblPrEx>
          <w:tblCellMar>
            <w:top w:w="0" w:type="dxa"/>
            <w:left w:w="108" w:type="dxa"/>
            <w:bottom w:w="0" w:type="dxa"/>
            <w:right w:w="108" w:type="dxa"/>
          </w:tblCellMar>
        </w:tblPrEx>
        <w:trPr>
          <w:trHeight w:val="336" w:hRule="atLeast"/>
          <w:jc w:val="center"/>
        </w:trPr>
        <w:tc>
          <w:tcPr>
            <w:tcW w:w="8194" w:type="dxa"/>
            <w:gridSpan w:val="4"/>
            <w:tcBorders>
              <w:top w:val="single" w:color="000000" w:sz="4" w:space="0"/>
              <w:left w:val="single" w:color="000000" w:sz="4" w:space="0"/>
              <w:bottom w:val="single" w:color="000000" w:sz="4" w:space="0"/>
              <w:right w:val="single" w:color="000000" w:sz="4" w:space="0"/>
            </w:tcBorders>
            <w:vAlign w:val="center"/>
          </w:tcPr>
          <w:p w14:paraId="3148CFAD">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合计</w:t>
            </w:r>
          </w:p>
        </w:tc>
        <w:tc>
          <w:tcPr>
            <w:tcW w:w="734" w:type="dxa"/>
            <w:tcBorders>
              <w:top w:val="single" w:color="000000" w:sz="4" w:space="0"/>
              <w:left w:val="single" w:color="000000" w:sz="4" w:space="0"/>
              <w:bottom w:val="single" w:color="000000" w:sz="4" w:space="0"/>
              <w:right w:val="single" w:color="000000" w:sz="4" w:space="0"/>
            </w:tcBorders>
            <w:vAlign w:val="center"/>
          </w:tcPr>
          <w:p w14:paraId="5153E1DC">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150 </w:t>
            </w:r>
          </w:p>
        </w:tc>
      </w:tr>
    </w:tbl>
    <w:p w14:paraId="6EF2FED4">
      <w:pPr>
        <w:pStyle w:val="27"/>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服务测评标准采取“扣分制”和“扣款制”相结合的办法，考核总分150分，考核结果大于等于130分认定为合格，不扣款；考核结果为80（含）~130分（不含）认定为待改进，按扣分数5分=1000元的标准转换为扣款，在当期</w:t>
      </w:r>
      <w:r>
        <w:rPr>
          <w:rFonts w:hint="eastAsia" w:asciiTheme="minorEastAsia" w:hAnsiTheme="minorEastAsia" w:eastAsiaTheme="minorEastAsia" w:cstheme="minorEastAsia"/>
          <w:color w:val="auto"/>
          <w:sz w:val="24"/>
          <w:highlight w:val="none"/>
          <w:lang w:eastAsia="zh-Hans" w:bidi="ar"/>
        </w:rPr>
        <w:t>服务费用</w:t>
      </w:r>
      <w:r>
        <w:rPr>
          <w:rFonts w:hint="eastAsia" w:asciiTheme="minorEastAsia" w:hAnsiTheme="minorEastAsia" w:eastAsiaTheme="minorEastAsia" w:cstheme="minorEastAsia"/>
          <w:color w:val="auto"/>
          <w:sz w:val="24"/>
          <w:highlight w:val="none"/>
          <w:lang w:bidi="ar"/>
        </w:rPr>
        <w:t>中扣除；考核结果小于80分认定为不合格。</w:t>
      </w:r>
    </w:p>
    <w:p w14:paraId="7B26FB8E">
      <w:pPr>
        <w:pStyle w:val="27"/>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除以上评价内容外，若乙方不服从甲方管理，不完成甲方安排的工作，每次扣5分，3次以上终止合同。</w:t>
      </w:r>
    </w:p>
    <w:p w14:paraId="218D7032">
      <w:pPr>
        <w:keepNext/>
        <w:keepLines/>
        <w:spacing w:line="360" w:lineRule="auto"/>
        <w:ind w:firstLine="482" w:firstLineChars="200"/>
        <w:outlineLvl w:val="2"/>
        <w:rPr>
          <w:rFonts w:hint="eastAsia" w:ascii="宋体" w:hAnsi="宋体" w:cs="宋体"/>
          <w:b/>
          <w:color w:val="auto"/>
          <w:sz w:val="32"/>
          <w:szCs w:val="20"/>
          <w:highlight w:val="none"/>
        </w:rPr>
      </w:pPr>
      <w:r>
        <w:rPr>
          <w:rFonts w:hint="eastAsia" w:ascii="宋体" w:hAnsi="宋体" w:cs="宋体"/>
          <w:b/>
          <w:color w:val="auto"/>
          <w:sz w:val="24"/>
          <w:highlight w:val="none"/>
        </w:rPr>
        <w:t>九、付款方式</w:t>
      </w:r>
    </w:p>
    <w:p w14:paraId="4A160083">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（一）费用分为两部分：第一部分为物业服务费；第二部分为开办清洁专项服务费；</w:t>
      </w:r>
    </w:p>
    <w:p w14:paraId="491E6CF8">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（二）第一部分物业服务费按</w:t>
      </w:r>
      <w:r>
        <w:rPr>
          <w:rFonts w:hint="eastAsia" w:ascii="宋体" w:hAnsi="宋体" w:cs="宋体"/>
          <w:color w:val="auto"/>
          <w:sz w:val="24"/>
          <w:highlight w:val="none"/>
        </w:rPr>
        <w:t>每日单价×实际进场天数确定</w:t>
      </w:r>
      <w:r>
        <w:rPr>
          <w:rFonts w:hint="eastAsia" w:ascii="宋体" w:hAnsi="宋体" w:cs="宋体"/>
          <w:color w:val="auto"/>
          <w:kern w:val="0"/>
          <w:sz w:val="24"/>
          <w:highlight w:val="none"/>
        </w:rPr>
        <w:t>，并按照考核结果进行修正后得出每月实际应支付服务费。服务费采用月度支付方式，并于次月支付上月费用</w:t>
      </w:r>
      <w:r>
        <w:rPr>
          <w:rFonts w:hint="eastAsia" w:asciiTheme="minorEastAsia" w:hAnsiTheme="minorEastAsia" w:eastAsiaTheme="minorEastAsia" w:cstheme="minorEastAsia"/>
          <w:color w:val="auto"/>
          <w:sz w:val="24"/>
          <w:highlight w:val="none"/>
        </w:rPr>
        <w:t>（遇节假日及比选人委托管理的院区放假，支付时间顺延）</w:t>
      </w:r>
      <w:r>
        <w:rPr>
          <w:rFonts w:hint="eastAsia" w:ascii="宋体" w:hAnsi="宋体" w:cs="宋体"/>
          <w:color w:val="auto"/>
          <w:kern w:val="0"/>
          <w:sz w:val="24"/>
          <w:highlight w:val="none"/>
        </w:rPr>
        <w:t>。比选人按照考核结果计算每月实际应支付服务费，中选人应按考核结果确定的服务费金额出具有效发票，比选人据此支付该月物业服务费用。</w:t>
      </w:r>
    </w:p>
    <w:p w14:paraId="2F473598">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（三）第二部分开办清洁服务费，经比选人验收合格后，由中选人按验收结果确定的服务费金额向比选人出具合法有效发票。该笔款项将与最后一个月物业服务费一同支付。</w:t>
      </w:r>
    </w:p>
    <w:p w14:paraId="59DFD75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w:t>
      </w:r>
      <w:r>
        <w:rPr>
          <w:rFonts w:ascii="宋体" w:hAnsi="宋体" w:cs="宋体"/>
          <w:color w:val="auto"/>
          <w:sz w:val="24"/>
          <w:highlight w:val="none"/>
        </w:rPr>
        <w:t>合同签订总金额</w:t>
      </w:r>
      <w:r>
        <w:rPr>
          <w:rFonts w:hint="eastAsia" w:ascii="宋体" w:hAnsi="宋体" w:cs="宋体"/>
          <w:color w:val="auto"/>
          <w:sz w:val="24"/>
          <w:highlight w:val="none"/>
        </w:rPr>
        <w:t>为</w:t>
      </w:r>
      <w:r>
        <w:rPr>
          <w:rFonts w:hint="eastAsia" w:ascii="宋体" w:hAnsi="宋体" w:cs="宋体"/>
          <w:color w:val="auto"/>
          <w:kern w:val="0"/>
          <w:sz w:val="24"/>
          <w:highlight w:val="none"/>
        </w:rPr>
        <w:t>物业服务费</w:t>
      </w:r>
      <w:r>
        <w:rPr>
          <w:rFonts w:hint="eastAsia" w:ascii="宋体" w:hAnsi="宋体" w:cs="宋体"/>
          <w:color w:val="auto"/>
          <w:sz w:val="24"/>
          <w:highlight w:val="none"/>
        </w:rPr>
        <w:t>和开办清洁费之和，其中</w:t>
      </w:r>
      <w:r>
        <w:rPr>
          <w:rFonts w:hint="eastAsia" w:ascii="宋体" w:hAnsi="宋体" w:cs="宋体"/>
          <w:color w:val="auto"/>
          <w:kern w:val="0"/>
          <w:sz w:val="24"/>
          <w:highlight w:val="none"/>
        </w:rPr>
        <w:t>物业服务费</w:t>
      </w:r>
      <w:r>
        <w:rPr>
          <w:rFonts w:hint="eastAsia" w:ascii="宋体" w:hAnsi="宋体" w:cs="宋体"/>
          <w:color w:val="auto"/>
          <w:sz w:val="24"/>
          <w:highlight w:val="none"/>
        </w:rPr>
        <w:t>根据中选人提供的每日单价×实际进场天数确定。</w:t>
      </w:r>
    </w:p>
    <w:p w14:paraId="7B551D9D">
      <w:pPr>
        <w:pStyle w:val="2"/>
        <w:rPr>
          <w:color w:val="auto"/>
          <w:highlight w:val="none"/>
        </w:rPr>
      </w:pPr>
    </w:p>
    <w:p w14:paraId="0B5DF74A">
      <w:pPr>
        <w:rPr>
          <w:rFonts w:hint="eastAsia" w:asciiTheme="minorEastAsia" w:hAnsiTheme="minorEastAsia" w:eastAsiaTheme="minorEastAsia" w:cstheme="minorEastAsia"/>
          <w:color w:val="auto"/>
          <w:highlight w:val="none"/>
        </w:rPr>
      </w:pPr>
      <w:bookmarkStart w:id="530" w:name="_Toc287620812"/>
      <w:bookmarkStart w:id="531" w:name="_Toc509218852"/>
      <w:bookmarkStart w:id="532" w:name="_Toc4333"/>
      <w:bookmarkStart w:id="533" w:name="_Toc287607865"/>
      <w:bookmarkStart w:id="534" w:name="_Toc23843"/>
      <w:bookmarkStart w:id="535" w:name="_Toc534185829"/>
      <w:bookmarkStart w:id="536" w:name="_Toc430530528"/>
      <w:r>
        <w:rPr>
          <w:rFonts w:hint="eastAsia" w:asciiTheme="minorEastAsia" w:hAnsiTheme="minorEastAsia" w:eastAsiaTheme="minorEastAsia" w:cstheme="minorEastAsia"/>
          <w:color w:val="auto"/>
          <w:highlight w:val="none"/>
        </w:rPr>
        <w:br w:type="page"/>
      </w:r>
    </w:p>
    <w:p w14:paraId="2EE4910C">
      <w:pPr>
        <w:pStyle w:val="3"/>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第六章  竞选文件格式</w:t>
      </w:r>
      <w:bookmarkEnd w:id="530"/>
      <w:bookmarkEnd w:id="531"/>
      <w:bookmarkEnd w:id="532"/>
      <w:bookmarkEnd w:id="533"/>
      <w:bookmarkEnd w:id="534"/>
      <w:bookmarkEnd w:id="535"/>
      <w:bookmarkEnd w:id="536"/>
    </w:p>
    <w:p w14:paraId="119D57EC">
      <w:pPr>
        <w:spacing w:line="360" w:lineRule="auto"/>
        <w:rPr>
          <w:rFonts w:hint="eastAsia" w:asciiTheme="minorEastAsia" w:hAnsiTheme="minorEastAsia" w:eastAsiaTheme="minorEastAsia" w:cstheme="minorEastAsia"/>
          <w:color w:val="auto"/>
          <w:sz w:val="32"/>
          <w:szCs w:val="32"/>
          <w:highlight w:val="none"/>
        </w:rPr>
      </w:pPr>
    </w:p>
    <w:p w14:paraId="5C42B50D">
      <w:pPr>
        <w:autoSpaceDE w:val="0"/>
        <w:autoSpaceDN w:val="0"/>
        <w:adjustRightInd w:val="0"/>
        <w:spacing w:line="276" w:lineRule="auto"/>
        <w:ind w:right="-23"/>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br w:type="page"/>
      </w:r>
      <w:bookmarkStart w:id="537" w:name="_Toc277082642"/>
      <w:bookmarkStart w:id="538" w:name="_Toc430530529"/>
      <w:bookmarkStart w:id="539" w:name="_Toc224103494"/>
      <w:bookmarkStart w:id="540" w:name="_Toc287607866"/>
      <w:bookmarkStart w:id="541" w:name="_Toc287620813"/>
    </w:p>
    <w:bookmarkEnd w:id="537"/>
    <w:bookmarkEnd w:id="538"/>
    <w:bookmarkEnd w:id="539"/>
    <w:bookmarkEnd w:id="540"/>
    <w:bookmarkEnd w:id="541"/>
    <w:p w14:paraId="06289608">
      <w:pPr>
        <w:spacing w:line="360" w:lineRule="auto"/>
        <w:jc w:val="center"/>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 xml:space="preserve">                   （项目名称）</w:t>
      </w:r>
    </w:p>
    <w:p w14:paraId="5E10705E">
      <w:pPr>
        <w:tabs>
          <w:tab w:val="left" w:pos="3600"/>
          <w:tab w:val="left" w:pos="4480"/>
          <w:tab w:val="left" w:pos="5360"/>
        </w:tabs>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44"/>
          <w:szCs w:val="44"/>
          <w:highlight w:val="none"/>
        </w:rPr>
      </w:pPr>
    </w:p>
    <w:p w14:paraId="37B3C095">
      <w:pPr>
        <w:tabs>
          <w:tab w:val="left" w:pos="3600"/>
          <w:tab w:val="left" w:pos="4480"/>
          <w:tab w:val="left" w:pos="5360"/>
        </w:tabs>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44"/>
          <w:szCs w:val="44"/>
          <w:highlight w:val="none"/>
        </w:rPr>
      </w:pPr>
    </w:p>
    <w:p w14:paraId="05EFE654">
      <w:pPr>
        <w:tabs>
          <w:tab w:val="left" w:pos="3600"/>
          <w:tab w:val="left" w:pos="4480"/>
          <w:tab w:val="left" w:pos="5360"/>
        </w:tabs>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44"/>
          <w:szCs w:val="44"/>
          <w:highlight w:val="none"/>
        </w:rPr>
      </w:pPr>
    </w:p>
    <w:p w14:paraId="5F63E1F5">
      <w:pPr>
        <w:tabs>
          <w:tab w:val="left" w:pos="3600"/>
          <w:tab w:val="left" w:pos="4480"/>
          <w:tab w:val="left" w:pos="5360"/>
        </w:tabs>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44"/>
          <w:szCs w:val="44"/>
          <w:highlight w:val="none"/>
        </w:rPr>
      </w:pPr>
    </w:p>
    <w:p w14:paraId="15E04BBF">
      <w:pPr>
        <w:tabs>
          <w:tab w:val="left" w:pos="3600"/>
          <w:tab w:val="left" w:pos="4480"/>
          <w:tab w:val="left" w:pos="5360"/>
        </w:tabs>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44"/>
          <w:szCs w:val="44"/>
          <w:highlight w:val="none"/>
        </w:rPr>
      </w:pPr>
    </w:p>
    <w:p w14:paraId="58C6ACC3">
      <w:pPr>
        <w:tabs>
          <w:tab w:val="left" w:pos="3600"/>
          <w:tab w:val="left" w:pos="4480"/>
          <w:tab w:val="left" w:pos="5360"/>
        </w:tabs>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72"/>
          <w:szCs w:val="72"/>
          <w:highlight w:val="none"/>
        </w:rPr>
      </w:pPr>
      <w:r>
        <w:rPr>
          <w:rFonts w:hint="eastAsia" w:asciiTheme="minorEastAsia" w:hAnsiTheme="minorEastAsia" w:eastAsiaTheme="minorEastAsia" w:cstheme="minorEastAsia"/>
          <w:color w:val="auto"/>
          <w:kern w:val="0"/>
          <w:sz w:val="72"/>
          <w:szCs w:val="72"/>
          <w:highlight w:val="none"/>
        </w:rPr>
        <w:t>竞 标 文 件</w:t>
      </w:r>
    </w:p>
    <w:p w14:paraId="58DE8E87">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16"/>
          <w:szCs w:val="16"/>
          <w:highlight w:val="none"/>
        </w:rPr>
      </w:pPr>
    </w:p>
    <w:p w14:paraId="6D0EBB24">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0"/>
          <w:szCs w:val="20"/>
          <w:highlight w:val="none"/>
        </w:rPr>
      </w:pPr>
    </w:p>
    <w:p w14:paraId="692E35B5">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0"/>
          <w:szCs w:val="20"/>
          <w:highlight w:val="none"/>
        </w:rPr>
      </w:pPr>
    </w:p>
    <w:p w14:paraId="2CCF54AB">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0"/>
          <w:szCs w:val="20"/>
          <w:highlight w:val="none"/>
        </w:rPr>
      </w:pPr>
    </w:p>
    <w:p w14:paraId="28EFFDE3">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0"/>
          <w:szCs w:val="20"/>
          <w:highlight w:val="none"/>
        </w:rPr>
      </w:pPr>
    </w:p>
    <w:p w14:paraId="19EBB82C">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0"/>
          <w:szCs w:val="20"/>
          <w:highlight w:val="none"/>
        </w:rPr>
      </w:pPr>
    </w:p>
    <w:p w14:paraId="03052723">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0"/>
          <w:szCs w:val="20"/>
          <w:highlight w:val="none"/>
        </w:rPr>
      </w:pPr>
    </w:p>
    <w:p w14:paraId="77BB1133">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0"/>
          <w:szCs w:val="20"/>
          <w:highlight w:val="none"/>
        </w:rPr>
      </w:pPr>
    </w:p>
    <w:p w14:paraId="5E8FC72A">
      <w:pPr>
        <w:tabs>
          <w:tab w:val="left" w:pos="6080"/>
          <w:tab w:val="left" w:pos="6640"/>
        </w:tabs>
        <w:autoSpaceDE w:val="0"/>
        <w:autoSpaceDN w:val="0"/>
        <w:adjustRightInd w:val="0"/>
        <w:snapToGrid w:val="0"/>
        <w:spacing w:after="156" w:afterLines="50" w:line="360" w:lineRule="auto"/>
        <w:jc w:val="center"/>
        <w:rPr>
          <w:rFonts w:hint="eastAsia" w:asciiTheme="minorEastAsia" w:hAnsiTheme="minorEastAsia" w:eastAsiaTheme="minorEastAsia" w:cstheme="minorEastAsia"/>
          <w:color w:val="auto"/>
          <w:w w:val="99"/>
          <w:kern w:val="0"/>
          <w:sz w:val="28"/>
          <w:szCs w:val="28"/>
          <w:highlight w:val="none"/>
        </w:rPr>
      </w:pPr>
      <w:r>
        <w:rPr>
          <w:rFonts w:hint="eastAsia" w:asciiTheme="minorEastAsia" w:hAnsiTheme="minorEastAsia" w:eastAsiaTheme="minorEastAsia" w:cstheme="minorEastAsia"/>
          <w:color w:val="auto"/>
          <w:w w:val="99"/>
          <w:kern w:val="0"/>
          <w:sz w:val="28"/>
          <w:szCs w:val="28"/>
          <w:highlight w:val="none"/>
        </w:rPr>
        <w:t>竞选人</w:t>
      </w:r>
      <w:r>
        <w:rPr>
          <w:rFonts w:hint="eastAsia" w:asciiTheme="minorEastAsia" w:hAnsiTheme="minorEastAsia" w:eastAsiaTheme="minorEastAsia" w:cstheme="minorEastAsia"/>
          <w:color w:val="auto"/>
          <w:spacing w:val="1"/>
          <w:w w:val="99"/>
          <w:kern w:val="0"/>
          <w:sz w:val="28"/>
          <w:szCs w:val="28"/>
          <w:highlight w:val="none"/>
        </w:rPr>
        <w:t>：</w:t>
      </w:r>
      <w:r>
        <w:rPr>
          <w:rFonts w:hint="eastAsia" w:asciiTheme="minorEastAsia" w:hAnsiTheme="minorEastAsia" w:eastAsiaTheme="minorEastAsia" w:cstheme="minorEastAsia"/>
          <w:color w:val="auto"/>
          <w:w w:val="198"/>
          <w:kern w:val="0"/>
          <w:sz w:val="28"/>
          <w:szCs w:val="28"/>
          <w:highlight w:val="none"/>
        </w:rPr>
        <w:t xml:space="preserve"> 　　　　 　　</w:t>
      </w:r>
      <w:r>
        <w:rPr>
          <w:rFonts w:hint="eastAsia" w:asciiTheme="minorEastAsia" w:hAnsiTheme="minorEastAsia" w:eastAsiaTheme="minorEastAsia" w:cstheme="minorEastAsia"/>
          <w:color w:val="auto"/>
          <w:w w:val="99"/>
          <w:kern w:val="0"/>
          <w:sz w:val="28"/>
          <w:szCs w:val="28"/>
          <w:highlight w:val="none"/>
        </w:rPr>
        <w:t>（盖单位法人章）</w:t>
      </w:r>
    </w:p>
    <w:p w14:paraId="4CD88DEB">
      <w:pPr>
        <w:tabs>
          <w:tab w:val="left" w:pos="6080"/>
          <w:tab w:val="left" w:pos="6640"/>
        </w:tabs>
        <w:autoSpaceDE w:val="0"/>
        <w:autoSpaceDN w:val="0"/>
        <w:adjustRightInd w:val="0"/>
        <w:snapToGrid w:val="0"/>
        <w:spacing w:after="156" w:afterLines="50" w:line="360" w:lineRule="auto"/>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w w:val="99"/>
          <w:kern w:val="0"/>
          <w:sz w:val="28"/>
          <w:szCs w:val="28"/>
          <w:highlight w:val="none"/>
        </w:rPr>
        <w:t>法定代表人或其委托代理人：</w:t>
      </w:r>
      <w:r>
        <w:rPr>
          <w:rFonts w:hint="eastAsia" w:asciiTheme="minorEastAsia" w:hAnsiTheme="minorEastAsia" w:eastAsiaTheme="minorEastAsia" w:cstheme="minorEastAsia"/>
          <w:color w:val="auto"/>
          <w:w w:val="198"/>
          <w:kern w:val="0"/>
          <w:sz w:val="28"/>
          <w:szCs w:val="28"/>
          <w:highlight w:val="none"/>
        </w:rPr>
        <w:t xml:space="preserve"> 　　 </w:t>
      </w:r>
      <w:r>
        <w:rPr>
          <w:rFonts w:hint="eastAsia" w:asciiTheme="minorEastAsia" w:hAnsiTheme="minorEastAsia" w:eastAsiaTheme="minorEastAsia" w:cstheme="minorEastAsia"/>
          <w:color w:val="auto"/>
          <w:w w:val="99"/>
          <w:kern w:val="0"/>
          <w:sz w:val="28"/>
          <w:szCs w:val="28"/>
          <w:highlight w:val="none"/>
        </w:rPr>
        <w:t>（签名或盖章）</w:t>
      </w:r>
    </w:p>
    <w:p w14:paraId="2AC94D49">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1"/>
          <w:highlight w:val="none"/>
        </w:rPr>
      </w:pPr>
      <w:r>
        <w:rPr>
          <w:rFonts w:hint="eastAsia" w:asciiTheme="minorEastAsia" w:hAnsiTheme="minorEastAsia" w:eastAsiaTheme="minorEastAsia" w:cstheme="minorEastAsia"/>
          <w:color w:val="auto"/>
          <w:w w:val="99"/>
          <w:kern w:val="0"/>
          <w:sz w:val="28"/>
          <w:szCs w:val="28"/>
          <w:highlight w:val="none"/>
        </w:rPr>
        <w:t xml:space="preserve">    年    月    日</w:t>
      </w:r>
      <w:r>
        <w:rPr>
          <w:rFonts w:hint="eastAsia" w:asciiTheme="minorEastAsia" w:hAnsiTheme="minorEastAsia" w:eastAsiaTheme="minorEastAsia" w:cstheme="minorEastAsia"/>
          <w:color w:val="auto"/>
          <w:kern w:val="0"/>
          <w:sz w:val="24"/>
          <w:szCs w:val="21"/>
          <w:highlight w:val="none"/>
        </w:rPr>
        <w:br w:type="page"/>
      </w:r>
    </w:p>
    <w:p w14:paraId="07A6A5FE">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36"/>
          <w:szCs w:val="36"/>
          <w:highlight w:val="none"/>
        </w:rPr>
      </w:pPr>
      <w:r>
        <w:rPr>
          <w:rFonts w:hint="eastAsia" w:asciiTheme="minorEastAsia" w:hAnsiTheme="minorEastAsia" w:eastAsiaTheme="minorEastAsia" w:cstheme="minorEastAsia"/>
          <w:color w:val="auto"/>
          <w:kern w:val="0"/>
          <w:sz w:val="36"/>
          <w:szCs w:val="36"/>
          <w:highlight w:val="none"/>
        </w:rPr>
        <w:t>目  录</w:t>
      </w:r>
    </w:p>
    <w:p w14:paraId="1F3AA4CB">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4"/>
          <w:szCs w:val="21"/>
          <w:highlight w:val="none"/>
        </w:rPr>
      </w:pPr>
    </w:p>
    <w:p w14:paraId="27D0B6F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（一）竞选函及分项报价表</w:t>
      </w:r>
    </w:p>
    <w:p w14:paraId="0D081CE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（二）法定代表人身份证明或附有法定代表人身份证明的授权委托书</w:t>
      </w:r>
    </w:p>
    <w:p w14:paraId="0B4A082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（三）类似项目情况表</w:t>
      </w:r>
    </w:p>
    <w:p w14:paraId="3227EDD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（四）承诺</w:t>
      </w:r>
    </w:p>
    <w:p w14:paraId="40DC9FA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（五）服务方案</w:t>
      </w:r>
    </w:p>
    <w:p w14:paraId="6AE6CE1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（六）其他资料</w:t>
      </w:r>
    </w:p>
    <w:p w14:paraId="337D6089">
      <w:pPr>
        <w:autoSpaceDE w:val="0"/>
        <w:autoSpaceDN w:val="0"/>
        <w:adjustRightInd w:val="0"/>
        <w:snapToGrid w:val="0"/>
        <w:spacing w:line="360" w:lineRule="auto"/>
        <w:jc w:val="left"/>
        <w:rPr>
          <w:rFonts w:hint="eastAsia" w:asciiTheme="minorEastAsia" w:hAnsiTheme="minorEastAsia" w:eastAsiaTheme="minorEastAsia" w:cstheme="minorEastAsia"/>
          <w:color w:val="auto"/>
          <w:w w:val="99"/>
          <w:kern w:val="0"/>
          <w:sz w:val="28"/>
          <w:szCs w:val="28"/>
          <w:highlight w:val="none"/>
        </w:rPr>
      </w:pPr>
    </w:p>
    <w:p w14:paraId="6BED3E4F">
      <w:pPr>
        <w:pStyle w:val="5"/>
        <w:spacing w:before="0" w:after="0" w:line="400" w:lineRule="exact"/>
        <w:jc w:val="center"/>
        <w:rPr>
          <w:rFonts w:hint="eastAsia" w:asciiTheme="minorEastAsia" w:hAnsiTheme="minorEastAsia" w:eastAsiaTheme="minorEastAsia" w:cstheme="minorEastAsia"/>
          <w:b w:val="0"/>
          <w:color w:val="auto"/>
          <w:highlight w:val="none"/>
        </w:rPr>
      </w:pPr>
      <w:bookmarkStart w:id="542" w:name="_Toc534185831"/>
      <w:bookmarkStart w:id="543" w:name="_Toc509218854"/>
      <w:bookmarkStart w:id="544" w:name="_Toc277082643"/>
      <w:bookmarkStart w:id="545" w:name="_Toc430530530"/>
      <w:bookmarkStart w:id="546" w:name="_Toc287620814"/>
      <w:bookmarkStart w:id="547" w:name="_Toc287607867"/>
      <w:bookmarkStart w:id="548" w:name="_Toc224103495"/>
      <w:r>
        <w:rPr>
          <w:rFonts w:hint="eastAsia" w:asciiTheme="minorEastAsia" w:hAnsiTheme="minorEastAsia" w:eastAsiaTheme="minorEastAsia" w:cstheme="minorEastAsia"/>
          <w:color w:val="auto"/>
          <w:highlight w:val="none"/>
        </w:rPr>
        <w:br w:type="page"/>
      </w:r>
      <w:bookmarkStart w:id="549" w:name="_Toc26071"/>
      <w:bookmarkStart w:id="550" w:name="_Toc4019"/>
      <w:bookmarkStart w:id="551" w:name="_Toc882"/>
      <w:r>
        <w:rPr>
          <w:rFonts w:hint="eastAsia" w:asciiTheme="minorEastAsia" w:hAnsiTheme="minorEastAsia" w:eastAsiaTheme="minorEastAsia" w:cstheme="minorEastAsia"/>
          <w:color w:val="auto"/>
          <w:highlight w:val="none"/>
        </w:rPr>
        <w:t>（一）</w:t>
      </w:r>
      <w:bookmarkEnd w:id="542"/>
      <w:bookmarkEnd w:id="543"/>
      <w:bookmarkEnd w:id="544"/>
      <w:bookmarkEnd w:id="545"/>
      <w:bookmarkEnd w:id="546"/>
      <w:bookmarkEnd w:id="547"/>
      <w:bookmarkEnd w:id="548"/>
      <w:bookmarkEnd w:id="549"/>
      <w:r>
        <w:rPr>
          <w:rFonts w:hint="eastAsia" w:asciiTheme="minorEastAsia" w:hAnsiTheme="minorEastAsia" w:eastAsiaTheme="minorEastAsia" w:cstheme="minorEastAsia"/>
          <w:color w:val="auto"/>
          <w:highlight w:val="none"/>
        </w:rPr>
        <w:t>竞选函</w:t>
      </w:r>
      <w:bookmarkEnd w:id="550"/>
      <w:bookmarkEnd w:id="551"/>
      <w:r>
        <w:rPr>
          <w:rFonts w:hint="eastAsia" w:asciiTheme="minorEastAsia" w:hAnsiTheme="minorEastAsia" w:eastAsiaTheme="minorEastAsia" w:cstheme="minorEastAsia"/>
          <w:color w:val="auto"/>
          <w:highlight w:val="none"/>
        </w:rPr>
        <w:t xml:space="preserve"> </w:t>
      </w:r>
    </w:p>
    <w:p w14:paraId="077C550A">
      <w:pPr>
        <w:tabs>
          <w:tab w:val="left" w:pos="2640"/>
        </w:tabs>
        <w:autoSpaceDE w:val="0"/>
        <w:autoSpaceDN w:val="0"/>
        <w:adjustRightInd w:val="0"/>
        <w:spacing w:line="400" w:lineRule="exact"/>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ab/>
      </w:r>
      <w:r>
        <w:rPr>
          <w:rFonts w:hint="eastAsia" w:asciiTheme="minorEastAsia" w:hAnsiTheme="minorEastAsia" w:eastAsiaTheme="minorEastAsia" w:cstheme="minorEastAsia"/>
          <w:snapToGrid w:val="0"/>
          <w:color w:val="auto"/>
          <w:kern w:val="0"/>
          <w:szCs w:val="21"/>
          <w:highlight w:val="none"/>
        </w:rPr>
        <w:t>（比选人名称）：</w:t>
      </w:r>
    </w:p>
    <w:p w14:paraId="47D70952">
      <w:pPr>
        <w:tabs>
          <w:tab w:val="left" w:pos="2655"/>
          <w:tab w:val="left" w:pos="3520"/>
          <w:tab w:val="left" w:pos="4920"/>
          <w:tab w:val="left" w:pos="5715"/>
          <w:tab w:val="left" w:pos="6945"/>
          <w:tab w:val="left" w:pos="7980"/>
        </w:tabs>
        <w:autoSpaceDE w:val="0"/>
        <w:autoSpaceDN w:val="0"/>
        <w:adjustRightInd w:val="0"/>
        <w:spacing w:line="400" w:lineRule="exact"/>
        <w:ind w:left="210" w:leftChars="100" w:firstLine="210" w:firstLineChars="100"/>
        <w:jc w:val="left"/>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 我方已仔细研究了</w:t>
      </w:r>
      <w:r>
        <w:rPr>
          <w:rFonts w:hint="eastAsia" w:asciiTheme="minorEastAsia" w:hAnsiTheme="minorEastAsia" w:eastAsiaTheme="minorEastAsia" w:cstheme="minorEastAsia"/>
          <w:snapToGrid w:val="0"/>
          <w:color w:val="auto"/>
          <w:kern w:val="0"/>
          <w:szCs w:val="21"/>
          <w:highlight w:val="none"/>
        </w:rPr>
        <w:tab/>
      </w:r>
      <w:r>
        <w:rPr>
          <w:rFonts w:hint="eastAsia" w:asciiTheme="minorEastAsia" w:hAnsiTheme="minorEastAsia" w:eastAsiaTheme="minorEastAsia" w:cstheme="minorEastAsia"/>
          <w:snapToGrid w:val="0"/>
          <w:color w:val="auto"/>
          <w:kern w:val="0"/>
          <w:szCs w:val="21"/>
          <w:highlight w:val="none"/>
        </w:rPr>
        <w:tab/>
      </w:r>
      <w:r>
        <w:rPr>
          <w:rFonts w:hint="eastAsia" w:asciiTheme="minorEastAsia" w:hAnsiTheme="minorEastAsia" w:eastAsiaTheme="minorEastAsia" w:cstheme="minorEastAsia"/>
          <w:snapToGrid w:val="0"/>
          <w:color w:val="auto"/>
          <w:kern w:val="0"/>
          <w:szCs w:val="21"/>
          <w:highlight w:val="none"/>
        </w:rPr>
        <w:t>（项目名称）招标文件的全部内容，愿意以人民币（大写）</w:t>
      </w:r>
      <w:r>
        <w:rPr>
          <w:rFonts w:hint="eastAsia" w:asciiTheme="minorEastAsia" w:hAnsiTheme="minorEastAsia" w:eastAsiaTheme="minorEastAsia" w:cstheme="minorEastAsia"/>
          <w:snapToGrid w:val="0"/>
          <w:color w:val="auto"/>
          <w:kern w:val="0"/>
          <w:szCs w:val="21"/>
          <w:highlight w:val="none"/>
        </w:rPr>
        <w:tab/>
      </w:r>
      <w:r>
        <w:rPr>
          <w:rFonts w:hint="eastAsia" w:asciiTheme="minorEastAsia" w:hAnsiTheme="minorEastAsia" w:eastAsiaTheme="minorEastAsia" w:cstheme="minorEastAsia"/>
          <w:snapToGrid w:val="0"/>
          <w:color w:val="auto"/>
          <w:kern w:val="0"/>
          <w:szCs w:val="21"/>
          <w:highlight w:val="none"/>
        </w:rPr>
        <w:t xml:space="preserve"> 元（¥</w:t>
      </w:r>
      <w:r>
        <w:rPr>
          <w:rFonts w:hint="eastAsia" w:asciiTheme="minorEastAsia" w:hAnsiTheme="minorEastAsia" w:eastAsiaTheme="minorEastAsia" w:cstheme="minorEastAsia"/>
          <w:snapToGrid w:val="0"/>
          <w:color w:val="auto"/>
          <w:kern w:val="0"/>
          <w:szCs w:val="21"/>
          <w:highlight w:val="none"/>
        </w:rPr>
        <w:tab/>
      </w:r>
      <w:r>
        <w:rPr>
          <w:rFonts w:hint="eastAsia" w:asciiTheme="minorEastAsia" w:hAnsiTheme="minorEastAsia" w:eastAsiaTheme="minorEastAsia" w:cstheme="minorEastAsia"/>
          <w:snapToGrid w:val="0"/>
          <w:color w:val="auto"/>
          <w:kern w:val="0"/>
          <w:szCs w:val="21"/>
          <w:highlight w:val="none"/>
        </w:rPr>
        <w:t>元）作为参选总服务费进行报价，委托代理人为：        ，身份证号码为        。服务期达到招标文件的要求，按合同约定实施和完成本项目，质量达到招标文件的要求。</w:t>
      </w:r>
    </w:p>
    <w:p w14:paraId="1F8D5A78">
      <w:pPr>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 w:val="10"/>
          <w:szCs w:val="10"/>
          <w:highlight w:val="none"/>
        </w:rPr>
      </w:pPr>
      <w:r>
        <w:rPr>
          <w:rFonts w:hint="eastAsia" w:asciiTheme="minorEastAsia" w:hAnsiTheme="minorEastAsia" w:eastAsiaTheme="minorEastAsia" w:cstheme="minorEastAsia"/>
          <w:snapToGrid w:val="0"/>
          <w:color w:val="auto"/>
          <w:kern w:val="0"/>
          <w:szCs w:val="21"/>
          <w:highlight w:val="none"/>
        </w:rPr>
        <w:t>2. 我方承诺响应招标文件规定的投标有效期，在投标有效期内不修改、撤销竞选文件。</w:t>
      </w:r>
    </w:p>
    <w:p w14:paraId="0CD4729B">
      <w:pPr>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3. 如我方中标：</w:t>
      </w:r>
    </w:p>
    <w:p w14:paraId="4D3D62F3">
      <w:pPr>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 w:val="10"/>
          <w:szCs w:val="10"/>
          <w:highlight w:val="none"/>
        </w:rPr>
      </w:pPr>
      <w:r>
        <w:rPr>
          <w:rFonts w:hint="eastAsia" w:asciiTheme="minorEastAsia" w:hAnsiTheme="minorEastAsia" w:eastAsiaTheme="minorEastAsia" w:cstheme="minorEastAsia"/>
          <w:snapToGrid w:val="0"/>
          <w:color w:val="auto"/>
          <w:kern w:val="0"/>
          <w:szCs w:val="21"/>
          <w:highlight w:val="none"/>
        </w:rPr>
        <w:t>（1）我方承诺在收到中标通知书后，在中标通知书规定的期限内与你方签订合同。</w:t>
      </w:r>
    </w:p>
    <w:p w14:paraId="4709D86C">
      <w:pPr>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 w:val="10"/>
          <w:szCs w:val="10"/>
          <w:highlight w:val="none"/>
        </w:rPr>
      </w:pPr>
      <w:r>
        <w:rPr>
          <w:rFonts w:hint="eastAsia" w:asciiTheme="minorEastAsia" w:hAnsiTheme="minorEastAsia" w:eastAsiaTheme="minorEastAsia" w:cstheme="minorEastAsia"/>
          <w:snapToGrid w:val="0"/>
          <w:color w:val="auto"/>
          <w:kern w:val="0"/>
          <w:szCs w:val="21"/>
          <w:highlight w:val="none"/>
        </w:rPr>
        <w:t>（2）随同本竞选函递交的竞选函附录属于合同文件的组成部分。</w:t>
      </w:r>
    </w:p>
    <w:p w14:paraId="5FC08066">
      <w:pPr>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 w:val="10"/>
          <w:szCs w:val="10"/>
          <w:highlight w:val="none"/>
        </w:rPr>
      </w:pPr>
      <w:r>
        <w:rPr>
          <w:rFonts w:hint="eastAsia" w:asciiTheme="minorEastAsia" w:hAnsiTheme="minorEastAsia" w:eastAsiaTheme="minorEastAsia" w:cstheme="minorEastAsia"/>
          <w:snapToGrid w:val="0"/>
          <w:color w:val="auto"/>
          <w:kern w:val="0"/>
          <w:szCs w:val="21"/>
          <w:highlight w:val="none"/>
        </w:rPr>
        <w:t>（3）我方承诺按照招标文件规定向你方递交履约担保。</w:t>
      </w:r>
    </w:p>
    <w:p w14:paraId="770AA8BC">
      <w:pPr>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（4）我方承诺在合同约定的期限内完成并移交全部合同工程。</w:t>
      </w:r>
    </w:p>
    <w:p w14:paraId="6EF832C6">
      <w:pPr>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 w:val="10"/>
          <w:szCs w:val="10"/>
          <w:highlight w:val="none"/>
        </w:rPr>
      </w:pPr>
      <w:r>
        <w:rPr>
          <w:rFonts w:hint="eastAsia" w:asciiTheme="minorEastAsia" w:hAnsiTheme="minorEastAsia" w:eastAsiaTheme="minorEastAsia" w:cstheme="minorEastAsia"/>
          <w:snapToGrid w:val="0"/>
          <w:color w:val="auto"/>
          <w:kern w:val="0"/>
          <w:szCs w:val="21"/>
          <w:highlight w:val="none"/>
        </w:rPr>
        <w:t>（5）我方承诺以不低于招标文件第五章 技术标准和要求中所列的数要求完成全部合同内容。</w:t>
      </w:r>
    </w:p>
    <w:p w14:paraId="42C0C726">
      <w:pPr>
        <w:tabs>
          <w:tab w:val="left" w:pos="5985"/>
        </w:tabs>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4. 我方</w:t>
      </w:r>
      <w:r>
        <w:rPr>
          <w:rFonts w:hint="eastAsia" w:asciiTheme="minorEastAsia" w:hAnsiTheme="minorEastAsia" w:eastAsiaTheme="minorEastAsia" w:cstheme="minorEastAsia"/>
          <w:snapToGrid w:val="0"/>
          <w:color w:val="auto"/>
          <w:spacing w:val="-2"/>
          <w:kern w:val="0"/>
          <w:szCs w:val="21"/>
          <w:highlight w:val="none"/>
        </w:rPr>
        <w:t>在此声明，所递交的竞选文件及有关资料内容完整、真实和准确，且不存在第二章“竞选人</w:t>
      </w:r>
      <w:r>
        <w:rPr>
          <w:rFonts w:hint="eastAsia" w:asciiTheme="minorEastAsia" w:hAnsiTheme="minorEastAsia" w:eastAsiaTheme="minorEastAsia" w:cstheme="minorEastAsia"/>
          <w:snapToGrid w:val="0"/>
          <w:color w:val="auto"/>
          <w:kern w:val="0"/>
          <w:szCs w:val="21"/>
          <w:highlight w:val="none"/>
        </w:rPr>
        <w:t>须知”第 1.4.3 项规定的任何一种情形。同时我方承诺接受招标文件及附件、澄清及修改通知中所有的内容。</w:t>
      </w:r>
    </w:p>
    <w:p w14:paraId="78A4C1F6">
      <w:pPr>
        <w:tabs>
          <w:tab w:val="left" w:pos="5985"/>
        </w:tabs>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5. </w:t>
      </w:r>
      <w:r>
        <w:rPr>
          <w:rFonts w:hint="eastAsia" w:asciiTheme="minorEastAsia" w:hAnsiTheme="minorEastAsia" w:eastAsiaTheme="minorEastAsia" w:cstheme="minorEastAsia"/>
          <w:snapToGrid w:val="0"/>
          <w:color w:val="auto"/>
          <w:w w:val="200"/>
          <w:kern w:val="0"/>
          <w:szCs w:val="21"/>
          <w:highlight w:val="none"/>
        </w:rPr>
        <w:t xml:space="preserve"> </w:t>
      </w:r>
      <w:r>
        <w:rPr>
          <w:rFonts w:hint="eastAsia" w:asciiTheme="minorEastAsia" w:hAnsiTheme="minorEastAsia" w:eastAsiaTheme="minorEastAsia" w:cstheme="minorEastAsia"/>
          <w:snapToGrid w:val="0"/>
          <w:color w:val="auto"/>
          <w:kern w:val="0"/>
          <w:szCs w:val="21"/>
          <w:highlight w:val="none"/>
        </w:rPr>
        <w:tab/>
      </w:r>
      <w:r>
        <w:rPr>
          <w:rFonts w:hint="eastAsia" w:asciiTheme="minorEastAsia" w:hAnsiTheme="minorEastAsia" w:eastAsiaTheme="minorEastAsia" w:cstheme="minorEastAsia"/>
          <w:snapToGrid w:val="0"/>
          <w:color w:val="auto"/>
          <w:kern w:val="0"/>
          <w:szCs w:val="21"/>
          <w:highlight w:val="none"/>
        </w:rPr>
        <w:t>（其他补充说明）。</w:t>
      </w:r>
    </w:p>
    <w:p w14:paraId="63B1ED4E">
      <w:pPr>
        <w:tabs>
          <w:tab w:val="left" w:pos="7140"/>
          <w:tab w:val="left" w:pos="7560"/>
          <w:tab w:val="left" w:pos="8300"/>
        </w:tabs>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投  标  人：                　　　　　               （盖单位法人章） </w:t>
      </w:r>
    </w:p>
    <w:p w14:paraId="3BE9BBC1">
      <w:pPr>
        <w:tabs>
          <w:tab w:val="left" w:pos="7140"/>
          <w:tab w:val="left" w:pos="7560"/>
          <w:tab w:val="left" w:pos="8300"/>
        </w:tabs>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法定代表人或其委托代理人：                           （签名或盖章）</w:t>
      </w:r>
    </w:p>
    <w:p w14:paraId="10D49C9B">
      <w:pPr>
        <w:tabs>
          <w:tab w:val="left" w:pos="7035"/>
          <w:tab w:val="left" w:pos="7560"/>
          <w:tab w:val="left" w:pos="8300"/>
        </w:tabs>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地    址：                                                                             </w:t>
      </w:r>
    </w:p>
    <w:p w14:paraId="47889058">
      <w:pPr>
        <w:tabs>
          <w:tab w:val="left" w:pos="8300"/>
        </w:tabs>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网    址：                                                                            </w:t>
      </w:r>
    </w:p>
    <w:p w14:paraId="5D1655FC">
      <w:pPr>
        <w:tabs>
          <w:tab w:val="left" w:pos="8300"/>
        </w:tabs>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单位电话（座机）：                      委托代理人电话（手机）：                      </w:t>
      </w:r>
    </w:p>
    <w:p w14:paraId="3CED9278">
      <w:pPr>
        <w:tabs>
          <w:tab w:val="left" w:pos="8300"/>
        </w:tabs>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传    真：                                                                            </w:t>
      </w:r>
    </w:p>
    <w:p w14:paraId="0118CAFB">
      <w:pPr>
        <w:tabs>
          <w:tab w:val="left" w:pos="8300"/>
        </w:tabs>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邮政编码：                                                                            </w:t>
      </w:r>
    </w:p>
    <w:p w14:paraId="2F2FBA4E">
      <w:pPr>
        <w:tabs>
          <w:tab w:val="left" w:pos="8300"/>
        </w:tabs>
        <w:autoSpaceDE w:val="0"/>
        <w:autoSpaceDN w:val="0"/>
        <w:adjustRightInd w:val="0"/>
        <w:spacing w:line="400" w:lineRule="exact"/>
        <w:ind w:firstLine="400" w:firstLineChars="200"/>
        <w:rPr>
          <w:rFonts w:hint="eastAsia" w:asciiTheme="minorEastAsia" w:hAnsiTheme="minorEastAsia" w:eastAsiaTheme="minorEastAsia" w:cstheme="minorEastAsia"/>
          <w:snapToGrid w:val="0"/>
          <w:color w:val="auto"/>
          <w:kern w:val="0"/>
          <w:sz w:val="20"/>
          <w:szCs w:val="20"/>
          <w:highlight w:val="none"/>
        </w:rPr>
      </w:pPr>
    </w:p>
    <w:p w14:paraId="550B01E0">
      <w:pPr>
        <w:tabs>
          <w:tab w:val="left" w:pos="8300"/>
        </w:tabs>
        <w:autoSpaceDE w:val="0"/>
        <w:autoSpaceDN w:val="0"/>
        <w:adjustRightInd w:val="0"/>
        <w:spacing w:line="400" w:lineRule="exact"/>
        <w:ind w:firstLine="420" w:firstLineChars="200"/>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年    月    日</w:t>
      </w:r>
    </w:p>
    <w:p w14:paraId="2253D4EB">
      <w:pPr>
        <w:tabs>
          <w:tab w:val="left" w:pos="8300"/>
        </w:tabs>
        <w:autoSpaceDE w:val="0"/>
        <w:autoSpaceDN w:val="0"/>
        <w:adjustRightInd w:val="0"/>
        <w:spacing w:line="400" w:lineRule="exact"/>
        <w:ind w:firstLine="420" w:firstLineChars="200"/>
        <w:jc w:val="right"/>
        <w:rPr>
          <w:rFonts w:hint="eastAsia" w:asciiTheme="minorEastAsia" w:hAnsiTheme="minorEastAsia" w:eastAsiaTheme="minorEastAsia" w:cstheme="minorEastAsia"/>
          <w:color w:val="auto"/>
          <w:kern w:val="0"/>
          <w:szCs w:val="21"/>
          <w:highlight w:val="none"/>
        </w:rPr>
      </w:pPr>
    </w:p>
    <w:p w14:paraId="051BF1C6">
      <w:pPr>
        <w:tabs>
          <w:tab w:val="left" w:pos="6300"/>
        </w:tabs>
        <w:snapToGrid w:val="0"/>
        <w:spacing w:line="360" w:lineRule="auto"/>
        <w:jc w:val="center"/>
        <w:rPr>
          <w:rFonts w:hint="eastAsia" w:asciiTheme="minorEastAsia" w:hAnsiTheme="minorEastAsia" w:eastAsiaTheme="minorEastAsia" w:cstheme="minorEastAsia"/>
          <w:b/>
          <w:bCs/>
          <w:color w:val="auto"/>
          <w:sz w:val="28"/>
          <w:szCs w:val="28"/>
          <w:highlight w:val="none"/>
        </w:rPr>
      </w:pPr>
      <w:bookmarkStart w:id="552" w:name="_Toc287620815"/>
      <w:bookmarkStart w:id="553" w:name="_Toc277082644"/>
      <w:bookmarkStart w:id="554" w:name="_Toc430530531"/>
      <w:bookmarkStart w:id="555" w:name="_Toc224103496"/>
      <w:bookmarkStart w:id="556" w:name="_Toc287607868"/>
      <w:r>
        <w:rPr>
          <w:rFonts w:hint="eastAsia" w:asciiTheme="minorEastAsia" w:hAnsiTheme="minorEastAsia" w:eastAsiaTheme="minorEastAsia" w:cstheme="minorEastAsia"/>
          <w:color w:val="auto"/>
          <w:sz w:val="28"/>
          <w:highlight w:val="none"/>
        </w:rPr>
        <w:br w:type="page"/>
      </w:r>
      <w:bookmarkStart w:id="557" w:name="_Toc6045"/>
      <w:bookmarkStart w:id="558" w:name="_Toc534185832"/>
      <w:bookmarkStart w:id="559" w:name="_Toc509218855"/>
      <w:bookmarkStart w:id="560" w:name="_Toc30967"/>
      <w:bookmarkStart w:id="561" w:name="_Toc24965"/>
      <w:r>
        <w:rPr>
          <w:rFonts w:hint="eastAsia" w:asciiTheme="minorEastAsia" w:hAnsiTheme="minorEastAsia" w:eastAsiaTheme="minorEastAsia" w:cstheme="minorEastAsia"/>
          <w:b/>
          <w:bCs/>
          <w:color w:val="auto"/>
          <w:sz w:val="24"/>
          <w:highlight w:val="none"/>
        </w:rPr>
        <w:t>分项报价表</w:t>
      </w:r>
    </w:p>
    <w:p w14:paraId="1C16E776">
      <w:pPr>
        <w:tabs>
          <w:tab w:val="left" w:pos="6300"/>
        </w:tabs>
        <w:snapToGrid w:val="0"/>
        <w:spacing w:line="360" w:lineRule="auto"/>
        <w:ind w:firstLine="570"/>
        <w:rPr>
          <w:rFonts w:hint="eastAsia" w:asciiTheme="minorEastAsia" w:hAnsiTheme="minorEastAsia" w:eastAsiaTheme="minorEastAsia" w:cstheme="minorEastAsia"/>
          <w:color w:val="auto"/>
          <w:sz w:val="24"/>
          <w:highlight w:val="none"/>
        </w:rPr>
      </w:pPr>
    </w:p>
    <w:p w14:paraId="35BA6BFD">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项目名称：重庆人工智能学院和重庆通用人工智能研究院筹备期物业服务 </w:t>
      </w:r>
    </w:p>
    <w:tbl>
      <w:tblPr>
        <w:tblStyle w:val="48"/>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3750"/>
        <w:gridCol w:w="1523"/>
        <w:gridCol w:w="2326"/>
        <w:gridCol w:w="1215"/>
      </w:tblGrid>
      <w:tr w14:paraId="7021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6" w:hRule="exact"/>
          <w:jc w:val="center"/>
        </w:trPr>
        <w:tc>
          <w:tcPr>
            <w:tcW w:w="506" w:type="dxa"/>
            <w:vAlign w:val="center"/>
          </w:tcPr>
          <w:p w14:paraId="4BCDA5BF">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序号</w:t>
            </w:r>
          </w:p>
        </w:tc>
        <w:tc>
          <w:tcPr>
            <w:tcW w:w="3750" w:type="dxa"/>
            <w:vAlign w:val="center"/>
          </w:tcPr>
          <w:p w14:paraId="2B5C6C40">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费用名称</w:t>
            </w:r>
          </w:p>
        </w:tc>
        <w:tc>
          <w:tcPr>
            <w:tcW w:w="1523" w:type="dxa"/>
            <w:vAlign w:val="center"/>
          </w:tcPr>
          <w:p w14:paraId="13B1A141">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暂定服务期</w:t>
            </w:r>
          </w:p>
          <w:p w14:paraId="2083F177">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（日历天）</w:t>
            </w:r>
          </w:p>
        </w:tc>
        <w:tc>
          <w:tcPr>
            <w:tcW w:w="2326" w:type="dxa"/>
            <w:vAlign w:val="center"/>
          </w:tcPr>
          <w:p w14:paraId="00D31436">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单价（元/天） </w:t>
            </w:r>
          </w:p>
        </w:tc>
        <w:tc>
          <w:tcPr>
            <w:tcW w:w="1215" w:type="dxa"/>
            <w:vAlign w:val="center"/>
          </w:tcPr>
          <w:p w14:paraId="3CBB1503">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总价(元)</w:t>
            </w:r>
          </w:p>
        </w:tc>
      </w:tr>
      <w:tr w14:paraId="6886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506" w:type="dxa"/>
            <w:vAlign w:val="center"/>
          </w:tcPr>
          <w:p w14:paraId="617AD78B">
            <w:pPr>
              <w:spacing w:line="360" w:lineRule="auto"/>
              <w:jc w:val="center"/>
              <w:rPr>
                <w:rFonts w:hint="eastAsia" w:asciiTheme="minorEastAsia" w:hAnsiTheme="minorEastAsia" w:eastAsiaTheme="minorEastAsia" w:cstheme="minorEastAsia"/>
                <w:color w:val="auto"/>
                <w:sz w:val="20"/>
                <w:szCs w:val="22"/>
                <w:highlight w:val="none"/>
              </w:rPr>
            </w:pPr>
            <w:bookmarkStart w:id="562" w:name="_Toc5432"/>
            <w:bookmarkStart w:id="563" w:name="_Toc6803"/>
            <w:r>
              <w:rPr>
                <w:rFonts w:hint="eastAsia" w:asciiTheme="minorEastAsia" w:hAnsiTheme="minorEastAsia" w:eastAsiaTheme="minorEastAsia" w:cstheme="minorEastAsia"/>
                <w:color w:val="auto"/>
                <w:sz w:val="20"/>
                <w:szCs w:val="22"/>
                <w:highlight w:val="none"/>
              </w:rPr>
              <w:t>1</w:t>
            </w:r>
          </w:p>
        </w:tc>
        <w:tc>
          <w:tcPr>
            <w:tcW w:w="3750" w:type="dxa"/>
            <w:vAlign w:val="center"/>
          </w:tcPr>
          <w:p w14:paraId="40ABD360">
            <w:pPr>
              <w:spacing w:line="360" w:lineRule="auto"/>
              <w:jc w:val="center"/>
              <w:rPr>
                <w:rFonts w:hint="eastAsia" w:asciiTheme="minorEastAsia" w:hAnsiTheme="minorEastAsia" w:eastAsiaTheme="minorEastAsia" w:cstheme="minorEastAsia"/>
                <w:color w:val="auto"/>
                <w:sz w:val="20"/>
                <w:szCs w:val="22"/>
                <w:highlight w:val="none"/>
              </w:rPr>
            </w:pPr>
            <w:r>
              <w:rPr>
                <w:rFonts w:hint="eastAsia" w:asciiTheme="minorEastAsia" w:hAnsiTheme="minorEastAsia" w:eastAsiaTheme="minorEastAsia" w:cstheme="minorEastAsia"/>
                <w:b/>
                <w:bCs/>
                <w:color w:val="auto"/>
                <w:sz w:val="20"/>
                <w:szCs w:val="22"/>
                <w:highlight w:val="none"/>
              </w:rPr>
              <w:t>一、物业管理服务费</w:t>
            </w:r>
          </w:p>
        </w:tc>
        <w:tc>
          <w:tcPr>
            <w:tcW w:w="1523" w:type="dxa"/>
            <w:vAlign w:val="center"/>
          </w:tcPr>
          <w:p w14:paraId="1AD8E896">
            <w:pPr>
              <w:spacing w:line="360" w:lineRule="auto"/>
              <w:jc w:val="center"/>
              <w:rPr>
                <w:rFonts w:hint="eastAsia" w:asciiTheme="minorEastAsia" w:hAnsiTheme="minorEastAsia" w:eastAsiaTheme="minorEastAsia" w:cstheme="minorEastAsia"/>
                <w:color w:val="auto"/>
                <w:sz w:val="20"/>
                <w:szCs w:val="22"/>
                <w:highlight w:val="none"/>
              </w:rPr>
            </w:pPr>
            <w:r>
              <w:rPr>
                <w:rFonts w:hint="eastAsia" w:asciiTheme="minorEastAsia" w:hAnsiTheme="minorEastAsia" w:eastAsiaTheme="minorEastAsia" w:cstheme="minorEastAsia"/>
                <w:color w:val="auto"/>
                <w:sz w:val="22"/>
                <w:szCs w:val="22"/>
                <w:highlight w:val="none"/>
              </w:rPr>
              <w:t>90</w:t>
            </w:r>
          </w:p>
        </w:tc>
        <w:tc>
          <w:tcPr>
            <w:tcW w:w="2326" w:type="dxa"/>
            <w:vAlign w:val="center"/>
          </w:tcPr>
          <w:p w14:paraId="0E5F8CC0">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报价金额：</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 xml:space="preserve">元/天     </w:t>
            </w:r>
          </w:p>
        </w:tc>
        <w:tc>
          <w:tcPr>
            <w:tcW w:w="1215" w:type="dxa"/>
          </w:tcPr>
          <w:p w14:paraId="02A75574">
            <w:pPr>
              <w:spacing w:line="360" w:lineRule="auto"/>
              <w:jc w:val="center"/>
              <w:rPr>
                <w:rFonts w:hint="eastAsia" w:asciiTheme="minorEastAsia" w:hAnsiTheme="minorEastAsia" w:eastAsiaTheme="minorEastAsia" w:cstheme="minorEastAsia"/>
                <w:color w:val="auto"/>
                <w:sz w:val="22"/>
                <w:szCs w:val="22"/>
                <w:highlight w:val="none"/>
              </w:rPr>
            </w:pPr>
          </w:p>
        </w:tc>
      </w:tr>
      <w:bookmarkEnd w:id="562"/>
      <w:bookmarkEnd w:id="563"/>
      <w:tr w14:paraId="1957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exact"/>
          <w:jc w:val="center"/>
        </w:trPr>
        <w:tc>
          <w:tcPr>
            <w:tcW w:w="506" w:type="dxa"/>
            <w:vAlign w:val="center"/>
          </w:tcPr>
          <w:p w14:paraId="783B8716">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p>
        </w:tc>
        <w:tc>
          <w:tcPr>
            <w:tcW w:w="3750" w:type="dxa"/>
            <w:vAlign w:val="center"/>
          </w:tcPr>
          <w:p w14:paraId="1EBA3D59">
            <w:pPr>
              <w:spacing w:line="360" w:lineRule="auto"/>
              <w:jc w:val="center"/>
              <w:rPr>
                <w:rFonts w:hint="eastAsia" w:asciiTheme="minorEastAsia" w:hAnsiTheme="minorEastAsia" w:eastAsiaTheme="minorEastAsia" w:cstheme="minorEastAsia"/>
                <w:b/>
                <w:bCs/>
                <w:color w:val="auto"/>
                <w:sz w:val="20"/>
                <w:szCs w:val="22"/>
                <w:highlight w:val="none"/>
              </w:rPr>
            </w:pPr>
            <w:r>
              <w:rPr>
                <w:rFonts w:hint="eastAsia" w:asciiTheme="minorEastAsia" w:hAnsiTheme="minorEastAsia" w:eastAsiaTheme="minorEastAsia" w:cstheme="minorEastAsia"/>
                <w:b/>
                <w:bCs/>
                <w:color w:val="auto"/>
                <w:sz w:val="20"/>
                <w:szCs w:val="22"/>
                <w:highlight w:val="none"/>
              </w:rPr>
              <w:t>二、开办清洁服务费</w:t>
            </w:r>
          </w:p>
          <w:p w14:paraId="69D0379A">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20"/>
                <w:szCs w:val="22"/>
                <w:highlight w:val="none"/>
              </w:rPr>
              <w:t>（此项费用为固定报价）</w:t>
            </w:r>
          </w:p>
        </w:tc>
        <w:tc>
          <w:tcPr>
            <w:tcW w:w="1523" w:type="dxa"/>
            <w:vAlign w:val="center"/>
          </w:tcPr>
          <w:p w14:paraId="73F1F897">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开办期 </w:t>
            </w:r>
          </w:p>
        </w:tc>
        <w:tc>
          <w:tcPr>
            <w:tcW w:w="2326" w:type="dxa"/>
            <w:vAlign w:val="center"/>
          </w:tcPr>
          <w:p w14:paraId="24DABD68">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w:t>
            </w:r>
          </w:p>
        </w:tc>
        <w:tc>
          <w:tcPr>
            <w:tcW w:w="1215" w:type="dxa"/>
            <w:vAlign w:val="center"/>
          </w:tcPr>
          <w:p w14:paraId="76A0FEB1">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报价金额：</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元</w:t>
            </w:r>
          </w:p>
        </w:tc>
      </w:tr>
      <w:tr w14:paraId="20BE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8105" w:type="dxa"/>
            <w:gridSpan w:val="4"/>
            <w:vAlign w:val="center"/>
          </w:tcPr>
          <w:p w14:paraId="57F4268B">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投标总报价合计</w:t>
            </w:r>
          </w:p>
        </w:tc>
        <w:tc>
          <w:tcPr>
            <w:tcW w:w="1215" w:type="dxa"/>
            <w:vAlign w:val="center"/>
          </w:tcPr>
          <w:p w14:paraId="4C77888C">
            <w:pPr>
              <w:spacing w:line="360" w:lineRule="auto"/>
              <w:jc w:val="center"/>
              <w:rPr>
                <w:rFonts w:hint="eastAsia" w:asciiTheme="minorEastAsia" w:hAnsiTheme="minorEastAsia" w:eastAsiaTheme="minorEastAsia" w:cstheme="minorEastAsia"/>
                <w:color w:val="auto"/>
                <w:sz w:val="22"/>
                <w:szCs w:val="22"/>
                <w:highlight w:val="none"/>
              </w:rPr>
            </w:pPr>
          </w:p>
        </w:tc>
      </w:tr>
    </w:tbl>
    <w:p w14:paraId="3F701693">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8"/>
          <w:highlight w:val="none"/>
        </w:rPr>
      </w:pPr>
    </w:p>
    <w:p w14:paraId="4A1EEA55">
      <w:pPr>
        <w:numPr>
          <w:ilvl w:val="0"/>
          <w:numId w:val="18"/>
        </w:numPr>
        <w:snapToGrid w:val="0"/>
        <w:spacing w:line="360" w:lineRule="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竞选人应完整填写本表。</w:t>
      </w:r>
    </w:p>
    <w:p w14:paraId="1F108C0F">
      <w:pPr>
        <w:numPr>
          <w:ilvl w:val="0"/>
          <w:numId w:val="18"/>
        </w:numPr>
        <w:spacing w:line="360" w:lineRule="auto"/>
        <w:jc w:val="lef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竞选人可根据实际情况，调整表格内容该表可扩展，并逐页签字或盖章。</w:t>
      </w:r>
    </w:p>
    <w:p w14:paraId="58D9D25F">
      <w:pPr>
        <w:rPr>
          <w:rFonts w:hint="eastAsia" w:asciiTheme="minorEastAsia" w:hAnsiTheme="minorEastAsia" w:eastAsiaTheme="minorEastAsia" w:cstheme="minorEastAsia"/>
          <w:color w:val="auto"/>
          <w:sz w:val="28"/>
          <w:highlight w:val="none"/>
        </w:rPr>
      </w:pPr>
    </w:p>
    <w:p w14:paraId="376865D2">
      <w:pPr>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br w:type="page"/>
      </w:r>
    </w:p>
    <w:p w14:paraId="3B1704ED">
      <w:pPr>
        <w:pStyle w:val="44"/>
        <w:rPr>
          <w:rFonts w:hint="eastAsia" w:asciiTheme="minorEastAsia" w:hAnsiTheme="minorEastAsia" w:eastAsiaTheme="minorEastAsia" w:cstheme="minorEastAsia"/>
          <w:color w:val="auto"/>
          <w:highlight w:val="none"/>
          <w:u w:val="none"/>
          <w:lang w:eastAsia="zh-CN"/>
        </w:rPr>
      </w:pPr>
    </w:p>
    <w:p w14:paraId="7D24D78E">
      <w:pPr>
        <w:pStyle w:val="5"/>
        <w:jc w:val="center"/>
        <w:rPr>
          <w:rFonts w:hint="eastAsia" w:asciiTheme="minorEastAsia" w:hAnsiTheme="minorEastAsia" w:eastAsiaTheme="minorEastAsia" w:cstheme="minorEastAsia"/>
          <w:b w:val="0"/>
          <w:snapToGrid w:val="0"/>
          <w:color w:val="auto"/>
          <w:kern w:val="0"/>
          <w:sz w:val="30"/>
          <w:szCs w:val="30"/>
          <w:highlight w:val="none"/>
        </w:rPr>
      </w:pPr>
      <w:r>
        <w:rPr>
          <w:rFonts w:hint="eastAsia" w:asciiTheme="minorEastAsia" w:hAnsiTheme="minorEastAsia" w:eastAsiaTheme="minorEastAsia" w:cstheme="minorEastAsia"/>
          <w:color w:val="auto"/>
          <w:highlight w:val="none"/>
        </w:rPr>
        <w:t>（二）</w:t>
      </w:r>
      <w:bookmarkEnd w:id="552"/>
      <w:bookmarkEnd w:id="553"/>
      <w:bookmarkEnd w:id="554"/>
      <w:bookmarkEnd w:id="555"/>
      <w:bookmarkEnd w:id="556"/>
      <w:bookmarkEnd w:id="557"/>
      <w:bookmarkEnd w:id="558"/>
      <w:bookmarkEnd w:id="559"/>
      <w:bookmarkEnd w:id="560"/>
      <w:bookmarkStart w:id="564" w:name="_Toc20860"/>
      <w:bookmarkStart w:id="565" w:name="_Toc430530532"/>
      <w:bookmarkStart w:id="566" w:name="_Toc277082645"/>
      <w:bookmarkStart w:id="567" w:name="_Toc224103497"/>
      <w:bookmarkStart w:id="568" w:name="_Toc287620816"/>
      <w:bookmarkStart w:id="569" w:name="_Toc287607869"/>
      <w:bookmarkStart w:id="570" w:name="_Toc8650"/>
      <w:r>
        <w:rPr>
          <w:rFonts w:hint="eastAsia" w:asciiTheme="minorEastAsia" w:hAnsiTheme="minorEastAsia" w:eastAsiaTheme="minorEastAsia" w:cstheme="minorEastAsia"/>
          <w:color w:val="auto"/>
          <w:sz w:val="30"/>
          <w:szCs w:val="30"/>
          <w:highlight w:val="none"/>
        </w:rPr>
        <w:t>法定代表人身份证明或附有法定代表人身份证明的授权委托书</w:t>
      </w:r>
      <w:bookmarkEnd w:id="561"/>
      <w:bookmarkEnd w:id="564"/>
      <w:bookmarkEnd w:id="565"/>
      <w:bookmarkEnd w:id="566"/>
      <w:bookmarkEnd w:id="567"/>
      <w:bookmarkEnd w:id="568"/>
      <w:bookmarkEnd w:id="569"/>
      <w:bookmarkEnd w:id="570"/>
    </w:p>
    <w:p w14:paraId="096E4C2A">
      <w:pPr>
        <w:spacing w:line="480" w:lineRule="auto"/>
        <w:jc w:val="center"/>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法定代表人身份证明</w:t>
      </w:r>
    </w:p>
    <w:p w14:paraId="676C982F">
      <w:pPr>
        <w:spacing w:line="480" w:lineRule="auto"/>
        <w:jc w:val="center"/>
        <w:rPr>
          <w:rFonts w:hint="eastAsia" w:asciiTheme="minorEastAsia" w:hAnsiTheme="minorEastAsia" w:eastAsiaTheme="minorEastAsia" w:cstheme="minorEastAsia"/>
          <w:color w:val="auto"/>
          <w:highlight w:val="none"/>
        </w:rPr>
      </w:pPr>
    </w:p>
    <w:p w14:paraId="4C17345E">
      <w:pPr>
        <w:tabs>
          <w:tab w:val="left" w:pos="5565"/>
        </w:tabs>
        <w:autoSpaceDE w:val="0"/>
        <w:autoSpaceDN w:val="0"/>
        <w:adjustRightInd w:val="0"/>
        <w:snapToGrid w:val="0"/>
        <w:spacing w:line="480" w:lineRule="auto"/>
        <w:ind w:firstLine="390" w:firstLineChars="186"/>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竞选人名称：</w:t>
      </w:r>
      <w:r>
        <w:rPr>
          <w:rFonts w:hint="eastAsia" w:asciiTheme="minorEastAsia" w:hAnsiTheme="minorEastAsia" w:eastAsiaTheme="minorEastAsia" w:cstheme="minorEastAsia"/>
          <w:color w:val="auto"/>
          <w:w w:val="200"/>
          <w:kern w:val="0"/>
          <w:szCs w:val="21"/>
          <w:highlight w:val="none"/>
        </w:rPr>
        <w:t xml:space="preserve">                                     </w:t>
      </w:r>
    </w:p>
    <w:p w14:paraId="3140C634">
      <w:pPr>
        <w:tabs>
          <w:tab w:val="left" w:pos="5475"/>
        </w:tabs>
        <w:autoSpaceDE w:val="0"/>
        <w:autoSpaceDN w:val="0"/>
        <w:adjustRightInd w:val="0"/>
        <w:snapToGrid w:val="0"/>
        <w:spacing w:line="480" w:lineRule="auto"/>
        <w:ind w:firstLine="390" w:firstLineChars="186"/>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单位性质：</w:t>
      </w:r>
      <w:r>
        <w:rPr>
          <w:rFonts w:hint="eastAsia" w:asciiTheme="minorEastAsia" w:hAnsiTheme="minorEastAsia" w:eastAsiaTheme="minorEastAsia" w:cstheme="minorEastAsia"/>
          <w:color w:val="auto"/>
          <w:w w:val="200"/>
          <w:kern w:val="0"/>
          <w:szCs w:val="21"/>
          <w:highlight w:val="none"/>
        </w:rPr>
        <w:t xml:space="preserve">                                     </w:t>
      </w:r>
    </w:p>
    <w:p w14:paraId="1D007A61">
      <w:pPr>
        <w:tabs>
          <w:tab w:val="left" w:pos="5475"/>
        </w:tabs>
        <w:autoSpaceDE w:val="0"/>
        <w:autoSpaceDN w:val="0"/>
        <w:adjustRightInd w:val="0"/>
        <w:snapToGrid w:val="0"/>
        <w:spacing w:line="480" w:lineRule="auto"/>
        <w:ind w:firstLine="390" w:firstLineChars="186"/>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w:t>
      </w:r>
      <w:r>
        <w:rPr>
          <w:rFonts w:hint="eastAsia" w:asciiTheme="minorEastAsia" w:hAnsiTheme="minorEastAsia" w:eastAsiaTheme="minorEastAsia" w:cstheme="minorEastAsia"/>
          <w:color w:val="auto"/>
          <w:w w:val="200"/>
          <w:kern w:val="0"/>
          <w:szCs w:val="21"/>
          <w:highlight w:val="none"/>
        </w:rPr>
        <w:t xml:space="preserve">                                     </w:t>
      </w:r>
    </w:p>
    <w:p w14:paraId="3663ABA3">
      <w:pPr>
        <w:tabs>
          <w:tab w:val="left" w:pos="2520"/>
          <w:tab w:val="left" w:pos="3836"/>
        </w:tabs>
        <w:autoSpaceDE w:val="0"/>
        <w:autoSpaceDN w:val="0"/>
        <w:adjustRightInd w:val="0"/>
        <w:snapToGrid w:val="0"/>
        <w:spacing w:line="480" w:lineRule="auto"/>
        <w:ind w:firstLine="390" w:firstLineChars="186"/>
        <w:jc w:val="left"/>
        <w:rPr>
          <w:rFonts w:hint="eastAsia" w:asciiTheme="minorEastAsia" w:hAnsiTheme="minorEastAsia" w:eastAsiaTheme="minorEastAsia" w:cstheme="minorEastAsia"/>
          <w:color w:val="auto"/>
          <w:kern w:val="0"/>
          <w:sz w:val="10"/>
          <w:szCs w:val="10"/>
          <w:highlight w:val="none"/>
        </w:rPr>
      </w:pPr>
      <w:r>
        <w:rPr>
          <w:rFonts w:hint="eastAsia" w:asciiTheme="minorEastAsia" w:hAnsiTheme="minorEastAsia" w:eastAsiaTheme="minorEastAsia" w:cstheme="minorEastAsia"/>
          <w:color w:val="auto"/>
          <w:kern w:val="0"/>
          <w:szCs w:val="21"/>
          <w:highlight w:val="none"/>
        </w:rPr>
        <w:t>成立时间：</w:t>
      </w: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 xml:space="preserve">       月</w:t>
      </w: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 xml:space="preserve">       日</w:t>
      </w:r>
    </w:p>
    <w:p w14:paraId="28BC623C">
      <w:pPr>
        <w:tabs>
          <w:tab w:val="left" w:pos="5475"/>
        </w:tabs>
        <w:autoSpaceDE w:val="0"/>
        <w:autoSpaceDN w:val="0"/>
        <w:adjustRightInd w:val="0"/>
        <w:snapToGrid w:val="0"/>
        <w:spacing w:line="480" w:lineRule="auto"/>
        <w:ind w:firstLine="390" w:firstLineChars="186"/>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经营期限：</w:t>
      </w:r>
      <w:r>
        <w:rPr>
          <w:rFonts w:hint="eastAsia" w:asciiTheme="minorEastAsia" w:hAnsiTheme="minorEastAsia" w:eastAsiaTheme="minorEastAsia" w:cstheme="minorEastAsia"/>
          <w:color w:val="auto"/>
          <w:w w:val="200"/>
          <w:kern w:val="0"/>
          <w:szCs w:val="21"/>
          <w:highlight w:val="none"/>
        </w:rPr>
        <w:t xml:space="preserve">                                     </w:t>
      </w:r>
    </w:p>
    <w:p w14:paraId="5E115F5A">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姓名：</w:t>
      </w: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性别</w:t>
      </w:r>
      <w:r>
        <w:rPr>
          <w:rFonts w:hint="eastAsia" w:asciiTheme="minorEastAsia" w:hAnsiTheme="minorEastAsia" w:eastAsiaTheme="minorEastAsia" w:cstheme="minorEastAsia"/>
          <w:color w:val="auto"/>
          <w:spacing w:val="-1"/>
          <w:kern w:val="0"/>
          <w:szCs w:val="21"/>
          <w:highlight w:val="none"/>
        </w:rPr>
        <w:t>：</w:t>
      </w:r>
      <w:r>
        <w:rPr>
          <w:rFonts w:hint="eastAsia" w:asciiTheme="minorEastAsia" w:hAnsiTheme="minorEastAsia" w:eastAsiaTheme="minorEastAsia" w:cstheme="minorEastAsia"/>
          <w:color w:val="auto"/>
          <w:kern w:val="0"/>
          <w:szCs w:val="21"/>
          <w:highlight w:val="none"/>
        </w:rPr>
        <w:t xml:space="preserve">       </w:t>
      </w:r>
      <w:r>
        <w:rPr>
          <w:rFonts w:hint="eastAsia" w:asciiTheme="minorEastAsia" w:hAnsiTheme="minorEastAsia" w:eastAsiaTheme="minorEastAsia" w:cstheme="minorEastAsia"/>
          <w:color w:val="auto"/>
          <w:spacing w:val="-1"/>
          <w:kern w:val="0"/>
          <w:szCs w:val="21"/>
          <w:highlight w:val="none"/>
        </w:rPr>
        <w:t>年</w:t>
      </w:r>
      <w:r>
        <w:rPr>
          <w:rFonts w:hint="eastAsia" w:asciiTheme="minorEastAsia" w:hAnsiTheme="minorEastAsia" w:eastAsiaTheme="minorEastAsia" w:cstheme="minorEastAsia"/>
          <w:color w:val="auto"/>
          <w:kern w:val="0"/>
          <w:szCs w:val="21"/>
          <w:highlight w:val="none"/>
        </w:rPr>
        <w:t xml:space="preserve">龄：       职务：               </w:t>
      </w:r>
    </w:p>
    <w:p w14:paraId="5B83EB71">
      <w:pPr>
        <w:tabs>
          <w:tab w:val="left" w:pos="3360"/>
        </w:tabs>
        <w:autoSpaceDE w:val="0"/>
        <w:autoSpaceDN w:val="0"/>
        <w:adjustRightInd w:val="0"/>
        <w:snapToGrid w:val="0"/>
        <w:spacing w:line="480" w:lineRule="auto"/>
        <w:ind w:firstLine="390" w:firstLineChars="186"/>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系                                                         （竞选人名称）的法定代表人。</w:t>
      </w:r>
    </w:p>
    <w:p w14:paraId="6EEC2F88">
      <w:pPr>
        <w:tabs>
          <w:tab w:val="left" w:pos="3360"/>
        </w:tabs>
        <w:autoSpaceDE w:val="0"/>
        <w:autoSpaceDN w:val="0"/>
        <w:adjustRightInd w:val="0"/>
        <w:snapToGrid w:val="0"/>
        <w:spacing w:line="480" w:lineRule="auto"/>
        <w:ind w:firstLine="390" w:firstLineChars="186"/>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特此证明。</w:t>
      </w:r>
    </w:p>
    <w:p w14:paraId="75E85A4E">
      <w:pPr>
        <w:autoSpaceDE w:val="0"/>
        <w:autoSpaceDN w:val="0"/>
        <w:adjustRightInd w:val="0"/>
        <w:snapToGrid w:val="0"/>
        <w:spacing w:line="480" w:lineRule="auto"/>
        <w:ind w:firstLine="810" w:firstLineChars="386"/>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附：法定代表人身份证复印件（双面）</w:t>
      </w:r>
    </w:p>
    <w:p w14:paraId="6DDD63BC">
      <w:pPr>
        <w:pStyle w:val="2"/>
        <w:spacing w:after="0" w:line="360" w:lineRule="auto"/>
        <w:rPr>
          <w:rFonts w:hint="eastAsia" w:asciiTheme="minorEastAsia" w:hAnsiTheme="minorEastAsia" w:eastAsiaTheme="minorEastAsia" w:cstheme="minorEastAsia"/>
          <w:color w:val="auto"/>
          <w:szCs w:val="21"/>
          <w:highlight w:val="none"/>
        </w:rPr>
      </w:pPr>
    </w:p>
    <w:p w14:paraId="614817CF">
      <w:pPr>
        <w:pStyle w:val="2"/>
        <w:spacing w:after="0" w:line="360" w:lineRule="auto"/>
        <w:rPr>
          <w:rFonts w:hint="eastAsia" w:asciiTheme="minorEastAsia" w:hAnsiTheme="minorEastAsia" w:eastAsiaTheme="minorEastAsia" w:cstheme="minorEastAsia"/>
          <w:color w:val="auto"/>
          <w:szCs w:val="21"/>
          <w:highlight w:val="none"/>
        </w:rPr>
      </w:pPr>
    </w:p>
    <w:p w14:paraId="25C64B6C">
      <w:pPr>
        <w:pStyle w:val="2"/>
        <w:spacing w:after="0" w:line="360" w:lineRule="auto"/>
        <w:rPr>
          <w:rFonts w:hint="eastAsia" w:asciiTheme="minorEastAsia" w:hAnsiTheme="minorEastAsia" w:eastAsiaTheme="minorEastAsia" w:cstheme="minorEastAsia"/>
          <w:color w:val="auto"/>
          <w:szCs w:val="21"/>
          <w:highlight w:val="none"/>
        </w:rPr>
      </w:pPr>
    </w:p>
    <w:p w14:paraId="4348454D">
      <w:pPr>
        <w:pStyle w:val="2"/>
        <w:spacing w:after="0" w:line="360" w:lineRule="auto"/>
        <w:rPr>
          <w:rFonts w:hint="eastAsia" w:asciiTheme="minorEastAsia" w:hAnsiTheme="minorEastAsia" w:eastAsiaTheme="minorEastAsia" w:cstheme="minorEastAsia"/>
          <w:color w:val="auto"/>
          <w:szCs w:val="21"/>
          <w:highlight w:val="none"/>
        </w:rPr>
      </w:pPr>
    </w:p>
    <w:p w14:paraId="4697775C">
      <w:pPr>
        <w:pStyle w:val="2"/>
        <w:spacing w:after="0" w:line="360" w:lineRule="auto"/>
        <w:rPr>
          <w:rFonts w:hint="eastAsia" w:asciiTheme="minorEastAsia" w:hAnsiTheme="minorEastAsia" w:eastAsiaTheme="minorEastAsia" w:cstheme="minorEastAsia"/>
          <w:color w:val="auto"/>
          <w:szCs w:val="21"/>
          <w:highlight w:val="none"/>
        </w:rPr>
      </w:pPr>
    </w:p>
    <w:p w14:paraId="3BCADCD6">
      <w:pPr>
        <w:pStyle w:val="2"/>
        <w:spacing w:after="0" w:line="360" w:lineRule="auto"/>
        <w:rPr>
          <w:rFonts w:hint="eastAsia" w:asciiTheme="minorEastAsia" w:hAnsiTheme="minorEastAsia" w:eastAsiaTheme="minorEastAsia" w:cstheme="minorEastAsia"/>
          <w:color w:val="auto"/>
          <w:szCs w:val="21"/>
          <w:highlight w:val="none"/>
        </w:rPr>
      </w:pPr>
    </w:p>
    <w:p w14:paraId="7086E477">
      <w:pPr>
        <w:autoSpaceDE w:val="0"/>
        <w:autoSpaceDN w:val="0"/>
        <w:adjustRightInd w:val="0"/>
        <w:snapToGrid w:val="0"/>
        <w:spacing w:line="480" w:lineRule="auto"/>
        <w:ind w:firstLine="420" w:firstLineChars="200"/>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竞选人：</w:t>
      </w: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ab/>
      </w:r>
      <w:r>
        <w:rPr>
          <w:rFonts w:hint="eastAsia" w:asciiTheme="minorEastAsia" w:hAnsiTheme="minorEastAsia" w:eastAsiaTheme="minorEastAsia" w:cstheme="minorEastAsia"/>
          <w:color w:val="auto"/>
          <w:spacing w:val="-1"/>
          <w:kern w:val="0"/>
          <w:szCs w:val="21"/>
          <w:highlight w:val="none"/>
        </w:rPr>
        <w:t>（</w:t>
      </w:r>
      <w:r>
        <w:rPr>
          <w:rFonts w:hint="eastAsia" w:asciiTheme="minorEastAsia" w:hAnsiTheme="minorEastAsia" w:eastAsiaTheme="minorEastAsia" w:cstheme="minorEastAsia"/>
          <w:color w:val="auto"/>
          <w:kern w:val="0"/>
          <w:szCs w:val="21"/>
          <w:highlight w:val="none"/>
        </w:rPr>
        <w:t>盖单位法人章）</w:t>
      </w:r>
    </w:p>
    <w:p w14:paraId="01F7AA90">
      <w:pPr>
        <w:autoSpaceDE w:val="0"/>
        <w:autoSpaceDN w:val="0"/>
        <w:adjustRightInd w:val="0"/>
        <w:snapToGrid w:val="0"/>
        <w:spacing w:line="480" w:lineRule="auto"/>
        <w:jc w:val="left"/>
        <w:rPr>
          <w:rFonts w:hint="eastAsia" w:asciiTheme="minorEastAsia" w:hAnsiTheme="minorEastAsia" w:eastAsiaTheme="minorEastAsia" w:cstheme="minorEastAsia"/>
          <w:color w:val="auto"/>
          <w:kern w:val="0"/>
          <w:sz w:val="20"/>
          <w:szCs w:val="20"/>
          <w:highlight w:val="none"/>
        </w:rPr>
      </w:pPr>
    </w:p>
    <w:p w14:paraId="1556F735">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 xml:space="preserve">     月</w:t>
      </w: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 xml:space="preserve">     日  </w:t>
      </w:r>
    </w:p>
    <w:p w14:paraId="44567C21">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highlight w:val="none"/>
        </w:rPr>
      </w:pPr>
    </w:p>
    <w:p w14:paraId="44E4E098">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highlight w:val="none"/>
        </w:rPr>
      </w:pPr>
    </w:p>
    <w:p w14:paraId="1B89028F">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注：法定代表人身份证明需按上述格式填写完整，不可缺少内容。在此基础上增加内容的不影响其有效性。</w:t>
      </w:r>
    </w:p>
    <w:p w14:paraId="7233EB88">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highlight w:val="none"/>
        </w:rPr>
      </w:pPr>
    </w:p>
    <w:p w14:paraId="4CDFBA77">
      <w:pPr>
        <w:tabs>
          <w:tab w:val="left" w:pos="1680"/>
          <w:tab w:val="left" w:pos="4215"/>
          <w:tab w:val="left" w:pos="4305"/>
          <w:tab w:val="left" w:pos="8000"/>
        </w:tabs>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b/>
          <w:color w:val="auto"/>
          <w:kern w:val="0"/>
          <w:sz w:val="28"/>
          <w:szCs w:val="28"/>
          <w:highlight w:val="none"/>
        </w:rPr>
        <w:br w:type="page"/>
      </w:r>
      <w:r>
        <w:rPr>
          <w:rFonts w:hint="eastAsia" w:asciiTheme="minorEastAsia" w:hAnsiTheme="minorEastAsia" w:eastAsiaTheme="minorEastAsia" w:cstheme="minorEastAsia"/>
          <w:snapToGrid w:val="0"/>
          <w:color w:val="auto"/>
          <w:kern w:val="0"/>
          <w:sz w:val="32"/>
          <w:szCs w:val="32"/>
          <w:highlight w:val="none"/>
        </w:rPr>
        <w:t>授权委托书</w:t>
      </w:r>
    </w:p>
    <w:p w14:paraId="3E013D06">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本人</w:t>
      </w: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（姓名）系</w:t>
      </w: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pacing w:val="-1"/>
          <w:kern w:val="0"/>
          <w:szCs w:val="21"/>
          <w:highlight w:val="none"/>
        </w:rPr>
        <w:t>竞选人</w:t>
      </w:r>
      <w:r>
        <w:rPr>
          <w:rFonts w:hint="eastAsia" w:asciiTheme="minorEastAsia" w:hAnsiTheme="minorEastAsia" w:eastAsiaTheme="minorEastAsia" w:cstheme="minorEastAsia"/>
          <w:color w:val="auto"/>
          <w:kern w:val="0"/>
          <w:szCs w:val="21"/>
          <w:highlight w:val="none"/>
        </w:rPr>
        <w:t>名称</w:t>
      </w:r>
      <w:r>
        <w:rPr>
          <w:rFonts w:hint="eastAsia" w:asciiTheme="minorEastAsia" w:hAnsiTheme="minorEastAsia" w:eastAsiaTheme="minorEastAsia" w:cstheme="minorEastAsia"/>
          <w:color w:val="auto"/>
          <w:spacing w:val="1"/>
          <w:kern w:val="0"/>
          <w:szCs w:val="21"/>
          <w:highlight w:val="none"/>
        </w:rPr>
        <w:t>）</w:t>
      </w:r>
      <w:r>
        <w:rPr>
          <w:rFonts w:hint="eastAsia" w:asciiTheme="minorEastAsia" w:hAnsiTheme="minorEastAsia" w:eastAsiaTheme="minorEastAsia" w:cstheme="minorEastAsia"/>
          <w:color w:val="auto"/>
          <w:kern w:val="0"/>
          <w:szCs w:val="21"/>
          <w:highlight w:val="none"/>
        </w:rPr>
        <w:t>的法定代</w:t>
      </w:r>
      <w:r>
        <w:rPr>
          <w:rFonts w:hint="eastAsia" w:asciiTheme="minorEastAsia" w:hAnsiTheme="minorEastAsia" w:eastAsiaTheme="minorEastAsia" w:cstheme="minorEastAsia"/>
          <w:color w:val="auto"/>
          <w:spacing w:val="1"/>
          <w:kern w:val="0"/>
          <w:szCs w:val="21"/>
          <w:highlight w:val="none"/>
        </w:rPr>
        <w:t>表</w:t>
      </w:r>
      <w:r>
        <w:rPr>
          <w:rFonts w:hint="eastAsia" w:asciiTheme="minorEastAsia" w:hAnsiTheme="minorEastAsia" w:eastAsiaTheme="minorEastAsia" w:cstheme="minorEastAsia"/>
          <w:color w:val="auto"/>
          <w:kern w:val="0"/>
          <w:szCs w:val="21"/>
          <w:highlight w:val="none"/>
        </w:rPr>
        <w:t>人，现委托</w:t>
      </w: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（姓名）为我方代理人。代理人根据授权，以我方名义签署、澄清、说明、补正、递交、撤回、 修改</w:t>
      </w: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（项</w:t>
      </w:r>
      <w:r>
        <w:rPr>
          <w:rFonts w:hint="eastAsia" w:asciiTheme="minorEastAsia" w:hAnsiTheme="minorEastAsia" w:eastAsiaTheme="minorEastAsia" w:cstheme="minorEastAsia"/>
          <w:color w:val="auto"/>
          <w:spacing w:val="-1"/>
          <w:kern w:val="0"/>
          <w:szCs w:val="21"/>
          <w:highlight w:val="none"/>
        </w:rPr>
        <w:t>目</w:t>
      </w:r>
      <w:r>
        <w:rPr>
          <w:rFonts w:hint="eastAsia" w:asciiTheme="minorEastAsia" w:hAnsiTheme="minorEastAsia" w:eastAsiaTheme="minorEastAsia" w:cstheme="minorEastAsia"/>
          <w:color w:val="auto"/>
          <w:kern w:val="0"/>
          <w:szCs w:val="21"/>
          <w:highlight w:val="none"/>
        </w:rPr>
        <w:t>名称）竞选文件、签订合同和处理有关事宜， 其法律后果由我方承担。</w:t>
      </w:r>
    </w:p>
    <w:p w14:paraId="508EE832">
      <w:pPr>
        <w:tabs>
          <w:tab w:val="left" w:pos="1680"/>
          <w:tab w:val="left" w:pos="4200"/>
          <w:tab w:val="left" w:pos="4305"/>
          <w:tab w:val="left" w:pos="8000"/>
        </w:tabs>
        <w:autoSpaceDE w:val="0"/>
        <w:autoSpaceDN w:val="0"/>
        <w:adjustRightInd w:val="0"/>
        <w:snapToGrid w:val="0"/>
        <w:spacing w:line="480" w:lineRule="auto"/>
        <w:ind w:firstLine="42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委托</w:t>
      </w:r>
      <w:r>
        <w:rPr>
          <w:rFonts w:hint="eastAsia" w:asciiTheme="minorEastAsia" w:hAnsiTheme="minorEastAsia" w:eastAsiaTheme="minorEastAsia" w:cstheme="minorEastAsia"/>
          <w:color w:val="auto"/>
          <w:spacing w:val="-1"/>
          <w:kern w:val="0"/>
          <w:szCs w:val="21"/>
          <w:highlight w:val="none"/>
        </w:rPr>
        <w:t>期</w:t>
      </w:r>
      <w:r>
        <w:rPr>
          <w:rFonts w:hint="eastAsia" w:asciiTheme="minorEastAsia" w:hAnsiTheme="minorEastAsia" w:eastAsiaTheme="minorEastAsia" w:cstheme="minorEastAsia"/>
          <w:color w:val="auto"/>
          <w:kern w:val="0"/>
          <w:szCs w:val="21"/>
          <w:highlight w:val="none"/>
        </w:rPr>
        <w:t>限：</w:t>
      </w: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 xml:space="preserve">。 </w:t>
      </w:r>
    </w:p>
    <w:p w14:paraId="156E97EA">
      <w:pPr>
        <w:tabs>
          <w:tab w:val="left" w:pos="1680"/>
          <w:tab w:val="left" w:pos="4200"/>
          <w:tab w:val="left" w:pos="4305"/>
          <w:tab w:val="left" w:pos="8000"/>
        </w:tabs>
        <w:autoSpaceDE w:val="0"/>
        <w:autoSpaceDN w:val="0"/>
        <w:adjustRightInd w:val="0"/>
        <w:snapToGrid w:val="0"/>
        <w:spacing w:line="480" w:lineRule="auto"/>
        <w:ind w:firstLine="42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代理人无转委托权。</w:t>
      </w:r>
    </w:p>
    <w:p w14:paraId="4EC6A600">
      <w:pPr>
        <w:tabs>
          <w:tab w:val="left" w:pos="1680"/>
          <w:tab w:val="left" w:pos="4200"/>
          <w:tab w:val="left" w:pos="4305"/>
          <w:tab w:val="left" w:pos="8000"/>
        </w:tabs>
        <w:autoSpaceDE w:val="0"/>
        <w:autoSpaceDN w:val="0"/>
        <w:adjustRightInd w:val="0"/>
        <w:snapToGrid w:val="0"/>
        <w:spacing w:line="480" w:lineRule="auto"/>
        <w:ind w:firstLine="420"/>
        <w:rPr>
          <w:rFonts w:hint="eastAsia" w:asciiTheme="minorEastAsia" w:hAnsiTheme="minorEastAsia" w:eastAsiaTheme="minorEastAsia" w:cstheme="minorEastAsia"/>
          <w:color w:val="auto"/>
          <w:kern w:val="0"/>
          <w:szCs w:val="21"/>
          <w:highlight w:val="none"/>
        </w:rPr>
      </w:pPr>
    </w:p>
    <w:p w14:paraId="35DB3E78">
      <w:pPr>
        <w:tabs>
          <w:tab w:val="left" w:pos="1680"/>
          <w:tab w:val="left" w:pos="4200"/>
          <w:tab w:val="left" w:pos="4305"/>
          <w:tab w:val="left" w:pos="8000"/>
        </w:tabs>
        <w:autoSpaceDE w:val="0"/>
        <w:autoSpaceDN w:val="0"/>
        <w:adjustRightInd w:val="0"/>
        <w:snapToGrid w:val="0"/>
        <w:spacing w:line="480" w:lineRule="auto"/>
        <w:ind w:firstLine="42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  标  人：</w:t>
      </w: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pacing w:val="-1"/>
          <w:kern w:val="0"/>
          <w:szCs w:val="21"/>
          <w:highlight w:val="none"/>
        </w:rPr>
        <w:t>盖单位法人章</w:t>
      </w:r>
      <w:r>
        <w:rPr>
          <w:rFonts w:hint="eastAsia" w:asciiTheme="minorEastAsia" w:hAnsiTheme="minorEastAsia" w:eastAsiaTheme="minorEastAsia" w:cstheme="minorEastAsia"/>
          <w:color w:val="auto"/>
          <w:kern w:val="0"/>
          <w:szCs w:val="21"/>
          <w:highlight w:val="none"/>
        </w:rPr>
        <w:t>）</w:t>
      </w:r>
    </w:p>
    <w:p w14:paraId="36F84DB9">
      <w:pPr>
        <w:tabs>
          <w:tab w:val="left" w:pos="6300"/>
        </w:tabs>
        <w:autoSpaceDE w:val="0"/>
        <w:autoSpaceDN w:val="0"/>
        <w:adjustRightInd w:val="0"/>
        <w:snapToGrid w:val="0"/>
        <w:spacing w:line="48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法定代表人：</w:t>
      </w: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（签名或盖章）</w:t>
      </w:r>
    </w:p>
    <w:p w14:paraId="6ECA7AA9">
      <w:pPr>
        <w:tabs>
          <w:tab w:val="left" w:pos="5260"/>
        </w:tabs>
        <w:autoSpaceDE w:val="0"/>
        <w:autoSpaceDN w:val="0"/>
        <w:adjustRightInd w:val="0"/>
        <w:snapToGrid w:val="0"/>
        <w:spacing w:line="48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身份证号码：</w:t>
      </w:r>
      <w:r>
        <w:rPr>
          <w:rFonts w:hint="eastAsia" w:asciiTheme="minorEastAsia" w:hAnsiTheme="minorEastAsia" w:eastAsiaTheme="minorEastAsia" w:cstheme="minorEastAsia"/>
          <w:color w:val="auto"/>
          <w:w w:val="200"/>
          <w:kern w:val="0"/>
          <w:szCs w:val="21"/>
          <w:highlight w:val="none"/>
        </w:rPr>
        <w:t xml:space="preserve">                           </w:t>
      </w:r>
    </w:p>
    <w:p w14:paraId="68D09808">
      <w:pPr>
        <w:tabs>
          <w:tab w:val="left" w:pos="5260"/>
        </w:tabs>
        <w:autoSpaceDE w:val="0"/>
        <w:autoSpaceDN w:val="0"/>
        <w:adjustRightInd w:val="0"/>
        <w:snapToGrid w:val="0"/>
        <w:spacing w:line="48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委托代理人：</w:t>
      </w: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（签名）</w:t>
      </w:r>
    </w:p>
    <w:p w14:paraId="256567D0">
      <w:pPr>
        <w:tabs>
          <w:tab w:val="left" w:pos="6825"/>
        </w:tabs>
        <w:autoSpaceDE w:val="0"/>
        <w:autoSpaceDN w:val="0"/>
        <w:adjustRightInd w:val="0"/>
        <w:snapToGrid w:val="0"/>
        <w:spacing w:line="480" w:lineRule="auto"/>
        <w:ind w:firstLine="420" w:firstLineChars="200"/>
        <w:jc w:val="left"/>
        <w:rPr>
          <w:rFonts w:hint="eastAsia" w:asciiTheme="minorEastAsia" w:hAnsiTheme="minorEastAsia" w:eastAsiaTheme="minorEastAsia" w:cstheme="minorEastAsia"/>
          <w:color w:val="auto"/>
          <w:w w:val="200"/>
          <w:kern w:val="0"/>
          <w:szCs w:val="21"/>
          <w:highlight w:val="none"/>
        </w:rPr>
      </w:pPr>
      <w:r>
        <w:rPr>
          <w:rFonts w:hint="eastAsia" w:asciiTheme="minorEastAsia" w:hAnsiTheme="minorEastAsia" w:eastAsiaTheme="minorEastAsia" w:cstheme="minorEastAsia"/>
          <w:color w:val="auto"/>
          <w:kern w:val="0"/>
          <w:szCs w:val="21"/>
          <w:highlight w:val="none"/>
        </w:rPr>
        <w:t>身份证号码：</w:t>
      </w:r>
      <w:r>
        <w:rPr>
          <w:rFonts w:hint="eastAsia" w:asciiTheme="minorEastAsia" w:hAnsiTheme="minorEastAsia" w:eastAsiaTheme="minorEastAsia" w:cstheme="minorEastAsia"/>
          <w:color w:val="auto"/>
          <w:w w:val="200"/>
          <w:kern w:val="0"/>
          <w:szCs w:val="21"/>
          <w:highlight w:val="none"/>
        </w:rPr>
        <w:t xml:space="preserve">                           </w:t>
      </w:r>
    </w:p>
    <w:p w14:paraId="3E4C6889">
      <w:pPr>
        <w:tabs>
          <w:tab w:val="left" w:pos="6825"/>
        </w:tabs>
        <w:autoSpaceDE w:val="0"/>
        <w:autoSpaceDN w:val="0"/>
        <w:adjustRightInd w:val="0"/>
        <w:snapToGrid w:val="0"/>
        <w:spacing w:line="48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单位电话（座机）：                              </w:t>
      </w:r>
    </w:p>
    <w:p w14:paraId="14531EAC">
      <w:pPr>
        <w:autoSpaceDE w:val="0"/>
        <w:autoSpaceDN w:val="0"/>
        <w:adjustRightInd w:val="0"/>
        <w:snapToGrid w:val="0"/>
        <w:spacing w:line="48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委托代理人电话（手机）：                                          </w:t>
      </w:r>
    </w:p>
    <w:p w14:paraId="53CC6A39">
      <w:pPr>
        <w:autoSpaceDE w:val="0"/>
        <w:autoSpaceDN w:val="0"/>
        <w:adjustRightInd w:val="0"/>
        <w:snapToGrid w:val="0"/>
        <w:spacing w:line="480" w:lineRule="auto"/>
        <w:ind w:firstLine="810" w:firstLineChars="386"/>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附：法定代表人和委托代理人身份证复印件（双面）</w:t>
      </w:r>
    </w:p>
    <w:p w14:paraId="64140052">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Theme="minorEastAsia" w:hAnsiTheme="minorEastAsia" w:eastAsiaTheme="minorEastAsia" w:cstheme="minorEastAsia"/>
          <w:color w:val="auto"/>
          <w:w w:val="200"/>
          <w:kern w:val="0"/>
          <w:szCs w:val="21"/>
          <w:highlight w:val="none"/>
        </w:rPr>
      </w:pPr>
    </w:p>
    <w:p w14:paraId="6E5D2E0A">
      <w:pPr>
        <w:tabs>
          <w:tab w:val="left" w:pos="4005"/>
          <w:tab w:val="left" w:pos="4100"/>
          <w:tab w:val="left" w:pos="5040"/>
        </w:tabs>
        <w:autoSpaceDE w:val="0"/>
        <w:autoSpaceDN w:val="0"/>
        <w:adjustRightInd w:val="0"/>
        <w:snapToGrid w:val="0"/>
        <w:spacing w:line="360" w:lineRule="auto"/>
        <w:ind w:firstLine="3780"/>
        <w:jc w:val="right"/>
        <w:rPr>
          <w:rFonts w:hint="eastAsia" w:asciiTheme="minorEastAsia" w:hAnsiTheme="minorEastAsia" w:eastAsiaTheme="minorEastAsia" w:cstheme="minorEastAsia"/>
          <w:color w:val="auto"/>
          <w:w w:val="200"/>
          <w:kern w:val="0"/>
          <w:szCs w:val="21"/>
          <w:highlight w:val="none"/>
        </w:rPr>
      </w:pPr>
    </w:p>
    <w:p w14:paraId="07BC3730">
      <w:pPr>
        <w:tabs>
          <w:tab w:val="left" w:pos="4005"/>
          <w:tab w:val="left" w:pos="4100"/>
          <w:tab w:val="left" w:pos="5040"/>
        </w:tabs>
        <w:autoSpaceDE w:val="0"/>
        <w:autoSpaceDN w:val="0"/>
        <w:adjustRightInd w:val="0"/>
        <w:snapToGrid w:val="0"/>
        <w:spacing w:line="360" w:lineRule="auto"/>
        <w:ind w:firstLine="3780"/>
        <w:jc w:val="right"/>
        <w:rPr>
          <w:rFonts w:hint="eastAsia" w:asciiTheme="minorEastAsia" w:hAnsiTheme="minorEastAsia" w:eastAsiaTheme="minorEastAsia" w:cstheme="minorEastAsia"/>
          <w:color w:val="auto"/>
          <w:w w:val="200"/>
          <w:kern w:val="0"/>
          <w:szCs w:val="21"/>
          <w:highlight w:val="none"/>
        </w:rPr>
      </w:pPr>
    </w:p>
    <w:p w14:paraId="5A9DE229">
      <w:pPr>
        <w:tabs>
          <w:tab w:val="left" w:pos="4005"/>
          <w:tab w:val="left" w:pos="4100"/>
          <w:tab w:val="left" w:pos="5040"/>
        </w:tabs>
        <w:autoSpaceDE w:val="0"/>
        <w:autoSpaceDN w:val="0"/>
        <w:adjustRightInd w:val="0"/>
        <w:snapToGrid w:val="0"/>
        <w:spacing w:line="360" w:lineRule="auto"/>
        <w:ind w:firstLine="3780"/>
        <w:jc w:val="right"/>
        <w:rPr>
          <w:rFonts w:hint="eastAsia" w:asciiTheme="minorEastAsia" w:hAnsiTheme="minorEastAsia" w:eastAsiaTheme="minorEastAsia" w:cstheme="minorEastAsia"/>
          <w:color w:val="auto"/>
          <w:w w:val="200"/>
          <w:kern w:val="0"/>
          <w:szCs w:val="21"/>
          <w:highlight w:val="none"/>
        </w:rPr>
      </w:pPr>
    </w:p>
    <w:p w14:paraId="75FA21CC">
      <w:pPr>
        <w:tabs>
          <w:tab w:val="left" w:pos="4005"/>
          <w:tab w:val="left" w:pos="4100"/>
          <w:tab w:val="left" w:pos="5040"/>
        </w:tabs>
        <w:autoSpaceDE w:val="0"/>
        <w:autoSpaceDN w:val="0"/>
        <w:adjustRightInd w:val="0"/>
        <w:snapToGrid w:val="0"/>
        <w:spacing w:line="360" w:lineRule="auto"/>
        <w:ind w:firstLine="3780"/>
        <w:jc w:val="right"/>
        <w:rPr>
          <w:rFonts w:hint="eastAsia" w:asciiTheme="minorEastAsia" w:hAnsiTheme="minorEastAsia" w:eastAsiaTheme="minorEastAsia" w:cstheme="minorEastAsia"/>
          <w:color w:val="auto"/>
          <w:w w:val="200"/>
          <w:kern w:val="0"/>
          <w:szCs w:val="21"/>
          <w:highlight w:val="none"/>
        </w:rPr>
      </w:pPr>
    </w:p>
    <w:p w14:paraId="17EF8653">
      <w:pPr>
        <w:tabs>
          <w:tab w:val="left" w:pos="4005"/>
          <w:tab w:val="left" w:pos="4100"/>
          <w:tab w:val="left" w:pos="5040"/>
        </w:tabs>
        <w:autoSpaceDE w:val="0"/>
        <w:autoSpaceDN w:val="0"/>
        <w:adjustRightInd w:val="0"/>
        <w:snapToGrid w:val="0"/>
        <w:spacing w:line="360" w:lineRule="auto"/>
        <w:ind w:firstLine="3780"/>
        <w:jc w:val="right"/>
        <w:rPr>
          <w:rFonts w:hint="eastAsia" w:asciiTheme="minorEastAsia" w:hAnsiTheme="minorEastAsia" w:eastAsiaTheme="minorEastAsia" w:cstheme="minorEastAsia"/>
          <w:color w:val="auto"/>
          <w:w w:val="200"/>
          <w:kern w:val="0"/>
          <w:szCs w:val="21"/>
          <w:highlight w:val="none"/>
        </w:rPr>
      </w:pPr>
    </w:p>
    <w:p w14:paraId="5B00D154">
      <w:pPr>
        <w:tabs>
          <w:tab w:val="left" w:pos="4005"/>
          <w:tab w:val="left" w:pos="4100"/>
          <w:tab w:val="left" w:pos="5040"/>
        </w:tabs>
        <w:autoSpaceDE w:val="0"/>
        <w:autoSpaceDN w:val="0"/>
        <w:adjustRightInd w:val="0"/>
        <w:snapToGrid w:val="0"/>
        <w:spacing w:line="360" w:lineRule="auto"/>
        <w:ind w:firstLine="3780"/>
        <w:jc w:val="right"/>
        <w:rPr>
          <w:rFonts w:hint="eastAsia" w:asciiTheme="minorEastAsia" w:hAnsiTheme="minorEastAsia" w:eastAsiaTheme="minorEastAsia" w:cstheme="minorEastAsia"/>
          <w:color w:val="auto"/>
          <w:w w:val="200"/>
          <w:kern w:val="0"/>
          <w:szCs w:val="21"/>
          <w:highlight w:val="none"/>
        </w:rPr>
      </w:pPr>
    </w:p>
    <w:p w14:paraId="496B5FAD">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月</w:t>
      </w: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日</w:t>
      </w:r>
    </w:p>
    <w:p w14:paraId="374259B9">
      <w:pPr>
        <w:tabs>
          <w:tab w:val="left" w:pos="4005"/>
          <w:tab w:val="left" w:pos="4100"/>
          <w:tab w:val="left" w:pos="5040"/>
        </w:tabs>
        <w:autoSpaceDE w:val="0"/>
        <w:autoSpaceDN w:val="0"/>
        <w:adjustRightInd w:val="0"/>
        <w:snapToGrid w:val="0"/>
        <w:spacing w:line="360" w:lineRule="auto"/>
        <w:ind w:firstLine="3780"/>
        <w:jc w:val="right"/>
        <w:rPr>
          <w:rFonts w:hint="eastAsia" w:asciiTheme="minorEastAsia" w:hAnsiTheme="minorEastAsia" w:eastAsiaTheme="minorEastAsia" w:cstheme="minorEastAsia"/>
          <w:color w:val="auto"/>
          <w:kern w:val="0"/>
          <w:szCs w:val="21"/>
          <w:highlight w:val="none"/>
        </w:rPr>
      </w:pPr>
    </w:p>
    <w:p w14:paraId="0778DAF0">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4273DCAA">
      <w:pPr>
        <w:tabs>
          <w:tab w:val="left" w:pos="5760"/>
        </w:tabs>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2、法定代表人身份证明及授权委托书原件装入竞选文件一并递交。另外须准备一份授权委托书原件在开标现场出具。</w:t>
      </w:r>
    </w:p>
    <w:p w14:paraId="71E5376D">
      <w:pPr>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highlight w:val="none"/>
        </w:rPr>
        <w:t>授权委托书需按上述格式填写完整，不可缺少内容。在此基础上增加内容的不影响其有效性。</w:t>
      </w:r>
    </w:p>
    <w:p w14:paraId="018C505B">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571" w:name="_Toc287607872"/>
      <w:bookmarkStart w:id="572" w:name="_Toc224103500"/>
      <w:bookmarkStart w:id="573" w:name="_Toc430530534"/>
      <w:bookmarkStart w:id="574" w:name="_Toc287620819"/>
    </w:p>
    <w:bookmarkEnd w:id="571"/>
    <w:bookmarkEnd w:id="572"/>
    <w:bookmarkEnd w:id="573"/>
    <w:bookmarkEnd w:id="574"/>
    <w:p w14:paraId="7EF35AFE">
      <w:pPr>
        <w:pStyle w:val="5"/>
        <w:spacing w:before="0" w:line="240" w:lineRule="auto"/>
        <w:jc w:val="center"/>
        <w:rPr>
          <w:rFonts w:hint="eastAsia" w:asciiTheme="minorEastAsia" w:hAnsiTheme="minorEastAsia" w:eastAsiaTheme="minorEastAsia" w:cstheme="minorEastAsia"/>
          <w:b w:val="0"/>
          <w:color w:val="auto"/>
          <w:highlight w:val="none"/>
        </w:rPr>
      </w:pPr>
      <w:bookmarkStart w:id="575" w:name="_Toc287607893"/>
      <w:bookmarkStart w:id="576" w:name="_Toc277082660"/>
      <w:bookmarkStart w:id="577" w:name="_Toc224103515"/>
      <w:bookmarkStart w:id="578" w:name="_Toc287607888"/>
      <w:bookmarkStart w:id="579" w:name="_Toc277082663"/>
      <w:bookmarkStart w:id="580" w:name="_Toc430530550"/>
      <w:bookmarkStart w:id="581" w:name="_Toc20337"/>
      <w:bookmarkStart w:id="582" w:name="_Toc287620839"/>
      <w:bookmarkStart w:id="583" w:name="_Toc224103520"/>
      <w:bookmarkStart w:id="584" w:name="_Toc430530552"/>
      <w:bookmarkStart w:id="585" w:name="_Toc509218864"/>
      <w:bookmarkStart w:id="586" w:name="_Toc534185841"/>
      <w:bookmarkStart w:id="587" w:name="_Toc287620834"/>
      <w:bookmarkStart w:id="588" w:name="_Toc316"/>
      <w:bookmarkStart w:id="589" w:name="_Toc509218866"/>
      <w:bookmarkStart w:id="590" w:name="_Toc534185843"/>
      <w:r>
        <w:rPr>
          <w:rFonts w:hint="eastAsia" w:asciiTheme="minorEastAsia" w:hAnsiTheme="minorEastAsia" w:eastAsiaTheme="minorEastAsia" w:cstheme="minorEastAsia"/>
          <w:b w:val="0"/>
          <w:color w:val="auto"/>
          <w:highlight w:val="none"/>
        </w:rPr>
        <w:t>（三）</w:t>
      </w:r>
      <w:bookmarkEnd w:id="575"/>
      <w:bookmarkEnd w:id="576"/>
      <w:bookmarkEnd w:id="577"/>
      <w:bookmarkEnd w:id="578"/>
      <w:bookmarkEnd w:id="579"/>
      <w:bookmarkEnd w:id="580"/>
      <w:bookmarkEnd w:id="581"/>
      <w:bookmarkEnd w:id="582"/>
      <w:bookmarkEnd w:id="583"/>
      <w:bookmarkEnd w:id="584"/>
      <w:bookmarkEnd w:id="585"/>
      <w:bookmarkEnd w:id="586"/>
      <w:bookmarkEnd w:id="587"/>
      <w:bookmarkStart w:id="591" w:name="_Toc509218865"/>
      <w:bookmarkStart w:id="592" w:name="_Toc3019"/>
      <w:bookmarkStart w:id="593" w:name="_Toc534185842"/>
      <w:r>
        <w:rPr>
          <w:rFonts w:hint="eastAsia" w:asciiTheme="minorEastAsia" w:hAnsiTheme="minorEastAsia" w:eastAsiaTheme="minorEastAsia" w:cstheme="minorEastAsia"/>
          <w:b w:val="0"/>
          <w:color w:val="auto"/>
          <w:highlight w:val="none"/>
        </w:rPr>
        <w:t>类似项目情况表</w:t>
      </w:r>
      <w:bookmarkEnd w:id="588"/>
      <w:bookmarkEnd w:id="591"/>
      <w:bookmarkEnd w:id="592"/>
      <w:bookmarkEnd w:id="593"/>
    </w:p>
    <w:tbl>
      <w:tblPr>
        <w:tblStyle w:val="48"/>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6DC6B1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58F6BB5C">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项目名称</w:t>
            </w:r>
          </w:p>
        </w:tc>
        <w:tc>
          <w:tcPr>
            <w:tcW w:w="8027" w:type="dxa"/>
            <w:vAlign w:val="center"/>
          </w:tcPr>
          <w:p w14:paraId="0C7E8BD2">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p>
        </w:tc>
      </w:tr>
      <w:tr w14:paraId="385D32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7A8647E1">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项目所在地</w:t>
            </w:r>
          </w:p>
        </w:tc>
        <w:tc>
          <w:tcPr>
            <w:tcW w:w="8027" w:type="dxa"/>
            <w:vAlign w:val="center"/>
          </w:tcPr>
          <w:p w14:paraId="0C807D8D">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p>
        </w:tc>
      </w:tr>
      <w:tr w14:paraId="1E9DEA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6A6B60D6">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甲方名称</w:t>
            </w:r>
          </w:p>
        </w:tc>
        <w:tc>
          <w:tcPr>
            <w:tcW w:w="8027" w:type="dxa"/>
            <w:vAlign w:val="center"/>
          </w:tcPr>
          <w:p w14:paraId="346EED9A">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p>
        </w:tc>
      </w:tr>
      <w:tr w14:paraId="790F67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2B2A303A">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甲方地址</w:t>
            </w:r>
          </w:p>
        </w:tc>
        <w:tc>
          <w:tcPr>
            <w:tcW w:w="8027" w:type="dxa"/>
            <w:vAlign w:val="center"/>
          </w:tcPr>
          <w:p w14:paraId="0C88D992">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p>
        </w:tc>
      </w:tr>
      <w:tr w14:paraId="1D2686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5F108178">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甲方电话</w:t>
            </w:r>
          </w:p>
        </w:tc>
        <w:tc>
          <w:tcPr>
            <w:tcW w:w="8027" w:type="dxa"/>
            <w:vAlign w:val="center"/>
          </w:tcPr>
          <w:p w14:paraId="1743BFEC">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p>
        </w:tc>
      </w:tr>
      <w:tr w14:paraId="71DB12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14:paraId="6A0B0D58">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合同价格</w:t>
            </w:r>
          </w:p>
        </w:tc>
        <w:tc>
          <w:tcPr>
            <w:tcW w:w="8027" w:type="dxa"/>
            <w:vAlign w:val="center"/>
          </w:tcPr>
          <w:p w14:paraId="450BD444">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p>
        </w:tc>
      </w:tr>
      <w:tr w14:paraId="6C1967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7C6AB4EC">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承担的工作</w:t>
            </w:r>
          </w:p>
        </w:tc>
        <w:tc>
          <w:tcPr>
            <w:tcW w:w="8027" w:type="dxa"/>
            <w:vAlign w:val="center"/>
          </w:tcPr>
          <w:p w14:paraId="24ABC10A">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p>
        </w:tc>
      </w:tr>
      <w:tr w14:paraId="155D2B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25A3EB7F">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服务质量</w:t>
            </w:r>
          </w:p>
        </w:tc>
        <w:tc>
          <w:tcPr>
            <w:tcW w:w="8027" w:type="dxa"/>
            <w:vAlign w:val="center"/>
          </w:tcPr>
          <w:p w14:paraId="1C8E2CE6">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p>
        </w:tc>
      </w:tr>
      <w:tr w14:paraId="487A79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14:paraId="324D4877">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项目描述</w:t>
            </w:r>
          </w:p>
        </w:tc>
        <w:tc>
          <w:tcPr>
            <w:tcW w:w="8027" w:type="dxa"/>
            <w:vAlign w:val="center"/>
          </w:tcPr>
          <w:p w14:paraId="59E1DA24">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p>
        </w:tc>
      </w:tr>
      <w:tr w14:paraId="0A3FA0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1DA3A987">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备注</w:t>
            </w:r>
          </w:p>
        </w:tc>
        <w:tc>
          <w:tcPr>
            <w:tcW w:w="8027" w:type="dxa"/>
            <w:vAlign w:val="center"/>
          </w:tcPr>
          <w:p w14:paraId="2AAB5744">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p>
        </w:tc>
      </w:tr>
    </w:tbl>
    <w:p w14:paraId="45FDFFD5">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3C4C6F56">
      <w:pPr>
        <w:pStyle w:val="44"/>
        <w:rPr>
          <w:rFonts w:hint="eastAsia" w:asciiTheme="minorEastAsia" w:hAnsiTheme="minorEastAsia" w:eastAsiaTheme="minorEastAsia" w:cstheme="minorEastAsia"/>
          <w:color w:val="auto"/>
          <w:highlight w:val="none"/>
          <w:u w:val="none"/>
        </w:rPr>
      </w:pPr>
    </w:p>
    <w:p w14:paraId="5B5811BA">
      <w:pPr>
        <w:pStyle w:val="5"/>
        <w:spacing w:before="0" w:after="0" w:line="360" w:lineRule="auto"/>
        <w:jc w:val="center"/>
        <w:rPr>
          <w:rFonts w:hint="eastAsia" w:asciiTheme="minorEastAsia" w:hAnsiTheme="minorEastAsia" w:eastAsiaTheme="minorEastAsia" w:cstheme="minorEastAsia"/>
          <w:b w:val="0"/>
          <w:color w:val="auto"/>
          <w:highlight w:val="none"/>
        </w:rPr>
      </w:pPr>
      <w:bookmarkStart w:id="594" w:name="_Toc30136"/>
      <w:bookmarkStart w:id="595" w:name="_Toc11964"/>
      <w:r>
        <w:rPr>
          <w:rFonts w:hint="eastAsia" w:asciiTheme="minorEastAsia" w:hAnsiTheme="minorEastAsia" w:eastAsiaTheme="minorEastAsia" w:cstheme="minorEastAsia"/>
          <w:b w:val="0"/>
          <w:color w:val="auto"/>
          <w:highlight w:val="none"/>
        </w:rPr>
        <w:t>（四）承诺</w:t>
      </w:r>
      <w:bookmarkEnd w:id="594"/>
      <w:bookmarkEnd w:id="595"/>
    </w:p>
    <w:p w14:paraId="5CAD0474">
      <w:pPr>
        <w:snapToGrid w:val="0"/>
        <w:spacing w:line="3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（比选人名称）：</w:t>
      </w:r>
    </w:p>
    <w:p w14:paraId="7490C7F4">
      <w:pPr>
        <w:snapToGrid w:val="0"/>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我公司        （竞选人名称）参加了贵单位        （项目名称）的投标，自愿作出以下承诺：</w:t>
      </w:r>
    </w:p>
    <w:p w14:paraId="7153D878">
      <w:pPr>
        <w:snapToGrid w:val="0"/>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1、我公司投标截止日投标资格情况不存在下列情形之一：</w:t>
      </w:r>
    </w:p>
    <w:p w14:paraId="38A4651C">
      <w:pPr>
        <w:snapToGrid w:val="0"/>
        <w:spacing w:line="38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（1）被人民法院列入失信被执行人名单且在被执行期内；</w:t>
      </w:r>
    </w:p>
    <w:p w14:paraId="15C7C435">
      <w:pPr>
        <w:snapToGrid w:val="0"/>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（2）被“信用中国”网站(www.creditchina.gov.cn) 列为失信被 执行人；</w:t>
      </w:r>
    </w:p>
    <w:p w14:paraId="2BBEE159">
      <w:pPr>
        <w:snapToGrid w:val="0"/>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（3）被国家、重庆市（含市或任意区县）有关行政部门处以暂停投标资格行政处罚，且在处罚期限内；</w:t>
      </w:r>
    </w:p>
    <w:p w14:paraId="54D7E0BB">
      <w:pPr>
        <w:snapToGrid w:val="0"/>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（4）被重庆市市级有关行业主管部门暂停在渝承揽新业务且在暂停期内。</w:t>
      </w:r>
    </w:p>
    <w:p w14:paraId="78D5581F">
      <w:pPr>
        <w:snapToGrid w:val="0"/>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我公司在资格审查部分中提供的相关证明材料真实有效，不存在弄虚作假情形。贵单位在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p>
    <w:p w14:paraId="2BA29692">
      <w:pPr>
        <w:snapToGrid w:val="0"/>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3、我公司不存在第二章 投标人须知第 1.4.3 项规定的任何一种情形。</w:t>
      </w:r>
    </w:p>
    <w:p w14:paraId="17773BE1">
      <w:pPr>
        <w:snapToGrid w:val="0"/>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4、我公司的投标文件符合第二章 投标人须知第 1.3.1 项的规定。</w:t>
      </w:r>
    </w:p>
    <w:p w14:paraId="5440DC3C">
      <w:pPr>
        <w:snapToGrid w:val="0"/>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5、我公司的投标文件符合第四章 合同条款及格式规定，投标文件中没有贵单位不能接受的条件。</w:t>
      </w:r>
    </w:p>
    <w:p w14:paraId="574DDE29">
      <w:pPr>
        <w:snapToGrid w:val="0"/>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6、我公司的投标文件符合第五章 技术标准和要求（如有）。</w:t>
      </w:r>
    </w:p>
    <w:p w14:paraId="6150A81B">
      <w:pPr>
        <w:tabs>
          <w:tab w:val="left" w:pos="4200"/>
          <w:tab w:val="left" w:pos="4620"/>
        </w:tabs>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Cs w:val="21"/>
          <w:highlight w:val="none"/>
        </w:rPr>
      </w:pPr>
    </w:p>
    <w:bookmarkEnd w:id="589"/>
    <w:bookmarkEnd w:id="590"/>
    <w:p w14:paraId="6E4DEC26">
      <w:pPr>
        <w:tabs>
          <w:tab w:val="left" w:pos="4200"/>
          <w:tab w:val="left" w:pos="4620"/>
        </w:tabs>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竞  选  人：</w:t>
      </w: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pacing w:val="-1"/>
          <w:kern w:val="0"/>
          <w:szCs w:val="21"/>
          <w:highlight w:val="none"/>
        </w:rPr>
        <w:t>盖单位法人章</w:t>
      </w:r>
      <w:r>
        <w:rPr>
          <w:rFonts w:hint="eastAsia" w:asciiTheme="minorEastAsia" w:hAnsiTheme="minorEastAsia" w:eastAsiaTheme="minorEastAsia" w:cstheme="minorEastAsia"/>
          <w:color w:val="auto"/>
          <w:kern w:val="0"/>
          <w:szCs w:val="21"/>
          <w:highlight w:val="none"/>
        </w:rPr>
        <w:t>）</w:t>
      </w:r>
    </w:p>
    <w:p w14:paraId="3E694D90">
      <w:pPr>
        <w:tabs>
          <w:tab w:val="left" w:pos="6300"/>
        </w:tabs>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法定代表人：</w:t>
      </w: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（签名或盖章）</w:t>
      </w:r>
    </w:p>
    <w:p w14:paraId="68D16C8B">
      <w:pPr>
        <w:tabs>
          <w:tab w:val="left" w:pos="6300"/>
        </w:tabs>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p>
    <w:p w14:paraId="453E0B87">
      <w:pPr>
        <w:tabs>
          <w:tab w:val="left" w:pos="6300"/>
        </w:tabs>
        <w:autoSpaceDE w:val="0"/>
        <w:autoSpaceDN w:val="0"/>
        <w:adjustRightInd w:val="0"/>
        <w:snapToGrid w:val="0"/>
        <w:ind w:firstLine="420" w:firstLineChars="200"/>
        <w:jc w:val="righ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kern w:val="0"/>
          <w:szCs w:val="21"/>
          <w:highlight w:val="none"/>
        </w:rPr>
        <w:t xml:space="preserve">    年    月    日</w:t>
      </w:r>
    </w:p>
    <w:p w14:paraId="784D1D9F">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417645F6">
      <w:pPr>
        <w:pStyle w:val="5"/>
        <w:spacing w:before="0" w:line="360" w:lineRule="auto"/>
        <w:jc w:val="center"/>
        <w:rPr>
          <w:rFonts w:hint="eastAsia" w:asciiTheme="minorEastAsia" w:hAnsiTheme="minorEastAsia" w:eastAsiaTheme="minorEastAsia" w:cstheme="minorEastAsia"/>
          <w:b w:val="0"/>
          <w:color w:val="auto"/>
          <w:highlight w:val="none"/>
        </w:rPr>
      </w:pPr>
      <w:bookmarkStart w:id="596" w:name="_Toc17679"/>
      <w:bookmarkStart w:id="597" w:name="_Toc25182"/>
      <w:r>
        <w:rPr>
          <w:rFonts w:hint="eastAsia" w:asciiTheme="minorEastAsia" w:hAnsiTheme="minorEastAsia" w:eastAsiaTheme="minorEastAsia" w:cstheme="minorEastAsia"/>
          <w:b w:val="0"/>
          <w:color w:val="auto"/>
          <w:highlight w:val="none"/>
        </w:rPr>
        <w:t>（五）服务方案</w:t>
      </w:r>
      <w:bookmarkEnd w:id="596"/>
    </w:p>
    <w:p w14:paraId="7166C91A">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（格式自拟）</w:t>
      </w:r>
    </w:p>
    <w:p w14:paraId="0F3DE961">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552ED653">
      <w:pPr>
        <w:pStyle w:val="5"/>
        <w:numPr>
          <w:ilvl w:val="0"/>
          <w:numId w:val="19"/>
        </w:numPr>
        <w:spacing w:before="0" w:line="360" w:lineRule="auto"/>
        <w:jc w:val="center"/>
        <w:rPr>
          <w:rFonts w:hint="eastAsia" w:asciiTheme="minorEastAsia" w:hAnsiTheme="minorEastAsia" w:eastAsiaTheme="minorEastAsia" w:cstheme="minorEastAsia"/>
          <w:color w:val="auto"/>
          <w:highlight w:val="none"/>
        </w:rPr>
      </w:pPr>
      <w:bookmarkStart w:id="598" w:name="_Toc11543"/>
      <w:r>
        <w:rPr>
          <w:rFonts w:hint="eastAsia" w:asciiTheme="minorEastAsia" w:hAnsiTheme="minorEastAsia" w:eastAsiaTheme="minorEastAsia" w:cstheme="minorEastAsia"/>
          <w:b w:val="0"/>
          <w:color w:val="auto"/>
          <w:highlight w:val="none"/>
        </w:rPr>
        <w:t>其他资料</w:t>
      </w:r>
      <w:bookmarkEnd w:id="464"/>
      <w:bookmarkEnd w:id="465"/>
      <w:bookmarkEnd w:id="466"/>
      <w:bookmarkEnd w:id="597"/>
      <w:bookmarkEnd w:id="598"/>
    </w:p>
    <w:sectPr>
      <w:headerReference r:id="rId11" w:type="default"/>
      <w:footerReference r:id="rId12" w:type="default"/>
      <w:pgSz w:w="11906" w:h="16838"/>
      <w:pgMar w:top="1304" w:right="1134" w:bottom="1304" w:left="130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A6E0F91-3168-405C-BCF7-6A540195E041}"/>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pingfang sc">
    <w:altName w:val="宋体"/>
    <w:panose1 w:val="00000000000000000000"/>
    <w:charset w:val="86"/>
    <w:family w:val="auto"/>
    <w:pitch w:val="default"/>
    <w:sig w:usb0="00000000" w:usb1="00000000" w:usb2="00000017" w:usb3="00000000" w:csb0="00040001" w:csb1="00000000"/>
  </w:font>
  <w:font w:name="方正仿宋_GBK">
    <w:panose1 w:val="03000509000000000000"/>
    <w:charset w:val="86"/>
    <w:family w:val="script"/>
    <w:pitch w:val="default"/>
    <w:sig w:usb0="00000001" w:usb1="080E0000" w:usb2="00000000" w:usb3="00000000" w:csb0="00040000" w:csb1="00000000"/>
    <w:embedRegular r:id="rId2" w:fontKey="{3BF9C157-643F-4A6C-A493-91BFA16A6BBC}"/>
  </w:font>
  <w:font w:name="Times New Roman Regular">
    <w:altName w:val="Times New Roman"/>
    <w:panose1 w:val="00000000000000000000"/>
    <w:charset w:val="00"/>
    <w:family w:val="auto"/>
    <w:pitch w:val="default"/>
    <w:sig w:usb0="00000000" w:usb1="00000000" w:usb2="00000009" w:usb3="00000000" w:csb0="400001FF" w:csb1="FFFF0000"/>
    <w:embedRegular r:id="rId3" w:fontKey="{A2FC2551-58B7-460B-A541-675AFA9799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C4FC6">
    <w:pPr>
      <w:pStyle w:val="30"/>
      <w:framePr w:wrap="around" w:vAnchor="text" w:hAnchor="margin" w:xAlign="center" w:y="1"/>
      <w:rPr>
        <w:rStyle w:val="53"/>
      </w:rPr>
    </w:pPr>
    <w:r>
      <w:fldChar w:fldCharType="begin"/>
    </w:r>
    <w:r>
      <w:rPr>
        <w:rStyle w:val="53"/>
      </w:rPr>
      <w:instrText xml:space="preserve">PAGE  </w:instrText>
    </w:r>
    <w:r>
      <w:fldChar w:fldCharType="separate"/>
    </w:r>
    <w:r>
      <w:rPr>
        <w:rStyle w:val="53"/>
      </w:rPr>
      <w:t>- 3 -</w:t>
    </w:r>
    <w:r>
      <w:fldChar w:fldCharType="end"/>
    </w:r>
  </w:p>
  <w:p w14:paraId="636D19BF">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B51D0">
    <w:pPr>
      <w:pStyle w:val="30"/>
      <w:jc w:val="center"/>
    </w:pPr>
    <w:r>
      <w:fldChar w:fldCharType="begin"/>
    </w:r>
    <w:r>
      <w:instrText xml:space="preserve">PAGE   \* MERGEFORMAT</w:instrText>
    </w:r>
    <w:r>
      <w:fldChar w:fldCharType="separate"/>
    </w:r>
    <w:r>
      <w:rPr>
        <w:lang w:val="zh-CN"/>
      </w:rPr>
      <w:t>2</w:t>
    </w:r>
    <w:r>
      <w:fldChar w:fldCharType="end"/>
    </w:r>
  </w:p>
  <w:p w14:paraId="4C9E8B94">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66603">
    <w:pPr>
      <w:pStyle w:val="30"/>
    </w:pPr>
  </w:p>
  <w:p w14:paraId="11B433D2">
    <w:pPr>
      <w:pStyle w:val="3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6C10AB3">
                          <w:pPr>
                            <w:pStyle w:val="3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pzPrS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Ij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unM+tL0BAAB7AwAADgAAAAAAAAABACAAAAAfAQAAZHJzL2Uyb0RvYy54bWxQSwUGAAAA&#10;AAYABgBZAQAATgUAAAAA&#10;">
              <v:fill on="f" focussize="0,0"/>
              <v:stroke on="f"/>
              <v:imagedata o:title=""/>
              <o:lock v:ext="edit" aspectratio="f"/>
              <v:textbox inset="0mm,0mm,0mm,0mm" style="mso-fit-shape-to-text:t;">
                <w:txbxContent>
                  <w:p w14:paraId="16C10AB3">
                    <w:pPr>
                      <w:pStyle w:val="3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12663">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88C98D">
                          <w:pPr>
                            <w:pStyle w:val="30"/>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188C98D">
                    <w:pPr>
                      <w:pStyle w:val="30"/>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E81D8">
    <w:pPr>
      <w:pStyle w:val="30"/>
      <w:jc w:val="center"/>
    </w:pPr>
    <w:r>
      <w:t xml:space="preserve">- </w:t>
    </w:r>
    <w:r>
      <w:fldChar w:fldCharType="begin"/>
    </w:r>
    <w:r>
      <w:instrText xml:space="preserve"> PAGE </w:instrText>
    </w:r>
    <w:r>
      <w:fldChar w:fldCharType="separate"/>
    </w:r>
    <w:r>
      <w:t>243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B0817">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FBCD2">
    <w:pPr>
      <w:pStyle w:val="31"/>
      <w:pBdr>
        <w:bottom w:val="none" w:color="auto" w:sz="0" w:space="1"/>
      </w:pBdr>
      <w:jc w:val="both"/>
      <w:rPr>
        <w:rFonts w:ascii="方正仿宋_GBK" w:eastAsia="方正仿宋_GBK"/>
        <w:sz w:val="21"/>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A58BB">
    <w:pPr>
      <w:pStyle w:val="31"/>
      <w:pBdr>
        <w:bottom w:val="none" w:color="auto" w:sz="0" w:space="1"/>
      </w:pBdr>
      <w:jc w:val="both"/>
      <w:rPr>
        <w:rFonts w:ascii="方正仿宋_GBK" w:eastAsia="方正仿宋_GBK"/>
        <w:sz w:val="21"/>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7D3AE"/>
    <w:multiLevelType w:val="singleLevel"/>
    <w:tmpl w:val="AFD7D3AE"/>
    <w:lvl w:ilvl="0" w:tentative="0">
      <w:start w:val="1"/>
      <w:numFmt w:val="decimal"/>
      <w:lvlText w:val="%1."/>
      <w:lvlJc w:val="left"/>
      <w:pPr>
        <w:ind w:left="425" w:hanging="425"/>
      </w:pPr>
      <w:rPr>
        <w:rFonts w:hint="default" w:ascii="宋体" w:hAnsi="宋体" w:eastAsia="宋体" w:cstheme="minorEastAsia"/>
      </w:rPr>
    </w:lvl>
  </w:abstractNum>
  <w:abstractNum w:abstractNumId="1">
    <w:nsid w:val="CFF99B12"/>
    <w:multiLevelType w:val="singleLevel"/>
    <w:tmpl w:val="CFF99B12"/>
    <w:lvl w:ilvl="0" w:tentative="0">
      <w:start w:val="1"/>
      <w:numFmt w:val="decimal"/>
      <w:lvlText w:val="%1."/>
      <w:lvlJc w:val="left"/>
      <w:pPr>
        <w:ind w:left="425" w:hanging="425"/>
      </w:pPr>
      <w:rPr>
        <w:rFonts w:hint="default"/>
      </w:rPr>
    </w:lvl>
  </w:abstractNum>
  <w:abstractNum w:abstractNumId="2">
    <w:nsid w:val="DFFE3519"/>
    <w:multiLevelType w:val="singleLevel"/>
    <w:tmpl w:val="DFFE3519"/>
    <w:lvl w:ilvl="0" w:tentative="0">
      <w:start w:val="1"/>
      <w:numFmt w:val="chineseCounting"/>
      <w:suff w:val="nothing"/>
      <w:lvlText w:val="%1、"/>
      <w:lvlJc w:val="left"/>
      <w:pPr>
        <w:ind w:left="-136" w:firstLine="420"/>
      </w:pPr>
      <w:rPr>
        <w:rFonts w:hint="eastAsia"/>
        <w:color w:val="FF0000"/>
      </w:rPr>
    </w:lvl>
  </w:abstractNum>
  <w:abstractNum w:abstractNumId="3">
    <w:nsid w:val="FBE61101"/>
    <w:multiLevelType w:val="singleLevel"/>
    <w:tmpl w:val="FBE61101"/>
    <w:lvl w:ilvl="0" w:tentative="0">
      <w:start w:val="1"/>
      <w:numFmt w:val="decimal"/>
      <w:lvlText w:val="%1."/>
      <w:lvlJc w:val="left"/>
      <w:pPr>
        <w:ind w:left="425" w:hanging="425"/>
      </w:pPr>
      <w:rPr>
        <w:rFonts w:hint="default"/>
      </w:rPr>
    </w:lvl>
  </w:abstractNum>
  <w:abstractNum w:abstractNumId="4">
    <w:nsid w:val="FBFF9722"/>
    <w:multiLevelType w:val="singleLevel"/>
    <w:tmpl w:val="FBFF9722"/>
    <w:lvl w:ilvl="0" w:tentative="0">
      <w:start w:val="1"/>
      <w:numFmt w:val="decimal"/>
      <w:lvlText w:val="%1."/>
      <w:lvlJc w:val="left"/>
      <w:pPr>
        <w:tabs>
          <w:tab w:val="left" w:pos="420"/>
        </w:tabs>
        <w:ind w:left="425" w:hanging="425"/>
      </w:pPr>
      <w:rPr>
        <w:rFonts w:hint="default"/>
      </w:rPr>
    </w:lvl>
  </w:abstractNum>
  <w:abstractNum w:abstractNumId="5">
    <w:nsid w:val="FD7F0017"/>
    <w:multiLevelType w:val="singleLevel"/>
    <w:tmpl w:val="FD7F0017"/>
    <w:lvl w:ilvl="0" w:tentative="0">
      <w:start w:val="1"/>
      <w:numFmt w:val="decimal"/>
      <w:lvlText w:val="%1."/>
      <w:lvlJc w:val="left"/>
      <w:pPr>
        <w:ind w:left="425" w:hanging="425"/>
      </w:pPr>
      <w:rPr>
        <w:rFonts w:hint="default"/>
      </w:rPr>
    </w:lvl>
  </w:abstractNum>
  <w:abstractNum w:abstractNumId="6">
    <w:nsid w:val="FDD23730"/>
    <w:multiLevelType w:val="singleLevel"/>
    <w:tmpl w:val="FDD23730"/>
    <w:lvl w:ilvl="0" w:tentative="0">
      <w:start w:val="1"/>
      <w:numFmt w:val="chineseCounting"/>
      <w:suff w:val="nothing"/>
      <w:lvlText w:val="%1、"/>
      <w:lvlJc w:val="left"/>
      <w:rPr>
        <w:rFonts w:hint="eastAsia"/>
      </w:rPr>
    </w:lvl>
  </w:abstractNum>
  <w:abstractNum w:abstractNumId="7">
    <w:nsid w:val="FE29376B"/>
    <w:multiLevelType w:val="singleLevel"/>
    <w:tmpl w:val="FE29376B"/>
    <w:lvl w:ilvl="0" w:tentative="0">
      <w:start w:val="1"/>
      <w:numFmt w:val="decimal"/>
      <w:lvlText w:val="%1."/>
      <w:lvlJc w:val="left"/>
      <w:pPr>
        <w:tabs>
          <w:tab w:val="left" w:pos="312"/>
        </w:tabs>
      </w:pPr>
    </w:lvl>
  </w:abstractNum>
  <w:abstractNum w:abstractNumId="8">
    <w:nsid w:val="FF2BE88A"/>
    <w:multiLevelType w:val="singleLevel"/>
    <w:tmpl w:val="FF2BE88A"/>
    <w:lvl w:ilvl="0" w:tentative="0">
      <w:start w:val="1"/>
      <w:numFmt w:val="decimal"/>
      <w:lvlText w:val="%1."/>
      <w:lvlJc w:val="left"/>
      <w:pPr>
        <w:tabs>
          <w:tab w:val="left" w:pos="420"/>
        </w:tabs>
        <w:ind w:left="425" w:hanging="425"/>
      </w:pPr>
      <w:rPr>
        <w:rFonts w:hint="default"/>
      </w:rPr>
    </w:lvl>
  </w:abstractNum>
  <w:abstractNum w:abstractNumId="9">
    <w:nsid w:val="FFE6AB44"/>
    <w:multiLevelType w:val="singleLevel"/>
    <w:tmpl w:val="FFE6AB44"/>
    <w:lvl w:ilvl="0" w:tentative="0">
      <w:start w:val="1"/>
      <w:numFmt w:val="decimal"/>
      <w:lvlText w:val="%1."/>
      <w:lvlJc w:val="left"/>
      <w:pPr>
        <w:ind w:left="425" w:hanging="425"/>
      </w:pPr>
      <w:rPr>
        <w:rFonts w:hint="default"/>
      </w:rPr>
    </w:lvl>
  </w:abstractNum>
  <w:abstractNum w:abstractNumId="10">
    <w:nsid w:val="024074E9"/>
    <w:multiLevelType w:val="singleLevel"/>
    <w:tmpl w:val="024074E9"/>
    <w:lvl w:ilvl="0" w:tentative="0">
      <w:start w:val="1"/>
      <w:numFmt w:val="decimal"/>
      <w:lvlText w:val="%1."/>
      <w:lvlJc w:val="left"/>
      <w:pPr>
        <w:tabs>
          <w:tab w:val="left" w:pos="420"/>
        </w:tabs>
        <w:ind w:left="425" w:hanging="425"/>
      </w:pPr>
      <w:rPr>
        <w:rFonts w:hint="default"/>
      </w:rPr>
    </w:lvl>
  </w:abstractNum>
  <w:abstractNum w:abstractNumId="11">
    <w:nsid w:val="17DE46BA"/>
    <w:multiLevelType w:val="singleLevel"/>
    <w:tmpl w:val="17DE46BA"/>
    <w:lvl w:ilvl="0" w:tentative="0">
      <w:start w:val="1"/>
      <w:numFmt w:val="decimal"/>
      <w:suff w:val="nothing"/>
      <w:lvlText w:val="（%1）"/>
      <w:lvlJc w:val="left"/>
    </w:lvl>
  </w:abstractNum>
  <w:abstractNum w:abstractNumId="12">
    <w:nsid w:val="2CCB2FCE"/>
    <w:multiLevelType w:val="singleLevel"/>
    <w:tmpl w:val="2CCB2FCE"/>
    <w:lvl w:ilvl="0" w:tentative="0">
      <w:start w:val="1"/>
      <w:numFmt w:val="decimal"/>
      <w:lvlText w:val="%1."/>
      <w:lvlJc w:val="left"/>
      <w:pPr>
        <w:ind w:left="425" w:hanging="425"/>
      </w:pPr>
      <w:rPr>
        <w:rFonts w:hint="default"/>
      </w:rPr>
    </w:lvl>
  </w:abstractNum>
  <w:abstractNum w:abstractNumId="13">
    <w:nsid w:val="2FEFE81E"/>
    <w:multiLevelType w:val="singleLevel"/>
    <w:tmpl w:val="2FEFE81E"/>
    <w:lvl w:ilvl="0" w:tentative="0">
      <w:start w:val="1"/>
      <w:numFmt w:val="decimal"/>
      <w:lvlText w:val="%1."/>
      <w:lvlJc w:val="left"/>
      <w:pPr>
        <w:ind w:left="425" w:hanging="425"/>
      </w:pPr>
      <w:rPr>
        <w:rFonts w:hint="default"/>
      </w:rPr>
    </w:lvl>
  </w:abstractNum>
  <w:abstractNum w:abstractNumId="14">
    <w:nsid w:val="4DDF0DB8"/>
    <w:multiLevelType w:val="singleLevel"/>
    <w:tmpl w:val="4DDF0DB8"/>
    <w:lvl w:ilvl="0" w:tentative="0">
      <w:start w:val="6"/>
      <w:numFmt w:val="chineseCounting"/>
      <w:suff w:val="nothing"/>
      <w:lvlText w:val="（%1）"/>
      <w:lvlJc w:val="left"/>
      <w:rPr>
        <w:rFonts w:hint="eastAsia"/>
      </w:rPr>
    </w:lvl>
  </w:abstractNum>
  <w:abstractNum w:abstractNumId="15">
    <w:nsid w:val="5D5E0DAB"/>
    <w:multiLevelType w:val="singleLevel"/>
    <w:tmpl w:val="5D5E0DAB"/>
    <w:lvl w:ilvl="0" w:tentative="0">
      <w:start w:val="1"/>
      <w:numFmt w:val="chineseCounting"/>
      <w:suff w:val="nothing"/>
      <w:lvlText w:val="%1、"/>
      <w:lvlJc w:val="left"/>
      <w:pPr>
        <w:ind w:left="0" w:firstLine="420"/>
      </w:pPr>
      <w:rPr>
        <w:rFonts w:hint="eastAsia" w:ascii="宋体" w:hAnsi="宋体" w:eastAsia="宋体" w:cstheme="minorEastAsia"/>
        <w:b/>
        <w:bCs/>
      </w:rPr>
    </w:lvl>
  </w:abstractNum>
  <w:abstractNum w:abstractNumId="16">
    <w:nsid w:val="7B1E4B75"/>
    <w:multiLevelType w:val="singleLevel"/>
    <w:tmpl w:val="7B1E4B75"/>
    <w:lvl w:ilvl="0" w:tentative="0">
      <w:start w:val="5"/>
      <w:numFmt w:val="chineseCounting"/>
      <w:suff w:val="space"/>
      <w:lvlText w:val="第%1章"/>
      <w:lvlJc w:val="left"/>
      <w:rPr>
        <w:rFonts w:hint="eastAsia"/>
      </w:rPr>
    </w:lvl>
  </w:abstractNum>
  <w:abstractNum w:abstractNumId="17">
    <w:nsid w:val="7BFF51E1"/>
    <w:multiLevelType w:val="singleLevel"/>
    <w:tmpl w:val="7BFF51E1"/>
    <w:lvl w:ilvl="0" w:tentative="0">
      <w:start w:val="1"/>
      <w:numFmt w:val="decimal"/>
      <w:lvlText w:val="%1."/>
      <w:lvlJc w:val="left"/>
      <w:pPr>
        <w:tabs>
          <w:tab w:val="left" w:pos="420"/>
        </w:tabs>
        <w:ind w:left="425" w:hanging="425"/>
      </w:pPr>
      <w:rPr>
        <w:rFonts w:hint="default"/>
      </w:rPr>
    </w:lvl>
  </w:abstractNum>
  <w:abstractNum w:abstractNumId="18">
    <w:nsid w:val="7F6F6B32"/>
    <w:multiLevelType w:val="singleLevel"/>
    <w:tmpl w:val="7F6F6B32"/>
    <w:lvl w:ilvl="0" w:tentative="0">
      <w:start w:val="1"/>
      <w:numFmt w:val="decimal"/>
      <w:lvlText w:val="%1."/>
      <w:lvlJc w:val="left"/>
      <w:pPr>
        <w:ind w:left="425" w:hanging="425"/>
      </w:pPr>
      <w:rPr>
        <w:rFonts w:hint="default"/>
      </w:rPr>
    </w:lvl>
  </w:abstractNum>
  <w:num w:numId="1">
    <w:abstractNumId w:val="11"/>
  </w:num>
  <w:num w:numId="2">
    <w:abstractNumId w:val="7"/>
  </w:num>
  <w:num w:numId="3">
    <w:abstractNumId w:val="2"/>
  </w:num>
  <w:num w:numId="4">
    <w:abstractNumId w:val="3"/>
  </w:num>
  <w:num w:numId="5">
    <w:abstractNumId w:val="17"/>
  </w:num>
  <w:num w:numId="6">
    <w:abstractNumId w:val="12"/>
  </w:num>
  <w:num w:numId="7">
    <w:abstractNumId w:val="10"/>
  </w:num>
  <w:num w:numId="8">
    <w:abstractNumId w:val="13"/>
  </w:num>
  <w:num w:numId="9">
    <w:abstractNumId w:val="4"/>
  </w:num>
  <w:num w:numId="10">
    <w:abstractNumId w:val="9"/>
  </w:num>
  <w:num w:numId="11">
    <w:abstractNumId w:val="16"/>
  </w:num>
  <w:num w:numId="12">
    <w:abstractNumId w:val="0"/>
  </w:num>
  <w:num w:numId="13">
    <w:abstractNumId w:val="15"/>
  </w:num>
  <w:num w:numId="14">
    <w:abstractNumId w:val="6"/>
  </w:num>
  <w:num w:numId="15">
    <w:abstractNumId w:val="18"/>
  </w:num>
  <w:num w:numId="16">
    <w:abstractNumId w:val="1"/>
  </w:num>
  <w:num w:numId="17">
    <w:abstractNumId w:val="8"/>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mirrorMargin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iOGM4MTAwMTg3NjFkYTFmMjZhMmEwZWQwM2ZiZTYifQ=="/>
  </w:docVars>
  <w:rsids>
    <w:rsidRoot w:val="00817135"/>
    <w:rsid w:val="00032DC5"/>
    <w:rsid w:val="00033187"/>
    <w:rsid w:val="000F20F9"/>
    <w:rsid w:val="001A2C09"/>
    <w:rsid w:val="001A45FF"/>
    <w:rsid w:val="00245593"/>
    <w:rsid w:val="00250BF0"/>
    <w:rsid w:val="00266244"/>
    <w:rsid w:val="0026743A"/>
    <w:rsid w:val="002C7012"/>
    <w:rsid w:val="002D78F0"/>
    <w:rsid w:val="002E30A3"/>
    <w:rsid w:val="003F6700"/>
    <w:rsid w:val="00440BD5"/>
    <w:rsid w:val="004435CF"/>
    <w:rsid w:val="00445D7C"/>
    <w:rsid w:val="00477158"/>
    <w:rsid w:val="004C2F3F"/>
    <w:rsid w:val="004D7E24"/>
    <w:rsid w:val="005101CE"/>
    <w:rsid w:val="0054152E"/>
    <w:rsid w:val="00560F21"/>
    <w:rsid w:val="00574317"/>
    <w:rsid w:val="00583082"/>
    <w:rsid w:val="005B0A1F"/>
    <w:rsid w:val="005C7FA3"/>
    <w:rsid w:val="005D2854"/>
    <w:rsid w:val="005E6281"/>
    <w:rsid w:val="00645782"/>
    <w:rsid w:val="0065469D"/>
    <w:rsid w:val="006B2747"/>
    <w:rsid w:val="006B5AF3"/>
    <w:rsid w:val="006C6EF9"/>
    <w:rsid w:val="00740983"/>
    <w:rsid w:val="00772794"/>
    <w:rsid w:val="007C0EA8"/>
    <w:rsid w:val="007F4DAF"/>
    <w:rsid w:val="00817135"/>
    <w:rsid w:val="00841BCD"/>
    <w:rsid w:val="00847487"/>
    <w:rsid w:val="008A0CD5"/>
    <w:rsid w:val="008E2E69"/>
    <w:rsid w:val="0096530B"/>
    <w:rsid w:val="009702DA"/>
    <w:rsid w:val="009B499E"/>
    <w:rsid w:val="00A250AB"/>
    <w:rsid w:val="00A32AE0"/>
    <w:rsid w:val="00A55E8D"/>
    <w:rsid w:val="00A56B30"/>
    <w:rsid w:val="00A65F24"/>
    <w:rsid w:val="00A82601"/>
    <w:rsid w:val="00A95EBE"/>
    <w:rsid w:val="00B051B4"/>
    <w:rsid w:val="00B35CDC"/>
    <w:rsid w:val="00B85CAF"/>
    <w:rsid w:val="00BA3803"/>
    <w:rsid w:val="00C00F13"/>
    <w:rsid w:val="00C435FB"/>
    <w:rsid w:val="00C671DB"/>
    <w:rsid w:val="00CA713B"/>
    <w:rsid w:val="00CB345D"/>
    <w:rsid w:val="00CD7238"/>
    <w:rsid w:val="00D21246"/>
    <w:rsid w:val="00E13D28"/>
    <w:rsid w:val="00E4538B"/>
    <w:rsid w:val="00E65B92"/>
    <w:rsid w:val="00E73E63"/>
    <w:rsid w:val="00E97F1E"/>
    <w:rsid w:val="00F109F3"/>
    <w:rsid w:val="00F56C0B"/>
    <w:rsid w:val="00F9379A"/>
    <w:rsid w:val="00FE37CD"/>
    <w:rsid w:val="01750EDE"/>
    <w:rsid w:val="01E925F2"/>
    <w:rsid w:val="01F91143"/>
    <w:rsid w:val="020250A8"/>
    <w:rsid w:val="0214718A"/>
    <w:rsid w:val="022226F1"/>
    <w:rsid w:val="023C235A"/>
    <w:rsid w:val="0241242E"/>
    <w:rsid w:val="02497534"/>
    <w:rsid w:val="02581525"/>
    <w:rsid w:val="025832D3"/>
    <w:rsid w:val="02804BE3"/>
    <w:rsid w:val="029C3B08"/>
    <w:rsid w:val="02CB3070"/>
    <w:rsid w:val="02DD1A2B"/>
    <w:rsid w:val="0320282F"/>
    <w:rsid w:val="03280EF8"/>
    <w:rsid w:val="0348159A"/>
    <w:rsid w:val="03505229"/>
    <w:rsid w:val="03604B36"/>
    <w:rsid w:val="03712D21"/>
    <w:rsid w:val="039E635A"/>
    <w:rsid w:val="03AD472C"/>
    <w:rsid w:val="04082AD7"/>
    <w:rsid w:val="04325AC8"/>
    <w:rsid w:val="043C1EA8"/>
    <w:rsid w:val="04BA473A"/>
    <w:rsid w:val="05151950"/>
    <w:rsid w:val="0522236A"/>
    <w:rsid w:val="055D6A85"/>
    <w:rsid w:val="057364D8"/>
    <w:rsid w:val="05D14557"/>
    <w:rsid w:val="05D340EA"/>
    <w:rsid w:val="05FE2133"/>
    <w:rsid w:val="05FE7CAD"/>
    <w:rsid w:val="061B4D44"/>
    <w:rsid w:val="069541C7"/>
    <w:rsid w:val="06A44E95"/>
    <w:rsid w:val="06B30E1D"/>
    <w:rsid w:val="07146850"/>
    <w:rsid w:val="07163C30"/>
    <w:rsid w:val="07222102"/>
    <w:rsid w:val="0747316B"/>
    <w:rsid w:val="07487DBA"/>
    <w:rsid w:val="074B228B"/>
    <w:rsid w:val="07632DD0"/>
    <w:rsid w:val="07634BF4"/>
    <w:rsid w:val="07672E8A"/>
    <w:rsid w:val="0767768E"/>
    <w:rsid w:val="07AB6459"/>
    <w:rsid w:val="07BC1031"/>
    <w:rsid w:val="07D3482D"/>
    <w:rsid w:val="080737D2"/>
    <w:rsid w:val="080B547D"/>
    <w:rsid w:val="08274BDD"/>
    <w:rsid w:val="0831084F"/>
    <w:rsid w:val="086F75C9"/>
    <w:rsid w:val="08C25591"/>
    <w:rsid w:val="08CD594E"/>
    <w:rsid w:val="092D606A"/>
    <w:rsid w:val="09ED536B"/>
    <w:rsid w:val="0A195461"/>
    <w:rsid w:val="0A2543E3"/>
    <w:rsid w:val="0A3035BA"/>
    <w:rsid w:val="0A375EC4"/>
    <w:rsid w:val="0A4E56B3"/>
    <w:rsid w:val="0A7144F7"/>
    <w:rsid w:val="0A797225"/>
    <w:rsid w:val="0A83110A"/>
    <w:rsid w:val="0A984D5C"/>
    <w:rsid w:val="0AA860A5"/>
    <w:rsid w:val="0AB03C7C"/>
    <w:rsid w:val="0AC97F37"/>
    <w:rsid w:val="0AD33E3F"/>
    <w:rsid w:val="0AE65BC8"/>
    <w:rsid w:val="0B0E42E3"/>
    <w:rsid w:val="0B374AB7"/>
    <w:rsid w:val="0B8A12CF"/>
    <w:rsid w:val="0BE278D7"/>
    <w:rsid w:val="0C293F7E"/>
    <w:rsid w:val="0C2D2A4E"/>
    <w:rsid w:val="0C9674DF"/>
    <w:rsid w:val="0D4D71AD"/>
    <w:rsid w:val="0D865199"/>
    <w:rsid w:val="0DAE5500"/>
    <w:rsid w:val="0DBF06AB"/>
    <w:rsid w:val="0DEA7073"/>
    <w:rsid w:val="0E091442"/>
    <w:rsid w:val="0E3D2AE0"/>
    <w:rsid w:val="0E4017EB"/>
    <w:rsid w:val="0E7616B1"/>
    <w:rsid w:val="0E8813E4"/>
    <w:rsid w:val="0E903981"/>
    <w:rsid w:val="0EA855E3"/>
    <w:rsid w:val="0EE06B2A"/>
    <w:rsid w:val="0F02347C"/>
    <w:rsid w:val="0F0D215C"/>
    <w:rsid w:val="0F2E788D"/>
    <w:rsid w:val="0F3118B1"/>
    <w:rsid w:val="0FB104C7"/>
    <w:rsid w:val="0FE16FFE"/>
    <w:rsid w:val="0FED2443"/>
    <w:rsid w:val="101141D0"/>
    <w:rsid w:val="102C328E"/>
    <w:rsid w:val="10341683"/>
    <w:rsid w:val="104B4477"/>
    <w:rsid w:val="10703EDE"/>
    <w:rsid w:val="108160EB"/>
    <w:rsid w:val="108654B0"/>
    <w:rsid w:val="108C5B45"/>
    <w:rsid w:val="109E6278"/>
    <w:rsid w:val="10CC1442"/>
    <w:rsid w:val="112278CE"/>
    <w:rsid w:val="11292A0B"/>
    <w:rsid w:val="11335637"/>
    <w:rsid w:val="114C04A7"/>
    <w:rsid w:val="11747428"/>
    <w:rsid w:val="11B642AD"/>
    <w:rsid w:val="11B76E7E"/>
    <w:rsid w:val="11CE71F6"/>
    <w:rsid w:val="122F69BB"/>
    <w:rsid w:val="127C4DBC"/>
    <w:rsid w:val="12A83E03"/>
    <w:rsid w:val="12F62DC0"/>
    <w:rsid w:val="139D323C"/>
    <w:rsid w:val="13CA799C"/>
    <w:rsid w:val="13CB74DA"/>
    <w:rsid w:val="13E600BD"/>
    <w:rsid w:val="142B25EC"/>
    <w:rsid w:val="146D2C0E"/>
    <w:rsid w:val="14A21959"/>
    <w:rsid w:val="14A51FB8"/>
    <w:rsid w:val="14D64C58"/>
    <w:rsid w:val="14F0383F"/>
    <w:rsid w:val="14FE5F5C"/>
    <w:rsid w:val="151224EE"/>
    <w:rsid w:val="155F0AA1"/>
    <w:rsid w:val="158741A4"/>
    <w:rsid w:val="15E129AC"/>
    <w:rsid w:val="15F8488C"/>
    <w:rsid w:val="16075608"/>
    <w:rsid w:val="162E6355"/>
    <w:rsid w:val="1662251B"/>
    <w:rsid w:val="16660FCB"/>
    <w:rsid w:val="166A3BE5"/>
    <w:rsid w:val="169315EF"/>
    <w:rsid w:val="16B43061"/>
    <w:rsid w:val="16F37DA2"/>
    <w:rsid w:val="172508E3"/>
    <w:rsid w:val="17AF79E2"/>
    <w:rsid w:val="17D15BAA"/>
    <w:rsid w:val="17E53404"/>
    <w:rsid w:val="1856573C"/>
    <w:rsid w:val="18AD2173"/>
    <w:rsid w:val="18B708FC"/>
    <w:rsid w:val="19124240"/>
    <w:rsid w:val="193D71F3"/>
    <w:rsid w:val="19453BA6"/>
    <w:rsid w:val="195F7294"/>
    <w:rsid w:val="198F3627"/>
    <w:rsid w:val="199450E1"/>
    <w:rsid w:val="19B968F6"/>
    <w:rsid w:val="1A6920CA"/>
    <w:rsid w:val="1AC3082E"/>
    <w:rsid w:val="1AD00105"/>
    <w:rsid w:val="1ADE4866"/>
    <w:rsid w:val="1AE8673C"/>
    <w:rsid w:val="1AF167D8"/>
    <w:rsid w:val="1B5E7755"/>
    <w:rsid w:val="1B694D12"/>
    <w:rsid w:val="1BB27AA1"/>
    <w:rsid w:val="1BF7155D"/>
    <w:rsid w:val="1C0E117B"/>
    <w:rsid w:val="1C5E5533"/>
    <w:rsid w:val="1C67088B"/>
    <w:rsid w:val="1C8A485F"/>
    <w:rsid w:val="1CAC66AA"/>
    <w:rsid w:val="1CD3692F"/>
    <w:rsid w:val="1D1218AC"/>
    <w:rsid w:val="1D383FD6"/>
    <w:rsid w:val="1D9E2B66"/>
    <w:rsid w:val="1DBC69B5"/>
    <w:rsid w:val="1DD711E3"/>
    <w:rsid w:val="1E086BAA"/>
    <w:rsid w:val="1E197963"/>
    <w:rsid w:val="1E4F70DA"/>
    <w:rsid w:val="1EB53B30"/>
    <w:rsid w:val="1EDE58F5"/>
    <w:rsid w:val="1EFB76EF"/>
    <w:rsid w:val="1F1E7609"/>
    <w:rsid w:val="1F3D0501"/>
    <w:rsid w:val="1F5B449A"/>
    <w:rsid w:val="1F602B3B"/>
    <w:rsid w:val="1F707A57"/>
    <w:rsid w:val="1FCB7383"/>
    <w:rsid w:val="1FD004F5"/>
    <w:rsid w:val="202820DF"/>
    <w:rsid w:val="20515ADA"/>
    <w:rsid w:val="205B4E2B"/>
    <w:rsid w:val="208F4C4A"/>
    <w:rsid w:val="208F4DF7"/>
    <w:rsid w:val="20981226"/>
    <w:rsid w:val="20A83220"/>
    <w:rsid w:val="20E71F9A"/>
    <w:rsid w:val="21046E3A"/>
    <w:rsid w:val="210618F0"/>
    <w:rsid w:val="21270CC2"/>
    <w:rsid w:val="21274A8D"/>
    <w:rsid w:val="21D50045"/>
    <w:rsid w:val="22396826"/>
    <w:rsid w:val="224F6049"/>
    <w:rsid w:val="22821F7B"/>
    <w:rsid w:val="228A7943"/>
    <w:rsid w:val="23503E27"/>
    <w:rsid w:val="23DD36F6"/>
    <w:rsid w:val="23EE3640"/>
    <w:rsid w:val="23F95193"/>
    <w:rsid w:val="24266EC9"/>
    <w:rsid w:val="24881A5B"/>
    <w:rsid w:val="24DB0580"/>
    <w:rsid w:val="251F57E3"/>
    <w:rsid w:val="254479BB"/>
    <w:rsid w:val="255552F4"/>
    <w:rsid w:val="25AC5561"/>
    <w:rsid w:val="25E34571"/>
    <w:rsid w:val="25F969F8"/>
    <w:rsid w:val="26124F7C"/>
    <w:rsid w:val="264A4F4F"/>
    <w:rsid w:val="26506010"/>
    <w:rsid w:val="268877A1"/>
    <w:rsid w:val="26936134"/>
    <w:rsid w:val="26AD5D0D"/>
    <w:rsid w:val="26D36140"/>
    <w:rsid w:val="27181100"/>
    <w:rsid w:val="275B5C83"/>
    <w:rsid w:val="278E278E"/>
    <w:rsid w:val="27B74E95"/>
    <w:rsid w:val="28344812"/>
    <w:rsid w:val="285A74F6"/>
    <w:rsid w:val="28AF528E"/>
    <w:rsid w:val="28F25887"/>
    <w:rsid w:val="290D71FC"/>
    <w:rsid w:val="29746395"/>
    <w:rsid w:val="29C16846"/>
    <w:rsid w:val="29F23CDD"/>
    <w:rsid w:val="2A30249C"/>
    <w:rsid w:val="2A370F32"/>
    <w:rsid w:val="2A570191"/>
    <w:rsid w:val="2ACA0D3E"/>
    <w:rsid w:val="2ACF1C5D"/>
    <w:rsid w:val="2AE61515"/>
    <w:rsid w:val="2B050B4A"/>
    <w:rsid w:val="2B230073"/>
    <w:rsid w:val="2B356201"/>
    <w:rsid w:val="2B667F60"/>
    <w:rsid w:val="2B712262"/>
    <w:rsid w:val="2B817C7B"/>
    <w:rsid w:val="2BB31DFD"/>
    <w:rsid w:val="2BC31C57"/>
    <w:rsid w:val="2C9E07BF"/>
    <w:rsid w:val="2CAB201C"/>
    <w:rsid w:val="2D4C1B03"/>
    <w:rsid w:val="2D5269EE"/>
    <w:rsid w:val="2D832920"/>
    <w:rsid w:val="2D937732"/>
    <w:rsid w:val="2DCD42C6"/>
    <w:rsid w:val="2DE0049D"/>
    <w:rsid w:val="2E271F10"/>
    <w:rsid w:val="2E3260C6"/>
    <w:rsid w:val="2E506832"/>
    <w:rsid w:val="2E5D03BB"/>
    <w:rsid w:val="2ED40002"/>
    <w:rsid w:val="2EF05516"/>
    <w:rsid w:val="2F065CE2"/>
    <w:rsid w:val="2F594063"/>
    <w:rsid w:val="30346975"/>
    <w:rsid w:val="30893E07"/>
    <w:rsid w:val="30BF31A0"/>
    <w:rsid w:val="3115220C"/>
    <w:rsid w:val="312642BA"/>
    <w:rsid w:val="31295CB7"/>
    <w:rsid w:val="314E47F2"/>
    <w:rsid w:val="31624A09"/>
    <w:rsid w:val="31653D42"/>
    <w:rsid w:val="316600C5"/>
    <w:rsid w:val="31977496"/>
    <w:rsid w:val="31A551E2"/>
    <w:rsid w:val="31CE550A"/>
    <w:rsid w:val="31F12C79"/>
    <w:rsid w:val="31F75DB5"/>
    <w:rsid w:val="32036508"/>
    <w:rsid w:val="32096215"/>
    <w:rsid w:val="32513718"/>
    <w:rsid w:val="3300448E"/>
    <w:rsid w:val="33234BF4"/>
    <w:rsid w:val="332A25DE"/>
    <w:rsid w:val="334F3707"/>
    <w:rsid w:val="33547E0A"/>
    <w:rsid w:val="33AF6948"/>
    <w:rsid w:val="342A2472"/>
    <w:rsid w:val="346F1641"/>
    <w:rsid w:val="34AC6BCC"/>
    <w:rsid w:val="35020CF9"/>
    <w:rsid w:val="350F5FEC"/>
    <w:rsid w:val="35252B14"/>
    <w:rsid w:val="35A47489"/>
    <w:rsid w:val="36C95F72"/>
    <w:rsid w:val="36F40B16"/>
    <w:rsid w:val="36FE0C92"/>
    <w:rsid w:val="37105893"/>
    <w:rsid w:val="37270FA6"/>
    <w:rsid w:val="37577894"/>
    <w:rsid w:val="37761D13"/>
    <w:rsid w:val="38040D2A"/>
    <w:rsid w:val="382471D8"/>
    <w:rsid w:val="3881462B"/>
    <w:rsid w:val="38A81BB8"/>
    <w:rsid w:val="38D2052D"/>
    <w:rsid w:val="39741A71"/>
    <w:rsid w:val="39974C7E"/>
    <w:rsid w:val="3A054308"/>
    <w:rsid w:val="3A125E82"/>
    <w:rsid w:val="3A6C4FEA"/>
    <w:rsid w:val="3AB24F6F"/>
    <w:rsid w:val="3AB94550"/>
    <w:rsid w:val="3B620744"/>
    <w:rsid w:val="3B62768D"/>
    <w:rsid w:val="3BB27261"/>
    <w:rsid w:val="3C20321B"/>
    <w:rsid w:val="3C461E13"/>
    <w:rsid w:val="3D2E4D81"/>
    <w:rsid w:val="3D3912A9"/>
    <w:rsid w:val="3DAB5F9B"/>
    <w:rsid w:val="3DB8289D"/>
    <w:rsid w:val="3DFA1107"/>
    <w:rsid w:val="3E485474"/>
    <w:rsid w:val="3E673BEE"/>
    <w:rsid w:val="3E7E2E6C"/>
    <w:rsid w:val="3E976956"/>
    <w:rsid w:val="3EC3774B"/>
    <w:rsid w:val="3EC51715"/>
    <w:rsid w:val="3F081602"/>
    <w:rsid w:val="3F1A40AE"/>
    <w:rsid w:val="3F4563B2"/>
    <w:rsid w:val="3F9B2476"/>
    <w:rsid w:val="3FA72611"/>
    <w:rsid w:val="3FC40905"/>
    <w:rsid w:val="3FCE1C5A"/>
    <w:rsid w:val="3FD404CE"/>
    <w:rsid w:val="3FE931E1"/>
    <w:rsid w:val="3FFC4A76"/>
    <w:rsid w:val="401F39E9"/>
    <w:rsid w:val="40C1415E"/>
    <w:rsid w:val="40D3098D"/>
    <w:rsid w:val="40D93256"/>
    <w:rsid w:val="41526B64"/>
    <w:rsid w:val="4169555E"/>
    <w:rsid w:val="417F0B65"/>
    <w:rsid w:val="41AA69A0"/>
    <w:rsid w:val="41B03D78"/>
    <w:rsid w:val="41BF6404"/>
    <w:rsid w:val="42134546"/>
    <w:rsid w:val="4222148F"/>
    <w:rsid w:val="428464EB"/>
    <w:rsid w:val="42A06816"/>
    <w:rsid w:val="42A17BA6"/>
    <w:rsid w:val="42C34E0B"/>
    <w:rsid w:val="42E36295"/>
    <w:rsid w:val="436112E1"/>
    <w:rsid w:val="439F6E61"/>
    <w:rsid w:val="43BE2B8A"/>
    <w:rsid w:val="444255B6"/>
    <w:rsid w:val="444B4F44"/>
    <w:rsid w:val="44A66E7D"/>
    <w:rsid w:val="44B02ABC"/>
    <w:rsid w:val="44D31D31"/>
    <w:rsid w:val="450F2962"/>
    <w:rsid w:val="452B7DF8"/>
    <w:rsid w:val="45462E84"/>
    <w:rsid w:val="45482758"/>
    <w:rsid w:val="45671CBD"/>
    <w:rsid w:val="4599112C"/>
    <w:rsid w:val="46396545"/>
    <w:rsid w:val="46736B3C"/>
    <w:rsid w:val="46873DD0"/>
    <w:rsid w:val="46A616B2"/>
    <w:rsid w:val="46C16C66"/>
    <w:rsid w:val="46D149CF"/>
    <w:rsid w:val="46D36F80"/>
    <w:rsid w:val="47845EE5"/>
    <w:rsid w:val="47AF2F63"/>
    <w:rsid w:val="47DD066E"/>
    <w:rsid w:val="47ED3A8B"/>
    <w:rsid w:val="48081624"/>
    <w:rsid w:val="483428BD"/>
    <w:rsid w:val="4847426C"/>
    <w:rsid w:val="48896197"/>
    <w:rsid w:val="48C91E02"/>
    <w:rsid w:val="48FC6901"/>
    <w:rsid w:val="48FE1841"/>
    <w:rsid w:val="49025314"/>
    <w:rsid w:val="49144199"/>
    <w:rsid w:val="491A265E"/>
    <w:rsid w:val="4A4C4A99"/>
    <w:rsid w:val="4A826E28"/>
    <w:rsid w:val="4A8561FD"/>
    <w:rsid w:val="4AA414CB"/>
    <w:rsid w:val="4AAE12AF"/>
    <w:rsid w:val="4AC97137"/>
    <w:rsid w:val="4B7324DB"/>
    <w:rsid w:val="4B7815D4"/>
    <w:rsid w:val="4B8D4CE9"/>
    <w:rsid w:val="4B9656D2"/>
    <w:rsid w:val="4B9F6840"/>
    <w:rsid w:val="4BE100EF"/>
    <w:rsid w:val="4C1415E6"/>
    <w:rsid w:val="4C1635B0"/>
    <w:rsid w:val="4C1E4213"/>
    <w:rsid w:val="4C2F2872"/>
    <w:rsid w:val="4C8B1FB6"/>
    <w:rsid w:val="4D16563C"/>
    <w:rsid w:val="4D1D4775"/>
    <w:rsid w:val="4D673998"/>
    <w:rsid w:val="4E165AE9"/>
    <w:rsid w:val="4E1C29D4"/>
    <w:rsid w:val="4E280B54"/>
    <w:rsid w:val="4E37780E"/>
    <w:rsid w:val="4E590582"/>
    <w:rsid w:val="4E91146E"/>
    <w:rsid w:val="4EAC044A"/>
    <w:rsid w:val="4EBD72A6"/>
    <w:rsid w:val="4ED33793"/>
    <w:rsid w:val="4EF47004"/>
    <w:rsid w:val="4F471CD3"/>
    <w:rsid w:val="4F6B7A5F"/>
    <w:rsid w:val="4F79447E"/>
    <w:rsid w:val="4FEE03A0"/>
    <w:rsid w:val="5019366F"/>
    <w:rsid w:val="502F2E92"/>
    <w:rsid w:val="51051479"/>
    <w:rsid w:val="51990256"/>
    <w:rsid w:val="520D67C1"/>
    <w:rsid w:val="52AA2CA4"/>
    <w:rsid w:val="52D82DE9"/>
    <w:rsid w:val="531D5224"/>
    <w:rsid w:val="53236DB5"/>
    <w:rsid w:val="53394028"/>
    <w:rsid w:val="53460A16"/>
    <w:rsid w:val="53B03160"/>
    <w:rsid w:val="53BB67EB"/>
    <w:rsid w:val="53E50B93"/>
    <w:rsid w:val="53E75832"/>
    <w:rsid w:val="541214BE"/>
    <w:rsid w:val="54280325"/>
    <w:rsid w:val="5452714F"/>
    <w:rsid w:val="54662BFB"/>
    <w:rsid w:val="54B5148C"/>
    <w:rsid w:val="54CA3B23"/>
    <w:rsid w:val="54CA6E6B"/>
    <w:rsid w:val="55002F4C"/>
    <w:rsid w:val="553A3451"/>
    <w:rsid w:val="55FB55C5"/>
    <w:rsid w:val="560B1ADB"/>
    <w:rsid w:val="561778BD"/>
    <w:rsid w:val="5621502B"/>
    <w:rsid w:val="563F35B6"/>
    <w:rsid w:val="566209E7"/>
    <w:rsid w:val="56843281"/>
    <w:rsid w:val="56CA5A4F"/>
    <w:rsid w:val="56CC3E96"/>
    <w:rsid w:val="57342B3C"/>
    <w:rsid w:val="57672F12"/>
    <w:rsid w:val="57696912"/>
    <w:rsid w:val="57797372"/>
    <w:rsid w:val="57945866"/>
    <w:rsid w:val="57970055"/>
    <w:rsid w:val="57A52A39"/>
    <w:rsid w:val="57B27F05"/>
    <w:rsid w:val="57C93BCD"/>
    <w:rsid w:val="583E16A2"/>
    <w:rsid w:val="58A50087"/>
    <w:rsid w:val="58A5065D"/>
    <w:rsid w:val="58B10670"/>
    <w:rsid w:val="58B32426"/>
    <w:rsid w:val="58F20F01"/>
    <w:rsid w:val="59046DE4"/>
    <w:rsid w:val="590F7D8F"/>
    <w:rsid w:val="59350DEE"/>
    <w:rsid w:val="59952F94"/>
    <w:rsid w:val="59AA358A"/>
    <w:rsid w:val="59B2243E"/>
    <w:rsid w:val="59B53BA0"/>
    <w:rsid w:val="59CD0C94"/>
    <w:rsid w:val="5A56726E"/>
    <w:rsid w:val="5A6E0A5B"/>
    <w:rsid w:val="5AD36B10"/>
    <w:rsid w:val="5ADC3C17"/>
    <w:rsid w:val="5ADC573B"/>
    <w:rsid w:val="5B0B1E06"/>
    <w:rsid w:val="5B24736C"/>
    <w:rsid w:val="5B2A0B2F"/>
    <w:rsid w:val="5BA439E1"/>
    <w:rsid w:val="5C2C64D8"/>
    <w:rsid w:val="5C9D633C"/>
    <w:rsid w:val="5CBA7F88"/>
    <w:rsid w:val="5CC04E72"/>
    <w:rsid w:val="5D291F85"/>
    <w:rsid w:val="5D5F3499"/>
    <w:rsid w:val="5D6514FF"/>
    <w:rsid w:val="5D7C6FEB"/>
    <w:rsid w:val="5DBE13B2"/>
    <w:rsid w:val="5E2006A3"/>
    <w:rsid w:val="5E3B2A02"/>
    <w:rsid w:val="5E6C0A33"/>
    <w:rsid w:val="5E762F78"/>
    <w:rsid w:val="5E785A05"/>
    <w:rsid w:val="5EAF1912"/>
    <w:rsid w:val="5EDC3E56"/>
    <w:rsid w:val="5F370970"/>
    <w:rsid w:val="5F5C0E82"/>
    <w:rsid w:val="5F6B37BB"/>
    <w:rsid w:val="5FA40A7B"/>
    <w:rsid w:val="6017124D"/>
    <w:rsid w:val="606036A1"/>
    <w:rsid w:val="608C1C3B"/>
    <w:rsid w:val="60D33FA2"/>
    <w:rsid w:val="61160B5C"/>
    <w:rsid w:val="611877D8"/>
    <w:rsid w:val="618D4BBE"/>
    <w:rsid w:val="624F2F20"/>
    <w:rsid w:val="6271733B"/>
    <w:rsid w:val="62B51380"/>
    <w:rsid w:val="62D6719E"/>
    <w:rsid w:val="62E261E5"/>
    <w:rsid w:val="63091321"/>
    <w:rsid w:val="635B76A3"/>
    <w:rsid w:val="63685C2A"/>
    <w:rsid w:val="63861F03"/>
    <w:rsid w:val="63CA5B32"/>
    <w:rsid w:val="63D00091"/>
    <w:rsid w:val="640169E9"/>
    <w:rsid w:val="64C574CA"/>
    <w:rsid w:val="64DB6CED"/>
    <w:rsid w:val="64EB5E98"/>
    <w:rsid w:val="65150451"/>
    <w:rsid w:val="652F2B95"/>
    <w:rsid w:val="6534707B"/>
    <w:rsid w:val="65647C5B"/>
    <w:rsid w:val="66327BF7"/>
    <w:rsid w:val="66404F36"/>
    <w:rsid w:val="66652D12"/>
    <w:rsid w:val="668D4017"/>
    <w:rsid w:val="668F5FE1"/>
    <w:rsid w:val="6690467C"/>
    <w:rsid w:val="66A446EB"/>
    <w:rsid w:val="66B5531C"/>
    <w:rsid w:val="66EA76BB"/>
    <w:rsid w:val="66F52CC3"/>
    <w:rsid w:val="671169F6"/>
    <w:rsid w:val="671764AB"/>
    <w:rsid w:val="672E1BB9"/>
    <w:rsid w:val="68233E92"/>
    <w:rsid w:val="6836427E"/>
    <w:rsid w:val="684B396E"/>
    <w:rsid w:val="68752646"/>
    <w:rsid w:val="68A37B22"/>
    <w:rsid w:val="68CD2DF1"/>
    <w:rsid w:val="68F42A0B"/>
    <w:rsid w:val="696A6892"/>
    <w:rsid w:val="69AE756A"/>
    <w:rsid w:val="69C51802"/>
    <w:rsid w:val="6A39281D"/>
    <w:rsid w:val="6A540B5C"/>
    <w:rsid w:val="6AA0366A"/>
    <w:rsid w:val="6AD57716"/>
    <w:rsid w:val="6AFE1987"/>
    <w:rsid w:val="6B234F4A"/>
    <w:rsid w:val="6B306F2E"/>
    <w:rsid w:val="6B3734E3"/>
    <w:rsid w:val="6BE7241B"/>
    <w:rsid w:val="6BF57F88"/>
    <w:rsid w:val="6C066D46"/>
    <w:rsid w:val="6C251FBB"/>
    <w:rsid w:val="6C901341"/>
    <w:rsid w:val="6CAE6A95"/>
    <w:rsid w:val="6CC4275D"/>
    <w:rsid w:val="6CC46483"/>
    <w:rsid w:val="6CCC1619"/>
    <w:rsid w:val="6D2156DC"/>
    <w:rsid w:val="6D372470"/>
    <w:rsid w:val="6D3C6797"/>
    <w:rsid w:val="6D6C1709"/>
    <w:rsid w:val="6D8C5C1E"/>
    <w:rsid w:val="6DAC0977"/>
    <w:rsid w:val="6DF42BCE"/>
    <w:rsid w:val="6E0252EB"/>
    <w:rsid w:val="6E6F3325"/>
    <w:rsid w:val="6E8300C9"/>
    <w:rsid w:val="6EA2607D"/>
    <w:rsid w:val="6ED317D6"/>
    <w:rsid w:val="6ED529FF"/>
    <w:rsid w:val="6EE80984"/>
    <w:rsid w:val="6EEB3FD1"/>
    <w:rsid w:val="6EFD5AB2"/>
    <w:rsid w:val="6F00293A"/>
    <w:rsid w:val="6F0D49D1"/>
    <w:rsid w:val="6F147412"/>
    <w:rsid w:val="6F567312"/>
    <w:rsid w:val="6F632D80"/>
    <w:rsid w:val="6FBD33FE"/>
    <w:rsid w:val="6FEA24DA"/>
    <w:rsid w:val="7027728A"/>
    <w:rsid w:val="7064228D"/>
    <w:rsid w:val="70AE52B6"/>
    <w:rsid w:val="70EC18B8"/>
    <w:rsid w:val="70EF4BF6"/>
    <w:rsid w:val="711C152C"/>
    <w:rsid w:val="71235CA4"/>
    <w:rsid w:val="712B4B58"/>
    <w:rsid w:val="714E2D66"/>
    <w:rsid w:val="715A3FC9"/>
    <w:rsid w:val="716E7626"/>
    <w:rsid w:val="71CD285F"/>
    <w:rsid w:val="7201431A"/>
    <w:rsid w:val="726227FC"/>
    <w:rsid w:val="72A7312D"/>
    <w:rsid w:val="72B01473"/>
    <w:rsid w:val="72CA2A64"/>
    <w:rsid w:val="73565639"/>
    <w:rsid w:val="735A1725"/>
    <w:rsid w:val="73740A39"/>
    <w:rsid w:val="73BC23E0"/>
    <w:rsid w:val="73DB05C0"/>
    <w:rsid w:val="74075FB0"/>
    <w:rsid w:val="741714DE"/>
    <w:rsid w:val="742076B8"/>
    <w:rsid w:val="74293E7E"/>
    <w:rsid w:val="748214DB"/>
    <w:rsid w:val="74A06189"/>
    <w:rsid w:val="74A94712"/>
    <w:rsid w:val="74C140FF"/>
    <w:rsid w:val="74C7103C"/>
    <w:rsid w:val="754601B3"/>
    <w:rsid w:val="75634F83"/>
    <w:rsid w:val="75711682"/>
    <w:rsid w:val="757C3BD5"/>
    <w:rsid w:val="75C15A8B"/>
    <w:rsid w:val="75C86E1A"/>
    <w:rsid w:val="75D35CCA"/>
    <w:rsid w:val="75F145C2"/>
    <w:rsid w:val="75F51351"/>
    <w:rsid w:val="760A6969"/>
    <w:rsid w:val="761B33ED"/>
    <w:rsid w:val="764D4987"/>
    <w:rsid w:val="7693473E"/>
    <w:rsid w:val="76C021E7"/>
    <w:rsid w:val="76CF5F86"/>
    <w:rsid w:val="76D17F50"/>
    <w:rsid w:val="76D70952"/>
    <w:rsid w:val="7702635B"/>
    <w:rsid w:val="770E6AAE"/>
    <w:rsid w:val="77472041"/>
    <w:rsid w:val="7750356B"/>
    <w:rsid w:val="77B43BA0"/>
    <w:rsid w:val="77B92EBE"/>
    <w:rsid w:val="77DC2970"/>
    <w:rsid w:val="78174088"/>
    <w:rsid w:val="781F4CEB"/>
    <w:rsid w:val="7857653C"/>
    <w:rsid w:val="787212BF"/>
    <w:rsid w:val="78764DC8"/>
    <w:rsid w:val="787C30B9"/>
    <w:rsid w:val="78BB0DBC"/>
    <w:rsid w:val="790C1713"/>
    <w:rsid w:val="7972247C"/>
    <w:rsid w:val="79B419D7"/>
    <w:rsid w:val="79D25064"/>
    <w:rsid w:val="7A3B22B0"/>
    <w:rsid w:val="7A3D6F22"/>
    <w:rsid w:val="7A4160FC"/>
    <w:rsid w:val="7AA80CC3"/>
    <w:rsid w:val="7AFE0EDA"/>
    <w:rsid w:val="7BE349AD"/>
    <w:rsid w:val="7C016BE2"/>
    <w:rsid w:val="7C2005AC"/>
    <w:rsid w:val="7C381251"/>
    <w:rsid w:val="7C707B9F"/>
    <w:rsid w:val="7C8141C6"/>
    <w:rsid w:val="7C9C3264"/>
    <w:rsid w:val="7CA875CE"/>
    <w:rsid w:val="7D07647A"/>
    <w:rsid w:val="7D1376E1"/>
    <w:rsid w:val="7D141D22"/>
    <w:rsid w:val="7D44147C"/>
    <w:rsid w:val="7D4551F4"/>
    <w:rsid w:val="7DA168CE"/>
    <w:rsid w:val="7DC4436B"/>
    <w:rsid w:val="7DE67CC9"/>
    <w:rsid w:val="7E025C62"/>
    <w:rsid w:val="7E6950CA"/>
    <w:rsid w:val="7E8D0C00"/>
    <w:rsid w:val="7E9B65C0"/>
    <w:rsid w:val="7E9E696A"/>
    <w:rsid w:val="7EA30424"/>
    <w:rsid w:val="7F0569E9"/>
    <w:rsid w:val="7F0D1D41"/>
    <w:rsid w:val="7F2D5F40"/>
    <w:rsid w:val="7F4A6215"/>
    <w:rsid w:val="7F6D77C7"/>
    <w:rsid w:val="7F833DB1"/>
    <w:rsid w:val="7FB94EC7"/>
    <w:rsid w:val="7FC22B2C"/>
    <w:rsid w:val="7FD76752"/>
    <w:rsid w:val="7FDD6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7"/>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6"/>
    <w:qFormat/>
    <w:uiPriority w:val="0"/>
    <w:pPr>
      <w:keepNext/>
      <w:keepLines/>
      <w:spacing w:before="260" w:after="260" w:line="416" w:lineRule="auto"/>
      <w:outlineLvl w:val="2"/>
    </w:pPr>
    <w:rPr>
      <w:b/>
      <w:bCs/>
      <w:sz w:val="32"/>
      <w:szCs w:val="32"/>
    </w:rPr>
  </w:style>
  <w:style w:type="paragraph" w:styleId="6">
    <w:name w:val="heading 4"/>
    <w:basedOn w:val="1"/>
    <w:next w:val="1"/>
    <w:link w:val="182"/>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5"/>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8"/>
    <w:qFormat/>
    <w:uiPriority w:val="0"/>
    <w:pPr>
      <w:keepNext/>
      <w:keepLines/>
      <w:ind w:firstLine="200" w:firstLineChars="200"/>
      <w:outlineLvl w:val="5"/>
    </w:pPr>
    <w:rPr>
      <w:rFonts w:hAnsi="Arial"/>
    </w:rPr>
  </w:style>
  <w:style w:type="paragraph" w:styleId="10">
    <w:name w:val="heading 7"/>
    <w:basedOn w:val="1"/>
    <w:next w:val="1"/>
    <w:link w:val="275"/>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70"/>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01"/>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217"/>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table of authorities"/>
    <w:basedOn w:val="1"/>
    <w:next w:val="1"/>
    <w:unhideWhenUsed/>
    <w:qFormat/>
    <w:uiPriority w:val="99"/>
    <w:pPr>
      <w:ind w:left="420" w:left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207"/>
    <w:qFormat/>
    <w:uiPriority w:val="0"/>
    <w:pPr>
      <w:shd w:val="clear" w:color="auto" w:fill="000080"/>
    </w:pPr>
  </w:style>
  <w:style w:type="paragraph" w:styleId="17">
    <w:name w:val="annotation text"/>
    <w:basedOn w:val="1"/>
    <w:link w:val="292"/>
    <w:qFormat/>
    <w:uiPriority w:val="99"/>
    <w:pPr>
      <w:jc w:val="left"/>
    </w:pPr>
  </w:style>
  <w:style w:type="paragraph" w:styleId="18">
    <w:name w:val="Body Text 3"/>
    <w:basedOn w:val="1"/>
    <w:link w:val="311"/>
    <w:qFormat/>
    <w:uiPriority w:val="0"/>
    <w:pPr>
      <w:spacing w:after="120"/>
    </w:pPr>
    <w:rPr>
      <w:sz w:val="16"/>
      <w:szCs w:val="16"/>
    </w:rPr>
  </w:style>
  <w:style w:type="paragraph" w:styleId="19">
    <w:name w:val="Body Text Indent"/>
    <w:basedOn w:val="1"/>
    <w:next w:val="1"/>
    <w:link w:val="272"/>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07"/>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60"/>
    <w:qFormat/>
    <w:uiPriority w:val="0"/>
    <w:pPr>
      <w:ind w:left="100" w:leftChars="2500"/>
    </w:pPr>
  </w:style>
  <w:style w:type="paragraph" w:styleId="27">
    <w:name w:val="Body Text Indent 2"/>
    <w:basedOn w:val="1"/>
    <w:link w:val="274"/>
    <w:qFormat/>
    <w:uiPriority w:val="0"/>
    <w:pPr>
      <w:widowControl/>
      <w:spacing w:line="480" w:lineRule="auto"/>
      <w:ind w:firstLine="560"/>
      <w:jc w:val="left"/>
    </w:pPr>
    <w:rPr>
      <w:kern w:val="0"/>
      <w:sz w:val="28"/>
    </w:rPr>
  </w:style>
  <w:style w:type="paragraph" w:styleId="28">
    <w:name w:val="endnote text"/>
    <w:basedOn w:val="1"/>
    <w:link w:val="184"/>
    <w:qFormat/>
    <w:uiPriority w:val="0"/>
    <w:pPr>
      <w:widowControl/>
      <w:snapToGrid w:val="0"/>
      <w:jc w:val="left"/>
    </w:pPr>
    <w:rPr>
      <w:rFonts w:ascii="Arial" w:hAnsi="Arial" w:cs="Arial"/>
      <w:kern w:val="0"/>
      <w:sz w:val="20"/>
      <w:lang w:eastAsia="en-US"/>
    </w:rPr>
  </w:style>
  <w:style w:type="paragraph" w:styleId="29">
    <w:name w:val="Balloon Text"/>
    <w:basedOn w:val="1"/>
    <w:link w:val="211"/>
    <w:qFormat/>
    <w:uiPriority w:val="0"/>
    <w:rPr>
      <w:sz w:val="18"/>
      <w:szCs w:val="18"/>
    </w:rPr>
  </w:style>
  <w:style w:type="paragraph" w:styleId="30">
    <w:name w:val="footer"/>
    <w:basedOn w:val="1"/>
    <w:link w:val="199"/>
    <w:qFormat/>
    <w:uiPriority w:val="0"/>
    <w:pPr>
      <w:tabs>
        <w:tab w:val="center" w:pos="4153"/>
        <w:tab w:val="right" w:pos="8306"/>
      </w:tabs>
      <w:snapToGrid w:val="0"/>
      <w:jc w:val="left"/>
    </w:pPr>
    <w:rPr>
      <w:sz w:val="18"/>
      <w:szCs w:val="18"/>
    </w:rPr>
  </w:style>
  <w:style w:type="paragraph" w:styleId="31">
    <w:name w:val="header"/>
    <w:basedOn w:val="1"/>
    <w:link w:val="239"/>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04"/>
    <w:qFormat/>
    <w:uiPriority w:val="0"/>
    <w:pPr>
      <w:widowControl/>
      <w:jc w:val="center"/>
    </w:pPr>
    <w:rPr>
      <w:kern w:val="0"/>
      <w:sz w:val="20"/>
      <w:u w:val="single"/>
      <w:lang w:eastAsia="en-US"/>
    </w:rPr>
  </w:style>
  <w:style w:type="paragraph" w:styleId="35">
    <w:name w:val="footnote text"/>
    <w:basedOn w:val="1"/>
    <w:link w:val="219"/>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71"/>
    <w:qFormat/>
    <w:uiPriority w:val="0"/>
    <w:pPr>
      <w:spacing w:line="360" w:lineRule="auto"/>
      <w:ind w:firstLine="280" w:firstLineChars="100"/>
    </w:pPr>
    <w:rPr>
      <w:rFonts w:ascii="宋体" w:hAnsi="宋体"/>
      <w:sz w:val="28"/>
      <w:szCs w:val="28"/>
    </w:rPr>
  </w:style>
  <w:style w:type="paragraph" w:styleId="38">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67"/>
    <w:qFormat/>
    <w:uiPriority w:val="0"/>
    <w:rPr>
      <w:i/>
      <w:iCs/>
      <w:sz w:val="26"/>
    </w:rPr>
  </w:style>
  <w:style w:type="paragraph" w:styleId="41">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next w:val="1"/>
    <w:link w:val="214"/>
    <w:qFormat/>
    <w:uiPriority w:val="0"/>
    <w:pPr>
      <w:widowControl/>
      <w:jc w:val="center"/>
    </w:pPr>
    <w:rPr>
      <w:kern w:val="0"/>
      <w:sz w:val="20"/>
      <w:u w:val="single"/>
      <w:lang w:eastAsia="en-US"/>
    </w:rPr>
  </w:style>
  <w:style w:type="paragraph" w:styleId="45">
    <w:name w:val="annotation subject"/>
    <w:basedOn w:val="17"/>
    <w:next w:val="17"/>
    <w:link w:val="266"/>
    <w:qFormat/>
    <w:uiPriority w:val="0"/>
    <w:rPr>
      <w:b/>
      <w:bCs/>
    </w:rPr>
  </w:style>
  <w:style w:type="paragraph" w:styleId="46">
    <w:name w:val="Body Text First Indent"/>
    <w:basedOn w:val="2"/>
    <w:next w:val="1"/>
    <w:qFormat/>
    <w:uiPriority w:val="0"/>
    <w:pPr>
      <w:spacing w:line="360" w:lineRule="auto"/>
      <w:ind w:firstLine="420"/>
    </w:pPr>
    <w:rPr>
      <w:rFonts w:ascii="宋体" w:hAnsi="宋体"/>
      <w:sz w:val="24"/>
      <w:szCs w:val="20"/>
    </w:rPr>
  </w:style>
  <w:style w:type="paragraph" w:styleId="47">
    <w:name w:val="Body Text First Indent 2"/>
    <w:basedOn w:val="19"/>
    <w:next w:val="1"/>
    <w:qFormat/>
    <w:uiPriority w:val="99"/>
    <w:pPr>
      <w:spacing w:after="120"/>
      <w:ind w:left="420" w:leftChars="200" w:firstLine="420"/>
    </w:pPr>
  </w:style>
  <w:style w:type="table" w:styleId="49">
    <w:name w:val="Table Grid"/>
    <w:basedOn w:val="4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styleId="58">
    <w:name w:val="footnote reference"/>
    <w:qFormat/>
    <w:uiPriority w:val="0"/>
    <w:rPr>
      <w:vertAlign w:val="superscript"/>
    </w:rPr>
  </w:style>
  <w:style w:type="paragraph" w:customStyle="1" w:styleId="59">
    <w:name w:val="目录 53"/>
    <w:next w:val="1"/>
    <w:qFormat/>
    <w:uiPriority w:val="99"/>
    <w:pPr>
      <w:wordWrap w:val="0"/>
      <w:spacing w:after="160" w:line="278" w:lineRule="auto"/>
      <w:ind w:left="1275"/>
      <w:jc w:val="both"/>
    </w:pPr>
    <w:rPr>
      <w:rFonts w:ascii="Calibri" w:hAnsi="Calibri" w:eastAsia="宋体" w:cs="Times New Roman"/>
      <w:sz w:val="21"/>
      <w:lang w:val="en-US" w:eastAsia="zh-CN" w:bidi="ar-SA"/>
    </w:rPr>
  </w:style>
  <w:style w:type="paragraph" w:customStyle="1" w:styleId="6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61">
    <w:name w:val="_Style 101"/>
    <w:basedOn w:val="1"/>
    <w:qFormat/>
    <w:uiPriority w:val="99"/>
    <w:pPr>
      <w:ind w:firstLine="420" w:firstLineChars="200"/>
    </w:pPr>
    <w:rPr>
      <w:sz w:val="28"/>
      <w:szCs w:val="28"/>
    </w:rPr>
  </w:style>
  <w:style w:type="paragraph" w:customStyle="1" w:styleId="62">
    <w:name w:val="表格标题"/>
    <w:basedOn w:val="63"/>
    <w:qFormat/>
    <w:uiPriority w:val="0"/>
  </w:style>
  <w:style w:type="paragraph" w:customStyle="1" w:styleId="63">
    <w:name w:val="表格内容"/>
    <w:basedOn w:val="1"/>
    <w:qFormat/>
    <w:uiPriority w:val="0"/>
    <w:pPr>
      <w:suppressLineNumbers/>
      <w:suppressAutoHyphens/>
    </w:pPr>
  </w:style>
  <w:style w:type="paragraph" w:customStyle="1" w:styleId="64">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5">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6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7">
    <w:name w:val="标准样式1"/>
    <w:basedOn w:val="1"/>
    <w:qFormat/>
    <w:uiPriority w:val="0"/>
    <w:pPr>
      <w:spacing w:line="600" w:lineRule="exact"/>
      <w:ind w:firstLine="567"/>
    </w:pPr>
    <w:rPr>
      <w:rFonts w:ascii="Calibri" w:hAnsi="Calibri"/>
      <w:sz w:val="28"/>
    </w:rPr>
  </w:style>
  <w:style w:type="paragraph" w:customStyle="1" w:styleId="68">
    <w:name w:val="列出段落11"/>
    <w:basedOn w:val="1"/>
    <w:qFormat/>
    <w:uiPriority w:val="0"/>
    <w:pPr>
      <w:ind w:firstLine="420" w:firstLineChars="200"/>
    </w:pPr>
    <w:rPr>
      <w:sz w:val="28"/>
      <w:szCs w:val="28"/>
    </w:rPr>
  </w:style>
  <w:style w:type="paragraph" w:customStyle="1" w:styleId="69">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70">
    <w:name w:val="WW-表格标题"/>
    <w:basedOn w:val="71"/>
    <w:qFormat/>
    <w:uiPriority w:val="0"/>
  </w:style>
  <w:style w:type="paragraph" w:customStyle="1" w:styleId="71">
    <w:name w:val="WW-表格内容"/>
    <w:basedOn w:val="1"/>
    <w:qFormat/>
    <w:uiPriority w:val="0"/>
    <w:pPr>
      <w:suppressLineNumbers/>
      <w:suppressAutoHyphens/>
    </w:pPr>
  </w:style>
  <w:style w:type="paragraph" w:customStyle="1" w:styleId="72">
    <w:name w:val="引用2"/>
    <w:basedOn w:val="1"/>
    <w:next w:val="1"/>
    <w:link w:val="303"/>
    <w:qFormat/>
    <w:uiPriority w:val="0"/>
    <w:rPr>
      <w:i/>
      <w:iCs/>
      <w:color w:val="000000"/>
    </w:rPr>
  </w:style>
  <w:style w:type="paragraph" w:customStyle="1" w:styleId="73">
    <w:name w:val="Char Char Char Char Char Char Char Char Char Char"/>
    <w:basedOn w:val="16"/>
    <w:qFormat/>
    <w:uiPriority w:val="0"/>
    <w:pPr>
      <w:spacing w:line="360" w:lineRule="auto"/>
      <w:ind w:firstLine="200" w:firstLineChars="200"/>
    </w:pPr>
    <w:rPr>
      <w:rFonts w:ascii="Tahoma" w:hAnsi="Tahoma"/>
      <w:sz w:val="24"/>
    </w:rPr>
  </w:style>
  <w:style w:type="paragraph" w:customStyle="1" w:styleId="7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Char Char Char Char"/>
    <w:basedOn w:val="16"/>
    <w:qFormat/>
    <w:uiPriority w:val="0"/>
    <w:pPr>
      <w:spacing w:line="360" w:lineRule="auto"/>
      <w:ind w:firstLine="200" w:firstLineChars="200"/>
    </w:pPr>
    <w:rPr>
      <w:rFonts w:ascii="Tahoma" w:hAnsi="Tahoma"/>
      <w:sz w:val="24"/>
    </w:rPr>
  </w:style>
  <w:style w:type="paragraph" w:customStyle="1" w:styleId="76">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7">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8">
    <w:name w:val="p16"/>
    <w:basedOn w:val="1"/>
    <w:qFormat/>
    <w:uiPriority w:val="0"/>
    <w:pPr>
      <w:widowControl/>
    </w:pPr>
    <w:rPr>
      <w:rFonts w:ascii="Calibri" w:hAnsi="Calibri" w:cs="宋体"/>
      <w:kern w:val="0"/>
      <w:szCs w:val="21"/>
    </w:rPr>
  </w:style>
  <w:style w:type="paragraph" w:customStyle="1" w:styleId="79">
    <w:name w:val="列出段落1"/>
    <w:basedOn w:val="1"/>
    <w:qFormat/>
    <w:uiPriority w:val="0"/>
    <w:pPr>
      <w:ind w:firstLine="420" w:firstLineChars="200"/>
    </w:pPr>
    <w:rPr>
      <w:sz w:val="28"/>
      <w:szCs w:val="28"/>
    </w:rPr>
  </w:style>
  <w:style w:type="paragraph" w:customStyle="1" w:styleId="80">
    <w:name w:val="样式1"/>
    <w:basedOn w:val="1"/>
    <w:next w:val="6"/>
    <w:qFormat/>
    <w:uiPriority w:val="0"/>
    <w:pPr>
      <w:spacing w:line="360" w:lineRule="auto"/>
      <w:ind w:firstLine="420" w:firstLineChars="200"/>
    </w:pPr>
    <w:rPr>
      <w:rFonts w:ascii="宋体" w:hAnsi="宋体"/>
      <w:szCs w:val="21"/>
    </w:rPr>
  </w:style>
  <w:style w:type="paragraph" w:customStyle="1" w:styleId="8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82">
    <w:name w:val="Char9 Char Char Char Char Char Char"/>
    <w:basedOn w:val="16"/>
    <w:qFormat/>
    <w:uiPriority w:val="0"/>
    <w:pPr>
      <w:spacing w:line="360" w:lineRule="auto"/>
      <w:ind w:firstLine="200" w:firstLineChars="200"/>
    </w:pPr>
    <w:rPr>
      <w:rFonts w:ascii="Tahoma" w:hAnsi="Tahoma"/>
      <w:sz w:val="24"/>
    </w:rPr>
  </w:style>
  <w:style w:type="paragraph" w:customStyle="1" w:styleId="83">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4">
    <w:name w:val="引用1"/>
    <w:basedOn w:val="1"/>
    <w:next w:val="1"/>
    <w:link w:val="153"/>
    <w:qFormat/>
    <w:uiPriority w:val="29"/>
    <w:rPr>
      <w:i/>
      <w:iCs/>
      <w:color w:val="000000"/>
      <w:szCs w:val="20"/>
    </w:rPr>
  </w:style>
  <w:style w:type="paragraph" w:customStyle="1" w:styleId="85">
    <w:name w:val="表格文字"/>
    <w:basedOn w:val="1"/>
    <w:qFormat/>
    <w:uiPriority w:val="0"/>
    <w:pPr>
      <w:adjustRightInd w:val="0"/>
      <w:spacing w:line="420" w:lineRule="atLeast"/>
      <w:jc w:val="left"/>
      <w:textAlignment w:val="baseline"/>
    </w:pPr>
    <w:rPr>
      <w:kern w:val="0"/>
      <w:szCs w:val="20"/>
    </w:rPr>
  </w:style>
  <w:style w:type="paragraph" w:customStyle="1" w:styleId="86">
    <w:name w:val="_Style 96"/>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8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after="160" w:line="278" w:lineRule="auto"/>
      <w:jc w:val="both"/>
    </w:pPr>
    <w:rPr>
      <w:rFonts w:ascii="Calibri" w:hAnsi="Calibri" w:eastAsia="宋体" w:cs="Times New Roman"/>
      <w:kern w:val="2"/>
      <w:sz w:val="21"/>
      <w:lang w:val="en-US" w:eastAsia="zh-CN" w:bidi="ar-SA"/>
    </w:rPr>
  </w:style>
  <w:style w:type="paragraph" w:customStyle="1" w:styleId="88">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9">
    <w:name w:val="正  文"/>
    <w:basedOn w:val="1"/>
    <w:qFormat/>
    <w:uiPriority w:val="0"/>
    <w:pPr>
      <w:spacing w:line="360" w:lineRule="auto"/>
      <w:ind w:firstLine="200" w:firstLineChars="200"/>
    </w:pPr>
    <w:rPr>
      <w:rFonts w:ascii="宋体" w:hAnsi="Calibri"/>
      <w:sz w:val="24"/>
    </w:rPr>
  </w:style>
  <w:style w:type="paragraph" w:customStyle="1" w:styleId="90">
    <w:name w:val="标题4"/>
    <w:basedOn w:val="4"/>
    <w:next w:val="21"/>
    <w:link w:val="246"/>
    <w:qFormat/>
    <w:uiPriority w:val="0"/>
    <w:pPr>
      <w:spacing w:line="413" w:lineRule="auto"/>
    </w:pPr>
    <w:rPr>
      <w:rFonts w:ascii="Arial" w:hAnsi="Arial"/>
      <w:kern w:val="0"/>
      <w:sz w:val="24"/>
    </w:rPr>
  </w:style>
  <w:style w:type="paragraph" w:customStyle="1" w:styleId="91">
    <w:name w:val="_Style 3"/>
    <w:qFormat/>
    <w:uiPriority w:val="0"/>
    <w:pPr>
      <w:widowControl w:val="0"/>
      <w:snapToGrid w:val="0"/>
      <w:spacing w:after="160" w:line="360" w:lineRule="auto"/>
    </w:pPr>
    <w:rPr>
      <w:rFonts w:ascii="Calibri" w:hAnsi="Calibri" w:eastAsia="宋体" w:cs="Times New Roman"/>
      <w:snapToGrid w:val="0"/>
      <w:sz w:val="21"/>
      <w:szCs w:val="24"/>
      <w:lang w:val="en-US" w:eastAsia="zh-CN" w:bidi="ar-SA"/>
    </w:rPr>
  </w:style>
  <w:style w:type="paragraph" w:customStyle="1" w:styleId="9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5">
    <w:name w:val="链接"/>
    <w:qFormat/>
    <w:uiPriority w:val="0"/>
    <w:pPr>
      <w:widowControl w:val="0"/>
      <w:autoSpaceDE w:val="0"/>
      <w:autoSpaceDN w:val="0"/>
      <w:adjustRightInd w:val="0"/>
      <w:spacing w:after="160" w:line="278" w:lineRule="auto"/>
      <w:ind w:left="720"/>
    </w:pPr>
    <w:rPr>
      <w:rFonts w:ascii="Calibri" w:hAnsi="Calibri" w:eastAsia="宋体" w:cs="Times New Roman"/>
      <w:color w:val="0000FF"/>
      <w:sz w:val="21"/>
      <w:szCs w:val="21"/>
      <w:u w:val="single"/>
      <w:lang w:val="en-US" w:eastAsia="zh-CN" w:bidi="ar-SA"/>
    </w:rPr>
  </w:style>
  <w:style w:type="paragraph" w:customStyle="1" w:styleId="96">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8">
    <w:name w:val="1 Char"/>
    <w:basedOn w:val="1"/>
    <w:qFormat/>
    <w:uiPriority w:val="0"/>
    <w:pPr>
      <w:widowControl/>
      <w:spacing w:line="240" w:lineRule="exact"/>
      <w:jc w:val="left"/>
    </w:pPr>
    <w:rPr>
      <w:rFonts w:ascii="Calibri" w:hAnsi="Calibri"/>
      <w:szCs w:val="20"/>
    </w:rPr>
  </w:style>
  <w:style w:type="paragraph" w:customStyle="1" w:styleId="99">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00">
    <w:name w:val="pa-34"/>
    <w:basedOn w:val="1"/>
    <w:qFormat/>
    <w:uiPriority w:val="0"/>
    <w:pPr>
      <w:widowControl/>
      <w:spacing w:line="360" w:lineRule="atLeast"/>
      <w:ind w:firstLine="420"/>
      <w:jc w:val="left"/>
    </w:pPr>
    <w:rPr>
      <w:rFonts w:ascii="宋体" w:hAnsi="宋体" w:cs="宋体"/>
      <w:kern w:val="0"/>
      <w:sz w:val="24"/>
    </w:rPr>
  </w:style>
  <w:style w:type="paragraph" w:customStyle="1" w:styleId="101">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2">
    <w:name w:val="p15"/>
    <w:basedOn w:val="1"/>
    <w:qFormat/>
    <w:uiPriority w:val="0"/>
    <w:pPr>
      <w:widowControl/>
      <w:spacing w:after="120"/>
    </w:pPr>
    <w:rPr>
      <w:kern w:val="0"/>
      <w:szCs w:val="21"/>
    </w:rPr>
  </w:style>
  <w:style w:type="paragraph" w:customStyle="1" w:styleId="10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Char Char Char Char Char Char Char Char Char Char Char Char Char Char Char Char"/>
    <w:basedOn w:val="16"/>
    <w:qFormat/>
    <w:uiPriority w:val="0"/>
    <w:pPr>
      <w:spacing w:line="360" w:lineRule="auto"/>
      <w:ind w:firstLine="200" w:firstLineChars="200"/>
    </w:pPr>
    <w:rPr>
      <w:rFonts w:ascii="Tahoma" w:hAnsi="Tahoma"/>
      <w:sz w:val="24"/>
    </w:rPr>
  </w:style>
  <w:style w:type="paragraph" w:customStyle="1" w:styleId="105">
    <w:name w:val="_Style 124"/>
    <w:basedOn w:val="1"/>
    <w:next w:val="1"/>
    <w:link w:val="200"/>
    <w:qFormat/>
    <w:uiPriority w:val="0"/>
    <w:rPr>
      <w:i/>
      <w:iCs/>
      <w:color w:val="000000"/>
      <w:szCs w:val="22"/>
    </w:rPr>
  </w:style>
  <w:style w:type="paragraph" w:customStyle="1" w:styleId="106">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7">
    <w:name w:val="flNote"/>
    <w:basedOn w:val="1"/>
    <w:qFormat/>
    <w:uiPriority w:val="0"/>
    <w:pPr>
      <w:adjustRightInd w:val="0"/>
      <w:spacing w:before="320" w:line="360" w:lineRule="atLeast"/>
      <w:jc w:val="center"/>
      <w:textAlignment w:val="baseline"/>
    </w:pPr>
    <w:rPr>
      <w:rFonts w:ascii="Arial" w:eastAsia="黑体"/>
      <w:kern w:val="0"/>
      <w:sz w:val="30"/>
      <w:szCs w:val="20"/>
    </w:rPr>
  </w:style>
  <w:style w:type="paragraph" w:customStyle="1" w:styleId="108">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9">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10">
    <w:name w:val="pa-27"/>
    <w:basedOn w:val="1"/>
    <w:qFormat/>
    <w:uiPriority w:val="0"/>
    <w:pPr>
      <w:widowControl/>
      <w:spacing w:line="360" w:lineRule="atLeast"/>
      <w:ind w:firstLine="420"/>
    </w:pPr>
    <w:rPr>
      <w:rFonts w:ascii="宋体" w:hAnsi="宋体" w:cs="宋体"/>
      <w:kern w:val="0"/>
      <w:sz w:val="24"/>
    </w:rPr>
  </w:style>
  <w:style w:type="paragraph" w:customStyle="1" w:styleId="111">
    <w:name w:val="_Style 90"/>
    <w:next w:val="1"/>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customStyle="1" w:styleId="112">
    <w:name w:val="2"/>
    <w:next w:val="1"/>
    <w:qFormat/>
    <w:uiPriority w:val="99"/>
    <w:pPr>
      <w:widowControl w:val="0"/>
      <w:spacing w:after="160" w:line="278" w:lineRule="auto"/>
      <w:jc w:val="both"/>
    </w:pPr>
    <w:rPr>
      <w:rFonts w:ascii="Calibri" w:hAnsi="Calibri" w:eastAsia="宋体" w:cs="Times New Roman"/>
      <w:kern w:val="2"/>
      <w:sz w:val="21"/>
      <w:szCs w:val="24"/>
      <w:lang w:val="en-US" w:eastAsia="zh-CN" w:bidi="ar-SA"/>
    </w:rPr>
  </w:style>
  <w:style w:type="paragraph" w:customStyle="1" w:styleId="113">
    <w:name w:val="表格"/>
    <w:basedOn w:val="1"/>
    <w:qFormat/>
    <w:uiPriority w:val="0"/>
    <w:pPr>
      <w:jc w:val="center"/>
      <w:textAlignment w:val="center"/>
    </w:pPr>
    <w:rPr>
      <w:rFonts w:ascii="华文细黑" w:hAnsi="华文细黑"/>
      <w:kern w:val="0"/>
      <w:szCs w:val="20"/>
    </w:rPr>
  </w:style>
  <w:style w:type="paragraph" w:customStyle="1" w:styleId="114">
    <w:name w:val="明显引用1"/>
    <w:basedOn w:val="1"/>
    <w:next w:val="1"/>
    <w:link w:val="301"/>
    <w:qFormat/>
    <w:uiPriority w:val="30"/>
    <w:pPr>
      <w:pBdr>
        <w:bottom w:val="single" w:color="4F81BD" w:sz="4" w:space="4"/>
      </w:pBdr>
      <w:spacing w:before="200" w:after="280"/>
      <w:ind w:left="936" w:right="936"/>
    </w:pPr>
    <w:rPr>
      <w:b/>
      <w:bCs/>
      <w:i/>
      <w:iCs/>
      <w:color w:val="4F81BD"/>
      <w:szCs w:val="20"/>
    </w:rPr>
  </w:style>
  <w:style w:type="paragraph" w:customStyle="1" w:styleId="115">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6">
    <w:name w:val="TOC 标题2"/>
    <w:basedOn w:val="3"/>
    <w:next w:val="1"/>
    <w:qFormat/>
    <w:uiPriority w:val="0"/>
    <w:pPr>
      <w:outlineLvl w:val="9"/>
    </w:pPr>
    <w:rPr>
      <w:rFonts w:ascii="Calibri" w:hAnsi="Calibri"/>
    </w:rPr>
  </w:style>
  <w:style w:type="paragraph" w:customStyle="1" w:styleId="11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8">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标题5"/>
    <w:basedOn w:val="5"/>
    <w:link w:val="168"/>
    <w:qFormat/>
    <w:uiPriority w:val="0"/>
    <w:pPr>
      <w:spacing w:line="413" w:lineRule="auto"/>
    </w:pPr>
    <w:rPr>
      <w:rFonts w:ascii="Arial" w:hAnsi="Arial"/>
      <w:kern w:val="0"/>
      <w:sz w:val="24"/>
    </w:rPr>
  </w:style>
  <w:style w:type="paragraph" w:customStyle="1" w:styleId="120">
    <w:name w:val="正文 New New New New New New New New New New New New New New New"/>
    <w:qFormat/>
    <w:uiPriority w:val="0"/>
    <w:pPr>
      <w:widowControl w:val="0"/>
      <w:spacing w:after="160" w:line="278" w:lineRule="auto"/>
      <w:jc w:val="both"/>
    </w:pPr>
    <w:rPr>
      <w:rFonts w:ascii="Calibri" w:hAnsi="Calibri" w:eastAsia="宋体" w:cs="Times New Roman"/>
      <w:kern w:val="2"/>
      <w:sz w:val="21"/>
      <w:lang w:val="en-US" w:eastAsia="zh-CN" w:bidi="ar-SA"/>
    </w:rPr>
  </w:style>
  <w:style w:type="paragraph" w:customStyle="1" w:styleId="121">
    <w:name w:val="_Style 64"/>
    <w:basedOn w:val="1"/>
    <w:next w:val="1"/>
    <w:link w:val="300"/>
    <w:qFormat/>
    <w:uiPriority w:val="0"/>
    <w:pPr>
      <w:pBdr>
        <w:bottom w:val="single" w:color="4F81BD" w:sz="4" w:space="4"/>
      </w:pBdr>
      <w:spacing w:before="200" w:after="280"/>
      <w:ind w:left="936" w:right="936"/>
    </w:pPr>
    <w:rPr>
      <w:b/>
      <w:bCs/>
      <w:i/>
      <w:iCs/>
      <w:color w:val="4F81BD"/>
      <w:szCs w:val="22"/>
    </w:rPr>
  </w:style>
  <w:style w:type="paragraph" w:customStyle="1" w:styleId="122">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3">
    <w:name w:val="Char2"/>
    <w:basedOn w:val="1"/>
    <w:qFormat/>
    <w:uiPriority w:val="0"/>
    <w:rPr>
      <w:rFonts w:ascii="Calibri" w:hAnsi="Calibri"/>
    </w:rPr>
  </w:style>
  <w:style w:type="paragraph" w:customStyle="1" w:styleId="124">
    <w:name w:val="_Style 87"/>
    <w:basedOn w:val="1"/>
    <w:qFormat/>
    <w:uiPriority w:val="99"/>
    <w:pPr>
      <w:ind w:firstLine="420" w:firstLineChars="200"/>
    </w:pPr>
    <w:rPr>
      <w:rFonts w:ascii="Calibri" w:hAnsi="Calibri"/>
      <w:sz w:val="28"/>
      <w:szCs w:val="28"/>
    </w:rPr>
  </w:style>
  <w:style w:type="paragraph" w:customStyle="1" w:styleId="125">
    <w:name w:val="自定样式1"/>
    <w:basedOn w:val="1"/>
    <w:qFormat/>
    <w:uiPriority w:val="0"/>
    <w:pPr>
      <w:suppressAutoHyphens/>
      <w:jc w:val="center"/>
    </w:pPr>
    <w:rPr>
      <w:rFonts w:ascii="宋体" w:hAnsi="宋体"/>
      <w:color w:val="000000"/>
      <w:sz w:val="18"/>
    </w:rPr>
  </w:style>
  <w:style w:type="paragraph" w:customStyle="1" w:styleId="126">
    <w:name w:val="_Style 81"/>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127">
    <w:name w:val="Char"/>
    <w:basedOn w:val="1"/>
    <w:qFormat/>
    <w:uiPriority w:val="0"/>
  </w:style>
  <w:style w:type="paragraph" w:customStyle="1" w:styleId="128">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列表段落1"/>
    <w:basedOn w:val="1"/>
    <w:qFormat/>
    <w:uiPriority w:val="34"/>
    <w:pPr>
      <w:ind w:firstLine="420" w:firstLineChars="200"/>
    </w:pPr>
    <w:rPr>
      <w:rFonts w:ascii="Calibri" w:hAnsi="Calibri"/>
    </w:rPr>
  </w:style>
  <w:style w:type="paragraph" w:customStyle="1" w:styleId="130">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31">
    <w:name w:val="表体"/>
    <w:basedOn w:val="1"/>
    <w:next w:val="1"/>
    <w:qFormat/>
    <w:uiPriority w:val="0"/>
    <w:pPr>
      <w:spacing w:line="0" w:lineRule="atLeast"/>
    </w:pPr>
    <w:rPr>
      <w:rFonts w:ascii="Calibri" w:hAnsi="Calibri"/>
      <w:b/>
      <w:snapToGrid w:val="0"/>
      <w:szCs w:val="20"/>
    </w:rPr>
  </w:style>
  <w:style w:type="paragraph" w:customStyle="1" w:styleId="132">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3">
    <w:name w:val="标准样式（文件）"/>
    <w:qFormat/>
    <w:uiPriority w:val="0"/>
    <w:pPr>
      <w:widowControl w:val="0"/>
      <w:spacing w:after="160" w:line="600" w:lineRule="exact"/>
      <w:ind w:firstLine="567"/>
    </w:pPr>
    <w:rPr>
      <w:rFonts w:ascii="Calibri" w:hAnsi="Calibri" w:eastAsia="宋体" w:cs="Times New Roman"/>
      <w:sz w:val="28"/>
      <w:lang w:val="en-US" w:eastAsia="zh-CN" w:bidi="ar-SA"/>
    </w:rPr>
  </w:style>
  <w:style w:type="paragraph" w:customStyle="1" w:styleId="134">
    <w:name w:val="Char Char1 Char Char"/>
    <w:basedOn w:val="16"/>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5">
    <w:name w:val="Char11"/>
    <w:basedOn w:val="1"/>
    <w:qFormat/>
    <w:uiPriority w:val="0"/>
  </w:style>
  <w:style w:type="paragraph" w:customStyle="1" w:styleId="136">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7">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8">
    <w:name w:val="_Style 86"/>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39">
    <w:name w:val="Char1"/>
    <w:basedOn w:val="1"/>
    <w:qFormat/>
    <w:uiPriority w:val="0"/>
  </w:style>
  <w:style w:type="paragraph" w:customStyle="1" w:styleId="140">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1">
    <w:name w:val="Default"/>
    <w:qFormat/>
    <w:uiPriority w:val="99"/>
    <w:pPr>
      <w:widowControl w:val="0"/>
      <w:autoSpaceDE w:val="0"/>
      <w:autoSpaceDN w:val="0"/>
      <w:adjustRightInd w:val="0"/>
      <w:spacing w:after="160" w:line="278" w:lineRule="auto"/>
    </w:pPr>
    <w:rPr>
      <w:rFonts w:ascii="仿宋" w:hAnsi="仿宋" w:eastAsia="宋体" w:cs="仿宋"/>
      <w:color w:val="000000"/>
      <w:sz w:val="24"/>
      <w:szCs w:val="24"/>
      <w:lang w:val="en-US" w:eastAsia="zh-CN" w:bidi="ar-SA"/>
    </w:rPr>
  </w:style>
  <w:style w:type="paragraph" w:customStyle="1" w:styleId="142">
    <w:name w:val="无间隔1"/>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143">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4">
    <w:name w:val="样式"/>
    <w:qFormat/>
    <w:uiPriority w:val="0"/>
    <w:pPr>
      <w:widowControl w:val="0"/>
      <w:autoSpaceDE w:val="0"/>
      <w:autoSpaceDN w:val="0"/>
      <w:adjustRightInd w:val="0"/>
      <w:spacing w:after="160" w:line="278" w:lineRule="auto"/>
    </w:pPr>
    <w:rPr>
      <w:rFonts w:ascii="宋体" w:hAnsi="宋体" w:eastAsia="宋体" w:cs="宋体"/>
      <w:sz w:val="24"/>
      <w:szCs w:val="24"/>
      <w:lang w:val="en-US" w:eastAsia="zh-CN" w:bidi="ar-SA"/>
    </w:rPr>
  </w:style>
  <w:style w:type="character" w:customStyle="1" w:styleId="145">
    <w:name w:val="正文文本 Char2"/>
    <w:qFormat/>
    <w:uiPriority w:val="99"/>
    <w:rPr>
      <w:kern w:val="2"/>
      <w:sz w:val="21"/>
      <w:szCs w:val="24"/>
    </w:rPr>
  </w:style>
  <w:style w:type="character" w:customStyle="1" w:styleId="146">
    <w:name w:val="尾注文本 Char1"/>
    <w:qFormat/>
    <w:uiPriority w:val="0"/>
    <w:rPr>
      <w:rFonts w:ascii="Arial" w:hAnsi="Arial" w:cs="Arial"/>
      <w:szCs w:val="24"/>
      <w:lang w:eastAsia="en-US"/>
    </w:rPr>
  </w:style>
  <w:style w:type="character" w:customStyle="1" w:styleId="147">
    <w:name w:val="脚注文本 Char"/>
    <w:qFormat/>
    <w:uiPriority w:val="0"/>
    <w:rPr>
      <w:rFonts w:ascii="Arial" w:hAnsi="Arial" w:eastAsia="宋体" w:cs="Arial"/>
      <w:sz w:val="18"/>
      <w:szCs w:val="18"/>
      <w:lang w:eastAsia="en-US"/>
    </w:rPr>
  </w:style>
  <w:style w:type="character" w:customStyle="1" w:styleId="148">
    <w:name w:val="Char Char17"/>
    <w:qFormat/>
    <w:uiPriority w:val="0"/>
    <w:rPr>
      <w:kern w:val="2"/>
      <w:sz w:val="26"/>
      <w:szCs w:val="24"/>
    </w:rPr>
  </w:style>
  <w:style w:type="character" w:customStyle="1" w:styleId="149">
    <w:name w:val="副标题 Char1"/>
    <w:qFormat/>
    <w:uiPriority w:val="0"/>
    <w:rPr>
      <w:szCs w:val="24"/>
      <w:u w:val="single"/>
      <w:lang w:eastAsia="en-US"/>
    </w:rPr>
  </w:style>
  <w:style w:type="character" w:customStyle="1" w:styleId="150">
    <w:name w:val="标题 Char1"/>
    <w:qFormat/>
    <w:uiPriority w:val="10"/>
    <w:rPr>
      <w:szCs w:val="24"/>
      <w:u w:val="single"/>
      <w:lang w:eastAsia="en-US"/>
    </w:rPr>
  </w:style>
  <w:style w:type="character" w:customStyle="1" w:styleId="151">
    <w:name w:val="Char Char24"/>
    <w:qFormat/>
    <w:uiPriority w:val="0"/>
    <w:rPr>
      <w:b/>
      <w:bCs/>
      <w:kern w:val="44"/>
      <w:sz w:val="44"/>
      <w:szCs w:val="44"/>
    </w:rPr>
  </w:style>
  <w:style w:type="character" w:customStyle="1" w:styleId="152">
    <w:name w:val="批注主题 Char"/>
    <w:qFormat/>
    <w:uiPriority w:val="0"/>
    <w:rPr>
      <w:rFonts w:ascii="宋体" w:hAnsi="宋体" w:eastAsia="宋体"/>
      <w:kern w:val="2"/>
      <w:sz w:val="24"/>
      <w:szCs w:val="28"/>
      <w:lang w:val="en-US" w:eastAsia="zh-CN" w:bidi="ar-SA"/>
    </w:rPr>
  </w:style>
  <w:style w:type="character" w:customStyle="1" w:styleId="153">
    <w:name w:val="引用 Char1"/>
    <w:link w:val="84"/>
    <w:qFormat/>
    <w:uiPriority w:val="29"/>
    <w:rPr>
      <w:i/>
      <w:iCs/>
      <w:color w:val="000000"/>
      <w:kern w:val="2"/>
      <w:sz w:val="21"/>
    </w:rPr>
  </w:style>
  <w:style w:type="character" w:customStyle="1" w:styleId="154">
    <w:name w:val="Char Char23"/>
    <w:qFormat/>
    <w:uiPriority w:val="0"/>
    <w:rPr>
      <w:rFonts w:ascii="Cambria" w:hAnsi="Cambria" w:eastAsia="宋体" w:cs="Times New Roman"/>
      <w:b/>
      <w:bCs/>
      <w:kern w:val="2"/>
      <w:sz w:val="32"/>
      <w:szCs w:val="32"/>
    </w:rPr>
  </w:style>
  <w:style w:type="character" w:customStyle="1" w:styleId="155">
    <w:name w:val="ITTHEADER2 Char"/>
    <w:qFormat/>
    <w:uiPriority w:val="0"/>
    <w:rPr>
      <w:rFonts w:ascii="仿宋_GB2312" w:eastAsia="仿宋_GB2312" w:cs="MingLiU"/>
      <w:b/>
      <w:spacing w:val="1"/>
      <w:w w:val="99"/>
      <w:sz w:val="28"/>
      <w:szCs w:val="32"/>
      <w:lang w:val="en-US" w:eastAsia="zh-CN" w:bidi="ar-SA"/>
    </w:rPr>
  </w:style>
  <w:style w:type="character" w:customStyle="1" w:styleId="156">
    <w:name w:val="标题 9 Char1"/>
    <w:qFormat/>
    <w:uiPriority w:val="0"/>
    <w:rPr>
      <w:rFonts w:ascii="Times New Roman" w:hAnsi="Times New Roman" w:eastAsia="仿宋_GB2312" w:cs="Times New Roman"/>
      <w:sz w:val="30"/>
      <w:szCs w:val="20"/>
    </w:rPr>
  </w:style>
  <w:style w:type="character" w:customStyle="1" w:styleId="157">
    <w:name w:val="正文文本 Char1"/>
    <w:qFormat/>
    <w:uiPriority w:val="0"/>
    <w:rPr>
      <w:kern w:val="2"/>
      <w:sz w:val="21"/>
      <w:szCs w:val="22"/>
    </w:rPr>
  </w:style>
  <w:style w:type="character" w:customStyle="1" w:styleId="158">
    <w:name w:val="引用 Char2"/>
    <w:qFormat/>
    <w:uiPriority w:val="99"/>
    <w:rPr>
      <w:i/>
      <w:iCs/>
      <w:color w:val="000000"/>
      <w:kern w:val="2"/>
      <w:sz w:val="21"/>
      <w:szCs w:val="24"/>
    </w:rPr>
  </w:style>
  <w:style w:type="character" w:customStyle="1" w:styleId="159">
    <w:name w:val="正文文本 Char3"/>
    <w:qFormat/>
    <w:uiPriority w:val="99"/>
    <w:rPr>
      <w:rFonts w:ascii="Calibri" w:hAnsi="Calibri" w:eastAsia="宋体" w:cs="Times New Roman"/>
      <w:szCs w:val="24"/>
    </w:rPr>
  </w:style>
  <w:style w:type="character" w:customStyle="1" w:styleId="160">
    <w:name w:val="日期 字符"/>
    <w:link w:val="26"/>
    <w:qFormat/>
    <w:uiPriority w:val="0"/>
    <w:rPr>
      <w:rFonts w:eastAsia="宋体"/>
      <w:kern w:val="2"/>
      <w:sz w:val="21"/>
      <w:szCs w:val="24"/>
      <w:lang w:val="en-US" w:eastAsia="zh-CN" w:bidi="ar-SA"/>
    </w:rPr>
  </w:style>
  <w:style w:type="character" w:customStyle="1" w:styleId="161">
    <w:name w:val="标题 2 Char"/>
    <w:qFormat/>
    <w:uiPriority w:val="0"/>
    <w:rPr>
      <w:rFonts w:ascii="仿宋_GB2312" w:hAnsi="Calibri" w:eastAsia="仿宋_GB2312" w:cs="Times New Roman"/>
      <w:b/>
      <w:spacing w:val="1"/>
      <w:w w:val="99"/>
      <w:kern w:val="0"/>
      <w:sz w:val="28"/>
      <w:szCs w:val="32"/>
    </w:rPr>
  </w:style>
  <w:style w:type="character" w:customStyle="1" w:styleId="162">
    <w:name w:val="标题 7 Char"/>
    <w:qFormat/>
    <w:uiPriority w:val="0"/>
    <w:rPr>
      <w:rFonts w:ascii="Calibri" w:hAnsi="Calibri" w:eastAsia="宋体" w:cs="Times New Roman"/>
      <w:b/>
      <w:bCs/>
      <w:sz w:val="24"/>
      <w:szCs w:val="24"/>
    </w:rPr>
  </w:style>
  <w:style w:type="character" w:customStyle="1" w:styleId="163">
    <w:name w:val="批注框文本 Char1"/>
    <w:qFormat/>
    <w:uiPriority w:val="0"/>
    <w:rPr>
      <w:kern w:val="2"/>
      <w:sz w:val="18"/>
      <w:szCs w:val="18"/>
    </w:rPr>
  </w:style>
  <w:style w:type="character" w:customStyle="1" w:styleId="164">
    <w:name w:val="日期 Char1"/>
    <w:qFormat/>
    <w:uiPriority w:val="0"/>
    <w:rPr>
      <w:kern w:val="2"/>
      <w:sz w:val="21"/>
      <w:szCs w:val="22"/>
    </w:rPr>
  </w:style>
  <w:style w:type="character" w:customStyle="1" w:styleId="165">
    <w:name w:val="_Style 171"/>
    <w:qFormat/>
    <w:uiPriority w:val="0"/>
    <w:rPr>
      <w:b/>
      <w:bCs/>
      <w:i/>
      <w:iCs/>
      <w:color w:val="4F81BD"/>
    </w:rPr>
  </w:style>
  <w:style w:type="character" w:customStyle="1" w:styleId="166">
    <w:name w:val="Char Char22"/>
    <w:qFormat/>
    <w:uiPriority w:val="0"/>
    <w:rPr>
      <w:b/>
      <w:bCs/>
      <w:kern w:val="2"/>
      <w:sz w:val="32"/>
      <w:szCs w:val="32"/>
    </w:rPr>
  </w:style>
  <w:style w:type="character" w:customStyle="1" w:styleId="167">
    <w:name w:val="标题 6 Char1"/>
    <w:qFormat/>
    <w:uiPriority w:val="0"/>
    <w:rPr>
      <w:rFonts w:ascii="Times New Roman" w:hAnsi="Arial" w:eastAsia="仿宋_GB2312" w:cs="Times New Roman"/>
      <w:sz w:val="30"/>
      <w:szCs w:val="20"/>
    </w:rPr>
  </w:style>
  <w:style w:type="character" w:customStyle="1" w:styleId="168">
    <w:name w:val="标题5 Char Char"/>
    <w:link w:val="119"/>
    <w:qFormat/>
    <w:uiPriority w:val="0"/>
    <w:rPr>
      <w:rFonts w:ascii="Arial" w:hAnsi="Arial"/>
      <w:b/>
      <w:bCs/>
      <w:sz w:val="24"/>
      <w:szCs w:val="32"/>
      <w:lang w:bidi="ar-SA"/>
    </w:rPr>
  </w:style>
  <w:style w:type="character" w:customStyle="1" w:styleId="169">
    <w:name w:val="正文文本缩进 Char1"/>
    <w:qFormat/>
    <w:uiPriority w:val="0"/>
    <w:rPr>
      <w:kern w:val="2"/>
      <w:sz w:val="21"/>
      <w:szCs w:val="24"/>
    </w:rPr>
  </w:style>
  <w:style w:type="character" w:customStyle="1" w:styleId="170">
    <w:name w:val="标题 4 Char1"/>
    <w:qFormat/>
    <w:uiPriority w:val="0"/>
    <w:rPr>
      <w:rFonts w:ascii="宋体" w:hAnsi="宋体" w:eastAsia="宋体" w:cs="宋体"/>
      <w:b/>
      <w:bCs/>
      <w:sz w:val="24"/>
      <w:szCs w:val="24"/>
    </w:rPr>
  </w:style>
  <w:style w:type="character" w:customStyle="1" w:styleId="171">
    <w:name w:val="尾注文本 Char"/>
    <w:qFormat/>
    <w:uiPriority w:val="0"/>
    <w:rPr>
      <w:kern w:val="2"/>
      <w:sz w:val="21"/>
      <w:szCs w:val="24"/>
    </w:rPr>
  </w:style>
  <w:style w:type="character" w:customStyle="1" w:styleId="172">
    <w:name w:val="HTML 预设格式 字符"/>
    <w:link w:val="41"/>
    <w:qFormat/>
    <w:uiPriority w:val="0"/>
    <w:rPr>
      <w:rFonts w:ascii="宋体" w:hAnsi="宋体" w:eastAsia="宋体" w:cs="宋体"/>
      <w:color w:val="000000"/>
      <w:sz w:val="24"/>
      <w:szCs w:val="24"/>
      <w:lang w:val="en-US" w:eastAsia="zh-CN" w:bidi="ar-SA"/>
    </w:rPr>
  </w:style>
  <w:style w:type="character" w:customStyle="1" w:styleId="173">
    <w:name w:val="尾注文本 Char2"/>
    <w:qFormat/>
    <w:uiPriority w:val="99"/>
    <w:rPr>
      <w:rFonts w:ascii="Calibri" w:hAnsi="Calibri" w:eastAsia="宋体" w:cs="Times New Roman"/>
      <w:szCs w:val="24"/>
    </w:rPr>
  </w:style>
  <w:style w:type="character" w:customStyle="1" w:styleId="174">
    <w:name w:val="明显强调1"/>
    <w:qFormat/>
    <w:uiPriority w:val="0"/>
    <w:rPr>
      <w:b/>
      <w:bCs/>
      <w:i/>
      <w:iCs/>
      <w:color w:val="4F81BD"/>
    </w:rPr>
  </w:style>
  <w:style w:type="character" w:customStyle="1" w:styleId="175">
    <w:name w:val="正文文本 Char"/>
    <w:qFormat/>
    <w:uiPriority w:val="0"/>
    <w:rPr>
      <w:sz w:val="26"/>
      <w:szCs w:val="24"/>
    </w:rPr>
  </w:style>
  <w:style w:type="character" w:customStyle="1" w:styleId="176">
    <w:name w:val="脚注文本 Char2"/>
    <w:qFormat/>
    <w:uiPriority w:val="99"/>
    <w:rPr>
      <w:rFonts w:ascii="Calibri" w:hAnsi="Calibri" w:eastAsia="宋体" w:cs="Times New Roman"/>
      <w:sz w:val="18"/>
      <w:szCs w:val="18"/>
    </w:rPr>
  </w:style>
  <w:style w:type="character" w:customStyle="1" w:styleId="177">
    <w:name w:val="正文文本 2 Char1"/>
    <w:qFormat/>
    <w:uiPriority w:val="99"/>
    <w:rPr>
      <w:rFonts w:ascii="Calibri" w:hAnsi="Calibri" w:eastAsia="宋体" w:cs="Times New Roman"/>
      <w:szCs w:val="24"/>
    </w:rPr>
  </w:style>
  <w:style w:type="character" w:customStyle="1" w:styleId="178">
    <w:name w:val="_Style 248"/>
    <w:qFormat/>
    <w:uiPriority w:val="0"/>
    <w:rPr>
      <w:b/>
      <w:bCs/>
      <w:smallCaps/>
      <w:spacing w:val="5"/>
    </w:rPr>
  </w:style>
  <w:style w:type="character" w:customStyle="1" w:styleId="179">
    <w:name w:val="明显引用 Char3"/>
    <w:qFormat/>
    <w:uiPriority w:val="30"/>
    <w:rPr>
      <w:rFonts w:ascii="Calibri" w:hAnsi="Calibri" w:eastAsia="宋体" w:cs="Times New Roman"/>
      <w:b/>
      <w:bCs/>
      <w:i/>
      <w:iCs/>
      <w:color w:val="4F81BD"/>
      <w:szCs w:val="24"/>
    </w:rPr>
  </w:style>
  <w:style w:type="character" w:customStyle="1" w:styleId="180">
    <w:name w:val="_Style 254"/>
    <w:qFormat/>
    <w:uiPriority w:val="0"/>
    <w:rPr>
      <w:b/>
      <w:bCs/>
      <w:smallCaps/>
      <w:color w:val="C0504D"/>
      <w:spacing w:val="5"/>
      <w:u w:val="single"/>
    </w:rPr>
  </w:style>
  <w:style w:type="character" w:customStyle="1" w:styleId="181">
    <w:name w:val="正文文本缩进 Char2"/>
    <w:qFormat/>
    <w:uiPriority w:val="99"/>
    <w:rPr>
      <w:rFonts w:ascii="Calibri" w:hAnsi="Calibri" w:eastAsia="宋体" w:cs="Times New Roman"/>
      <w:szCs w:val="24"/>
    </w:rPr>
  </w:style>
  <w:style w:type="character" w:customStyle="1" w:styleId="182">
    <w:name w:val="标题 4 字符"/>
    <w:link w:val="6"/>
    <w:qFormat/>
    <w:uiPriority w:val="0"/>
    <w:rPr>
      <w:rFonts w:ascii="宋体" w:hAnsi="宋体" w:eastAsia="宋体" w:cs="宋体"/>
      <w:b/>
      <w:bCs/>
      <w:sz w:val="24"/>
      <w:szCs w:val="24"/>
      <w:lang w:val="en-US" w:eastAsia="zh-CN" w:bidi="ar-SA"/>
    </w:rPr>
  </w:style>
  <w:style w:type="character" w:customStyle="1" w:styleId="183">
    <w:name w:val="正文文本缩进 3 Char"/>
    <w:qFormat/>
    <w:uiPriority w:val="0"/>
    <w:rPr>
      <w:kern w:val="2"/>
      <w:sz w:val="16"/>
      <w:szCs w:val="16"/>
    </w:rPr>
  </w:style>
  <w:style w:type="character" w:customStyle="1" w:styleId="184">
    <w:name w:val="尾注文本 字符"/>
    <w:link w:val="28"/>
    <w:qFormat/>
    <w:uiPriority w:val="0"/>
    <w:rPr>
      <w:rFonts w:ascii="Arial" w:hAnsi="Arial" w:eastAsia="宋体" w:cs="Arial"/>
      <w:szCs w:val="24"/>
      <w:lang w:val="en-US" w:eastAsia="en-US" w:bidi="ar-SA"/>
    </w:rPr>
  </w:style>
  <w:style w:type="character" w:customStyle="1" w:styleId="185">
    <w:name w:val="引用 Char3"/>
    <w:qFormat/>
    <w:uiPriority w:val="29"/>
    <w:rPr>
      <w:rFonts w:ascii="Calibri" w:hAnsi="Calibri" w:eastAsia="宋体" w:cs="Times New Roman"/>
      <w:i/>
      <w:iCs/>
      <w:color w:val="000000"/>
      <w:szCs w:val="24"/>
    </w:rPr>
  </w:style>
  <w:style w:type="character" w:customStyle="1" w:styleId="186">
    <w:name w:val="Char Char32"/>
    <w:qFormat/>
    <w:uiPriority w:val="0"/>
    <w:rPr>
      <w:rFonts w:ascii="仿宋_GB2312" w:eastAsia="仿宋_GB2312" w:cs="MingLiU"/>
      <w:b/>
      <w:spacing w:val="1"/>
      <w:w w:val="99"/>
      <w:sz w:val="28"/>
      <w:szCs w:val="32"/>
    </w:rPr>
  </w:style>
  <w:style w:type="character" w:customStyle="1" w:styleId="187">
    <w:name w:val="日期 Char"/>
    <w:qFormat/>
    <w:uiPriority w:val="0"/>
    <w:rPr>
      <w:rFonts w:eastAsia="宋体"/>
      <w:szCs w:val="24"/>
    </w:rPr>
  </w:style>
  <w:style w:type="character" w:customStyle="1" w:styleId="188">
    <w:name w:val="页脚 Char"/>
    <w:qFormat/>
    <w:uiPriority w:val="0"/>
    <w:rPr>
      <w:sz w:val="18"/>
      <w:szCs w:val="18"/>
    </w:rPr>
  </w:style>
  <w:style w:type="character" w:customStyle="1" w:styleId="189">
    <w:name w:val="style121"/>
    <w:qFormat/>
    <w:uiPriority w:val="0"/>
    <w:rPr>
      <w:rFonts w:hint="eastAsia" w:ascii="宋体" w:hAnsi="宋体" w:eastAsia="宋体"/>
      <w:sz w:val="18"/>
      <w:szCs w:val="18"/>
    </w:rPr>
  </w:style>
  <w:style w:type="character" w:customStyle="1" w:styleId="190">
    <w:name w:val="ss16"/>
    <w:qFormat/>
    <w:uiPriority w:val="0"/>
    <w:rPr>
      <w:rFonts w:hint="eastAsia" w:ascii="宋体" w:hAnsi="宋体" w:eastAsia="宋体"/>
      <w:color w:val="000000"/>
      <w:sz w:val="9"/>
      <w:szCs w:val="9"/>
    </w:rPr>
  </w:style>
  <w:style w:type="character" w:customStyle="1" w:styleId="191">
    <w:name w:val="textcontents"/>
    <w:qFormat/>
    <w:uiPriority w:val="0"/>
    <w:rPr>
      <w:rFonts w:cs="Times New Roman"/>
    </w:rPr>
  </w:style>
  <w:style w:type="character" w:customStyle="1" w:styleId="192">
    <w:name w:val="14t1"/>
    <w:qFormat/>
    <w:uiPriority w:val="0"/>
    <w:rPr>
      <w:rFonts w:hint="eastAsia" w:ascii="宋体" w:hAnsi="宋体" w:eastAsia="宋体"/>
      <w:sz w:val="11"/>
      <w:szCs w:val="11"/>
    </w:rPr>
  </w:style>
  <w:style w:type="character" w:customStyle="1" w:styleId="193">
    <w:name w:val="不明显参考1"/>
    <w:qFormat/>
    <w:uiPriority w:val="0"/>
    <w:rPr>
      <w:smallCaps/>
      <w:color w:val="C0504D"/>
      <w:u w:val="single"/>
    </w:rPr>
  </w:style>
  <w:style w:type="character" w:customStyle="1" w:styleId="194">
    <w:name w:val="unnamed1"/>
    <w:basedOn w:val="50"/>
    <w:qFormat/>
    <w:uiPriority w:val="0"/>
  </w:style>
  <w:style w:type="character" w:customStyle="1" w:styleId="195">
    <w:name w:val="批注主题 Char3"/>
    <w:qFormat/>
    <w:uiPriority w:val="99"/>
    <w:rPr>
      <w:rFonts w:ascii="Calibri" w:hAnsi="Calibri" w:eastAsia="宋体" w:cs="Times New Roman"/>
      <w:b/>
      <w:bCs/>
      <w:szCs w:val="24"/>
    </w:rPr>
  </w:style>
  <w:style w:type="character" w:customStyle="1" w:styleId="196">
    <w:name w:val="标题 3 字符"/>
    <w:link w:val="5"/>
    <w:qFormat/>
    <w:uiPriority w:val="0"/>
    <w:rPr>
      <w:rFonts w:eastAsia="宋体"/>
      <w:b/>
      <w:bCs/>
      <w:kern w:val="2"/>
      <w:sz w:val="32"/>
      <w:szCs w:val="32"/>
      <w:lang w:val="en-US" w:eastAsia="zh-CN" w:bidi="ar-SA"/>
    </w:rPr>
  </w:style>
  <w:style w:type="character" w:customStyle="1" w:styleId="197">
    <w:name w:val="标题 2 字符"/>
    <w:link w:val="4"/>
    <w:qFormat/>
    <w:uiPriority w:val="0"/>
    <w:rPr>
      <w:rFonts w:ascii="Cambria" w:hAnsi="Cambria" w:eastAsia="宋体"/>
      <w:b/>
      <w:bCs/>
      <w:kern w:val="2"/>
      <w:sz w:val="32"/>
      <w:szCs w:val="32"/>
      <w:lang w:val="en-US" w:eastAsia="zh-CN" w:bidi="ar-SA"/>
    </w:rPr>
  </w:style>
  <w:style w:type="character" w:customStyle="1" w:styleId="198">
    <w:name w:val="标题 6 字符"/>
    <w:link w:val="8"/>
    <w:qFormat/>
    <w:uiPriority w:val="0"/>
    <w:rPr>
      <w:rFonts w:hAnsi="Arial" w:eastAsia="仿宋_GB2312"/>
      <w:sz w:val="30"/>
      <w:lang w:val="en-US" w:eastAsia="zh-CN" w:bidi="ar-SA"/>
    </w:rPr>
  </w:style>
  <w:style w:type="character" w:customStyle="1" w:styleId="199">
    <w:name w:val="页脚 字符"/>
    <w:link w:val="30"/>
    <w:qFormat/>
    <w:uiPriority w:val="0"/>
    <w:rPr>
      <w:rFonts w:eastAsia="宋体"/>
      <w:kern w:val="2"/>
      <w:sz w:val="18"/>
      <w:szCs w:val="18"/>
      <w:lang w:val="en-US" w:eastAsia="zh-CN" w:bidi="ar-SA"/>
    </w:rPr>
  </w:style>
  <w:style w:type="character" w:customStyle="1" w:styleId="200">
    <w:name w:val="引用 Char4"/>
    <w:link w:val="105"/>
    <w:qFormat/>
    <w:uiPriority w:val="0"/>
    <w:rPr>
      <w:i/>
      <w:iCs/>
      <w:color w:val="000000"/>
      <w:kern w:val="2"/>
      <w:sz w:val="21"/>
      <w:szCs w:val="22"/>
      <w:lang w:bidi="ar-SA"/>
    </w:rPr>
  </w:style>
  <w:style w:type="character" w:customStyle="1" w:styleId="201">
    <w:name w:val="标题 9 字符"/>
    <w:link w:val="12"/>
    <w:qFormat/>
    <w:uiPriority w:val="0"/>
    <w:rPr>
      <w:rFonts w:eastAsia="仿宋_GB2312"/>
      <w:sz w:val="30"/>
      <w:lang w:val="en-US" w:eastAsia="zh-CN" w:bidi="ar-SA"/>
    </w:rPr>
  </w:style>
  <w:style w:type="character" w:customStyle="1" w:styleId="202">
    <w:name w:val="标题 3 Char"/>
    <w:qFormat/>
    <w:uiPriority w:val="0"/>
    <w:rPr>
      <w:rFonts w:ascii="仿宋_GB2312" w:hAnsi="Calibri" w:eastAsia="仿宋_GB2312" w:cs="Times New Roman"/>
      <w:b/>
      <w:kern w:val="0"/>
      <w:sz w:val="24"/>
      <w:szCs w:val="28"/>
    </w:rPr>
  </w:style>
  <w:style w:type="character" w:customStyle="1" w:styleId="203">
    <w:name w:val="批注文字 Char2"/>
    <w:qFormat/>
    <w:uiPriority w:val="0"/>
    <w:rPr>
      <w:rFonts w:ascii="Calibri" w:hAnsi="Calibri" w:eastAsia="宋体" w:cs="Times New Roman"/>
      <w:szCs w:val="24"/>
    </w:rPr>
  </w:style>
  <w:style w:type="character" w:customStyle="1" w:styleId="204">
    <w:name w:val="normaltext1"/>
    <w:qFormat/>
    <w:uiPriority w:val="0"/>
    <w:rPr>
      <w:rFonts w:hint="default" w:ascii="ˎ̥" w:hAnsi="ˎ̥"/>
      <w:sz w:val="9"/>
      <w:szCs w:val="9"/>
    </w:rPr>
  </w:style>
  <w:style w:type="character" w:customStyle="1" w:styleId="205">
    <w:name w:val="ca-141"/>
    <w:qFormat/>
    <w:uiPriority w:val="0"/>
    <w:rPr>
      <w:rFonts w:hint="eastAsia" w:ascii="仿宋_GB2312" w:eastAsia="仿宋_GB2312"/>
      <w:sz w:val="21"/>
      <w:szCs w:val="21"/>
    </w:rPr>
  </w:style>
  <w:style w:type="character" w:customStyle="1" w:styleId="206">
    <w:name w:val="main_tdbg_7601"/>
    <w:qFormat/>
    <w:uiPriority w:val="0"/>
    <w:rPr>
      <w:sz w:val="14"/>
      <w:szCs w:val="14"/>
    </w:rPr>
  </w:style>
  <w:style w:type="character" w:customStyle="1" w:styleId="207">
    <w:name w:val="文档结构图 字符"/>
    <w:link w:val="16"/>
    <w:qFormat/>
    <w:uiPriority w:val="0"/>
    <w:rPr>
      <w:rFonts w:eastAsia="宋体"/>
      <w:kern w:val="2"/>
      <w:sz w:val="21"/>
      <w:szCs w:val="24"/>
      <w:lang w:val="en-US" w:eastAsia="zh-CN" w:bidi="ar-SA"/>
    </w:rPr>
  </w:style>
  <w:style w:type="character" w:customStyle="1" w:styleId="208">
    <w:name w:val="批注框文本 Char3"/>
    <w:qFormat/>
    <w:uiPriority w:val="99"/>
    <w:rPr>
      <w:rFonts w:ascii="Calibri" w:hAnsi="Calibri" w:eastAsia="宋体" w:cs="Times New Roman"/>
      <w:sz w:val="18"/>
      <w:szCs w:val="18"/>
    </w:rPr>
  </w:style>
  <w:style w:type="character" w:customStyle="1" w:styleId="209">
    <w:name w:val="Char Char9"/>
    <w:qFormat/>
    <w:uiPriority w:val="0"/>
    <w:rPr>
      <w:rFonts w:ascii="仿宋_GB2312" w:eastAsia="仿宋_GB2312" w:cs="MingLiU"/>
      <w:b/>
      <w:sz w:val="24"/>
      <w:szCs w:val="28"/>
      <w:lang w:val="en-US" w:eastAsia="zh-CN" w:bidi="ar-SA"/>
    </w:rPr>
  </w:style>
  <w:style w:type="character" w:customStyle="1" w:styleId="210">
    <w:name w:val="title11"/>
    <w:qFormat/>
    <w:uiPriority w:val="0"/>
    <w:rPr>
      <w:b/>
      <w:bCs/>
      <w:color w:val="FFFFFF"/>
      <w:sz w:val="11"/>
      <w:szCs w:val="11"/>
    </w:rPr>
  </w:style>
  <w:style w:type="character" w:customStyle="1" w:styleId="211">
    <w:name w:val="批注框文本 字符"/>
    <w:link w:val="29"/>
    <w:qFormat/>
    <w:uiPriority w:val="0"/>
    <w:rPr>
      <w:rFonts w:eastAsia="宋体"/>
      <w:kern w:val="2"/>
      <w:sz w:val="18"/>
      <w:szCs w:val="18"/>
      <w:lang w:val="en-US" w:eastAsia="zh-CN" w:bidi="ar-SA"/>
    </w:rPr>
  </w:style>
  <w:style w:type="character" w:customStyle="1" w:styleId="212">
    <w:name w:val="标题 8 Char1"/>
    <w:qFormat/>
    <w:uiPriority w:val="0"/>
    <w:rPr>
      <w:rFonts w:ascii="Times New Roman" w:hAnsi="Arial" w:eastAsia="仿宋_GB2312" w:cs="Times New Roman"/>
      <w:sz w:val="30"/>
      <w:szCs w:val="20"/>
    </w:rPr>
  </w:style>
  <w:style w:type="character" w:customStyle="1" w:styleId="213">
    <w:name w:val="标题 Char2"/>
    <w:qFormat/>
    <w:uiPriority w:val="10"/>
    <w:rPr>
      <w:rFonts w:ascii="Cambria" w:hAnsi="Cambria" w:eastAsia="宋体" w:cs="Times New Roman"/>
      <w:b/>
      <w:bCs/>
      <w:sz w:val="32"/>
      <w:szCs w:val="32"/>
    </w:rPr>
  </w:style>
  <w:style w:type="character" w:customStyle="1" w:styleId="214">
    <w:name w:val="标题 字符"/>
    <w:link w:val="44"/>
    <w:qFormat/>
    <w:uiPriority w:val="0"/>
    <w:rPr>
      <w:rFonts w:eastAsia="宋体"/>
      <w:szCs w:val="24"/>
      <w:u w:val="single"/>
      <w:lang w:val="en-US" w:eastAsia="en-US" w:bidi="ar-SA"/>
    </w:rPr>
  </w:style>
  <w:style w:type="character" w:customStyle="1" w:styleId="215">
    <w:name w:val="批注主题 Char1"/>
    <w:qFormat/>
    <w:uiPriority w:val="0"/>
    <w:rPr>
      <w:b/>
      <w:bCs/>
      <w:kern w:val="2"/>
      <w:sz w:val="21"/>
      <w:szCs w:val="22"/>
    </w:rPr>
  </w:style>
  <w:style w:type="character" w:customStyle="1" w:styleId="216">
    <w:name w:val="副标题 Char"/>
    <w:qFormat/>
    <w:uiPriority w:val="0"/>
    <w:rPr>
      <w:rFonts w:ascii="Cambria" w:hAnsi="Cambria" w:eastAsia="宋体" w:cs="Times New Roman"/>
      <w:b/>
      <w:bCs/>
      <w:kern w:val="28"/>
      <w:sz w:val="32"/>
      <w:szCs w:val="32"/>
    </w:rPr>
  </w:style>
  <w:style w:type="character" w:customStyle="1" w:styleId="217">
    <w:name w:val="正文文本 字符"/>
    <w:link w:val="2"/>
    <w:qFormat/>
    <w:uiPriority w:val="0"/>
    <w:rPr>
      <w:rFonts w:eastAsia="宋体"/>
      <w:kern w:val="2"/>
      <w:sz w:val="21"/>
      <w:szCs w:val="24"/>
      <w:lang w:val="en-US" w:eastAsia="zh-CN" w:bidi="ar-SA"/>
    </w:rPr>
  </w:style>
  <w:style w:type="character" w:customStyle="1" w:styleId="218">
    <w:name w:val="纯文本 Char1"/>
    <w:qFormat/>
    <w:uiPriority w:val="0"/>
    <w:rPr>
      <w:rFonts w:ascii="宋体" w:hAnsi="Courier New" w:cs="Courier New"/>
      <w:kern w:val="2"/>
      <w:sz w:val="21"/>
      <w:szCs w:val="21"/>
    </w:rPr>
  </w:style>
  <w:style w:type="character" w:customStyle="1" w:styleId="219">
    <w:name w:val="脚注文本 字符"/>
    <w:link w:val="35"/>
    <w:qFormat/>
    <w:uiPriority w:val="0"/>
    <w:rPr>
      <w:rFonts w:ascii="Arial" w:hAnsi="Arial" w:eastAsia="宋体" w:cs="Arial"/>
      <w:sz w:val="18"/>
      <w:szCs w:val="18"/>
      <w:lang w:val="en-US" w:eastAsia="en-US" w:bidi="ar-SA"/>
    </w:rPr>
  </w:style>
  <w:style w:type="character" w:customStyle="1" w:styleId="220">
    <w:name w:val="标题 2 Char1"/>
    <w:qFormat/>
    <w:uiPriority w:val="0"/>
    <w:rPr>
      <w:rFonts w:ascii="Cambria" w:hAnsi="Cambria" w:eastAsia="宋体" w:cs="Times New Roman"/>
      <w:b/>
      <w:bCs/>
      <w:kern w:val="2"/>
      <w:sz w:val="32"/>
      <w:szCs w:val="32"/>
    </w:rPr>
  </w:style>
  <w:style w:type="character" w:customStyle="1" w:styleId="221">
    <w:name w:val="脚注文本 Char1"/>
    <w:qFormat/>
    <w:uiPriority w:val="0"/>
    <w:rPr>
      <w:rFonts w:ascii="Arial" w:hAnsi="Arial" w:cs="Arial"/>
      <w:sz w:val="18"/>
      <w:szCs w:val="18"/>
      <w:lang w:eastAsia="en-US"/>
    </w:rPr>
  </w:style>
  <w:style w:type="character" w:customStyle="1" w:styleId="222">
    <w:name w:val="HTML 预设格式 Char2"/>
    <w:qFormat/>
    <w:uiPriority w:val="99"/>
    <w:rPr>
      <w:rFonts w:ascii="Courier New" w:hAnsi="Courier New" w:eastAsia="宋体" w:cs="Courier New"/>
      <w:sz w:val="20"/>
      <w:szCs w:val="20"/>
    </w:rPr>
  </w:style>
  <w:style w:type="character" w:customStyle="1" w:styleId="223">
    <w:name w:val="标题 8 Char"/>
    <w:qFormat/>
    <w:uiPriority w:val="0"/>
    <w:rPr>
      <w:rFonts w:ascii="Arial" w:hAnsi="Arial" w:eastAsia="黑体" w:cs="Times New Roman"/>
      <w:sz w:val="24"/>
      <w:szCs w:val="24"/>
    </w:rPr>
  </w:style>
  <w:style w:type="character" w:customStyle="1" w:styleId="224">
    <w:name w:val="s3"/>
    <w:qFormat/>
    <w:uiPriority w:val="0"/>
  </w:style>
  <w:style w:type="character" w:customStyle="1" w:styleId="225">
    <w:name w:val="标题 4 Char"/>
    <w:qFormat/>
    <w:uiPriority w:val="0"/>
    <w:rPr>
      <w:rFonts w:ascii="仿宋_GB2312" w:hAnsi="Calibri" w:eastAsia="仿宋_GB2312" w:cs="Times New Roman"/>
      <w:b/>
      <w:kern w:val="0"/>
      <w:sz w:val="24"/>
      <w:szCs w:val="28"/>
    </w:rPr>
  </w:style>
  <w:style w:type="character" w:customStyle="1" w:styleId="226">
    <w:name w:val="正文文本缩进 2 Char"/>
    <w:qFormat/>
    <w:uiPriority w:val="0"/>
    <w:rPr>
      <w:kern w:val="2"/>
      <w:sz w:val="21"/>
      <w:szCs w:val="24"/>
    </w:rPr>
  </w:style>
  <w:style w:type="character" w:customStyle="1" w:styleId="227">
    <w:name w:val="style21"/>
    <w:qFormat/>
    <w:uiPriority w:val="0"/>
    <w:rPr>
      <w:b/>
      <w:bCs/>
      <w:sz w:val="28"/>
      <w:szCs w:val="28"/>
    </w:rPr>
  </w:style>
  <w:style w:type="character" w:customStyle="1" w:styleId="228">
    <w:name w:val="正文文本缩进 2 Char2"/>
    <w:qFormat/>
    <w:uiPriority w:val="99"/>
    <w:rPr>
      <w:rFonts w:ascii="Calibri" w:hAnsi="Calibri" w:eastAsia="宋体" w:cs="Times New Roman"/>
      <w:szCs w:val="24"/>
    </w:rPr>
  </w:style>
  <w:style w:type="character" w:customStyle="1" w:styleId="229">
    <w:name w:val="ht1"/>
    <w:qFormat/>
    <w:uiPriority w:val="0"/>
    <w:rPr>
      <w:rFonts w:ascii="黑体" w:eastAsia="黑体"/>
      <w:b/>
      <w:bCs/>
    </w:rPr>
  </w:style>
  <w:style w:type="character" w:customStyle="1" w:styleId="230">
    <w:name w:val="文档结构图 Char3"/>
    <w:qFormat/>
    <w:uiPriority w:val="99"/>
    <w:rPr>
      <w:rFonts w:ascii="宋体" w:hAnsi="Calibri" w:eastAsia="宋体" w:cs="Times New Roman"/>
      <w:sz w:val="18"/>
      <w:szCs w:val="18"/>
    </w:rPr>
  </w:style>
  <w:style w:type="character" w:customStyle="1" w:styleId="231">
    <w:name w:val="书籍标题1"/>
    <w:qFormat/>
    <w:uiPriority w:val="0"/>
    <w:rPr>
      <w:b/>
      <w:bCs/>
      <w:smallCaps/>
      <w:spacing w:val="5"/>
    </w:rPr>
  </w:style>
  <w:style w:type="character" w:customStyle="1" w:styleId="232">
    <w:name w:val="标题 7 Char1"/>
    <w:qFormat/>
    <w:uiPriority w:val="0"/>
    <w:rPr>
      <w:rFonts w:ascii="Times New Roman" w:hAnsi="Times New Roman" w:eastAsia="仿宋_GB2312" w:cs="Times New Roman"/>
      <w:sz w:val="30"/>
      <w:szCs w:val="20"/>
    </w:rPr>
  </w:style>
  <w:style w:type="character" w:customStyle="1" w:styleId="233">
    <w:name w:val="明显引用 Char2"/>
    <w:qFormat/>
    <w:uiPriority w:val="99"/>
    <w:rPr>
      <w:b/>
      <w:bCs/>
      <w:i/>
      <w:iCs/>
      <w:color w:val="4F81BD"/>
      <w:kern w:val="2"/>
      <w:sz w:val="21"/>
      <w:szCs w:val="24"/>
    </w:rPr>
  </w:style>
  <w:style w:type="character" w:customStyle="1" w:styleId="234">
    <w:name w:val="不明显强调1"/>
    <w:qFormat/>
    <w:uiPriority w:val="0"/>
    <w:rPr>
      <w:i/>
      <w:iCs/>
      <w:color w:val="808080"/>
    </w:rPr>
  </w:style>
  <w:style w:type="character" w:customStyle="1" w:styleId="235">
    <w:name w:val="普通文字 Char Char2"/>
    <w:qFormat/>
    <w:uiPriority w:val="0"/>
    <w:rPr>
      <w:rFonts w:ascii="宋体" w:hAnsi="Courier New"/>
      <w:kern w:val="2"/>
      <w:sz w:val="28"/>
      <w:szCs w:val="28"/>
    </w:rPr>
  </w:style>
  <w:style w:type="character" w:customStyle="1" w:styleId="236">
    <w:name w:val="标题 6 Char"/>
    <w:qFormat/>
    <w:uiPriority w:val="0"/>
    <w:rPr>
      <w:rFonts w:ascii="Arial" w:hAnsi="Arial" w:eastAsia="黑体" w:cs="Times New Roman"/>
      <w:b/>
      <w:bCs/>
      <w:sz w:val="24"/>
      <w:szCs w:val="24"/>
    </w:rPr>
  </w:style>
  <w:style w:type="character" w:customStyle="1" w:styleId="237">
    <w:name w:val="l1"/>
    <w:basedOn w:val="50"/>
    <w:qFormat/>
    <w:uiPriority w:val="0"/>
  </w:style>
  <w:style w:type="character" w:customStyle="1" w:styleId="238">
    <w:name w:val="未处理的提及1"/>
    <w:qFormat/>
    <w:uiPriority w:val="99"/>
    <w:rPr>
      <w:color w:val="808080"/>
      <w:shd w:val="clear" w:color="auto" w:fill="E6E6E6"/>
    </w:rPr>
  </w:style>
  <w:style w:type="character" w:customStyle="1" w:styleId="239">
    <w:name w:val="页眉 字符"/>
    <w:link w:val="31"/>
    <w:qFormat/>
    <w:uiPriority w:val="0"/>
    <w:rPr>
      <w:rFonts w:eastAsia="宋体"/>
      <w:kern w:val="2"/>
      <w:sz w:val="18"/>
      <w:szCs w:val="18"/>
      <w:lang w:val="en-US" w:eastAsia="zh-CN" w:bidi="ar-SA"/>
    </w:rPr>
  </w:style>
  <w:style w:type="character" w:customStyle="1" w:styleId="240">
    <w:name w:val="Char Char35"/>
    <w:qFormat/>
    <w:uiPriority w:val="0"/>
    <w:rPr>
      <w:rFonts w:ascii="仿宋_GB2312" w:eastAsia="仿宋_GB2312" w:cs="MingLiU"/>
      <w:b/>
      <w:sz w:val="24"/>
      <w:szCs w:val="28"/>
    </w:rPr>
  </w:style>
  <w:style w:type="character" w:customStyle="1" w:styleId="241">
    <w:name w:val="Char Char11"/>
    <w:qFormat/>
    <w:uiPriority w:val="0"/>
    <w:rPr>
      <w:rFonts w:eastAsia="黑体"/>
      <w:kern w:val="2"/>
      <w:sz w:val="44"/>
      <w:szCs w:val="44"/>
      <w:lang w:val="en-US" w:eastAsia="zh-CN" w:bidi="ar-SA"/>
    </w:rPr>
  </w:style>
  <w:style w:type="character" w:customStyle="1" w:styleId="242">
    <w:name w:val="style31"/>
    <w:qFormat/>
    <w:uiPriority w:val="0"/>
    <w:rPr>
      <w:sz w:val="10"/>
      <w:szCs w:val="10"/>
    </w:rPr>
  </w:style>
  <w:style w:type="character" w:customStyle="1" w:styleId="243">
    <w:name w:val="0d1471"/>
    <w:qFormat/>
    <w:uiPriority w:val="0"/>
    <w:rPr>
      <w:color w:val="000000"/>
      <w:sz w:val="11"/>
      <w:szCs w:val="11"/>
      <w:u w:val="none"/>
    </w:rPr>
  </w:style>
  <w:style w:type="character" w:customStyle="1" w:styleId="244">
    <w:name w:val="标题 9 Char"/>
    <w:qFormat/>
    <w:uiPriority w:val="0"/>
    <w:rPr>
      <w:rFonts w:ascii="Arial" w:hAnsi="Arial" w:eastAsia="黑体" w:cs="Times New Roman"/>
      <w:szCs w:val="21"/>
    </w:rPr>
  </w:style>
  <w:style w:type="character" w:customStyle="1" w:styleId="245">
    <w:name w:val="标题 3 Char1"/>
    <w:qFormat/>
    <w:uiPriority w:val="0"/>
    <w:rPr>
      <w:rFonts w:ascii="Times New Roman" w:hAnsi="Times New Roman" w:eastAsia="宋体" w:cs="Times New Roman"/>
      <w:b/>
      <w:bCs/>
      <w:kern w:val="2"/>
      <w:sz w:val="32"/>
      <w:szCs w:val="32"/>
    </w:rPr>
  </w:style>
  <w:style w:type="character" w:customStyle="1" w:styleId="246">
    <w:name w:val="标题4 Char Char"/>
    <w:link w:val="90"/>
    <w:qFormat/>
    <w:uiPriority w:val="0"/>
    <w:rPr>
      <w:rFonts w:ascii="Arial" w:hAnsi="Arial"/>
      <w:b/>
      <w:bCs/>
      <w:sz w:val="24"/>
      <w:szCs w:val="32"/>
      <w:lang w:bidi="ar-SA"/>
    </w:rPr>
  </w:style>
  <w:style w:type="character" w:customStyle="1" w:styleId="247">
    <w:name w:val="标题 5 Char1"/>
    <w:qFormat/>
    <w:uiPriority w:val="0"/>
    <w:rPr>
      <w:rFonts w:ascii="宋体" w:hAnsi="宋体" w:eastAsia="宋体" w:cs="宋体"/>
      <w:b/>
      <w:bCs/>
      <w:sz w:val="20"/>
      <w:szCs w:val="20"/>
    </w:rPr>
  </w:style>
  <w:style w:type="character" w:customStyle="1" w:styleId="248">
    <w:name w:val="正文文本缩进 3 Char1"/>
    <w:qFormat/>
    <w:uiPriority w:val="0"/>
    <w:rPr>
      <w:rFonts w:ascii="宋体" w:hAnsi="宋体"/>
      <w:kern w:val="2"/>
      <w:sz w:val="28"/>
      <w:szCs w:val="28"/>
    </w:rPr>
  </w:style>
  <w:style w:type="character" w:customStyle="1" w:styleId="249">
    <w:name w:val="Char Char33"/>
    <w:qFormat/>
    <w:uiPriority w:val="0"/>
    <w:rPr>
      <w:rFonts w:ascii="仿宋_GB2312" w:eastAsia="仿宋_GB2312" w:cs="MingLiU"/>
      <w:b/>
      <w:sz w:val="24"/>
      <w:szCs w:val="28"/>
    </w:rPr>
  </w:style>
  <w:style w:type="character" w:customStyle="1" w:styleId="250">
    <w:name w:val="批注文字 Char1"/>
    <w:qFormat/>
    <w:uiPriority w:val="99"/>
    <w:rPr>
      <w:rFonts w:ascii="Times New Roman" w:hAnsi="Times New Roman" w:eastAsia="宋体" w:cs="Times New Roman"/>
      <w:szCs w:val="24"/>
    </w:rPr>
  </w:style>
  <w:style w:type="character" w:customStyle="1" w:styleId="251">
    <w:name w:val="正文文本 3 Char1"/>
    <w:qFormat/>
    <w:uiPriority w:val="0"/>
    <w:rPr>
      <w:kern w:val="2"/>
      <w:sz w:val="16"/>
      <w:szCs w:val="16"/>
    </w:rPr>
  </w:style>
  <w:style w:type="character" w:customStyle="1" w:styleId="252">
    <w:name w:val="页眉 Char"/>
    <w:qFormat/>
    <w:uiPriority w:val="0"/>
    <w:rPr>
      <w:sz w:val="18"/>
      <w:szCs w:val="18"/>
    </w:rPr>
  </w:style>
  <w:style w:type="character" w:customStyle="1" w:styleId="253">
    <w:name w:val="明显引用 Char"/>
    <w:qFormat/>
    <w:uiPriority w:val="0"/>
    <w:rPr>
      <w:rFonts w:ascii="Times New Roman" w:hAnsi="Times New Roman" w:eastAsia="宋体" w:cs="Times New Roman"/>
      <w:b/>
      <w:bCs/>
      <w:i/>
      <w:iCs/>
      <w:color w:val="4F81BD"/>
      <w:kern w:val="2"/>
      <w:sz w:val="21"/>
      <w:szCs w:val="24"/>
    </w:rPr>
  </w:style>
  <w:style w:type="character" w:customStyle="1" w:styleId="254">
    <w:name w:val="color_red1"/>
    <w:qFormat/>
    <w:uiPriority w:val="0"/>
    <w:rPr>
      <w:color w:val="FA0004"/>
    </w:rPr>
  </w:style>
  <w:style w:type="character" w:customStyle="1" w:styleId="255">
    <w:name w:val="批注主题 Char2"/>
    <w:qFormat/>
    <w:uiPriority w:val="99"/>
    <w:rPr>
      <w:b/>
      <w:bCs/>
      <w:kern w:val="2"/>
      <w:sz w:val="21"/>
      <w:szCs w:val="24"/>
    </w:rPr>
  </w:style>
  <w:style w:type="character" w:customStyle="1" w:styleId="256">
    <w:name w:val="Char Char34"/>
    <w:qFormat/>
    <w:uiPriority w:val="0"/>
    <w:rPr>
      <w:rFonts w:ascii="仿宋_GB2312" w:eastAsia="仿宋_GB2312" w:cs="MingLiU"/>
      <w:b/>
      <w:spacing w:val="1"/>
      <w:w w:val="99"/>
      <w:sz w:val="28"/>
      <w:szCs w:val="32"/>
    </w:rPr>
  </w:style>
  <w:style w:type="character" w:customStyle="1" w:styleId="257">
    <w:name w:val="标题 1 Char"/>
    <w:qFormat/>
    <w:uiPriority w:val="0"/>
    <w:rPr>
      <w:rFonts w:ascii="Times New Roman" w:hAnsi="Times New Roman" w:eastAsia="宋体" w:cs="Times New Roman"/>
      <w:b/>
      <w:bCs/>
      <w:kern w:val="44"/>
      <w:sz w:val="44"/>
      <w:szCs w:val="44"/>
    </w:rPr>
  </w:style>
  <w:style w:type="character" w:customStyle="1" w:styleId="258">
    <w:name w:val="docpro"/>
    <w:basedOn w:val="50"/>
    <w:qFormat/>
    <w:uiPriority w:val="0"/>
  </w:style>
  <w:style w:type="character" w:customStyle="1" w:styleId="259">
    <w:name w:val="正文文本 3 Char"/>
    <w:qFormat/>
    <w:uiPriority w:val="0"/>
    <w:rPr>
      <w:kern w:val="2"/>
      <w:sz w:val="16"/>
      <w:szCs w:val="16"/>
    </w:rPr>
  </w:style>
  <w:style w:type="character" w:customStyle="1" w:styleId="260">
    <w:name w:val="标题 5 Char"/>
    <w:qFormat/>
    <w:uiPriority w:val="0"/>
    <w:rPr>
      <w:rFonts w:ascii="Calibri" w:hAnsi="Calibri" w:eastAsia="宋体" w:cs="Times New Roman"/>
      <w:b/>
      <w:bCs/>
      <w:sz w:val="28"/>
      <w:szCs w:val="28"/>
    </w:rPr>
  </w:style>
  <w:style w:type="character" w:customStyle="1" w:styleId="261">
    <w:name w:val="style161"/>
    <w:qFormat/>
    <w:uiPriority w:val="0"/>
    <w:rPr>
      <w:b/>
      <w:bCs/>
      <w:color w:val="333333"/>
    </w:rPr>
  </w:style>
  <w:style w:type="character" w:customStyle="1" w:styleId="262">
    <w:name w:val="文档结构图 Char2"/>
    <w:qFormat/>
    <w:uiPriority w:val="99"/>
    <w:rPr>
      <w:kern w:val="2"/>
      <w:sz w:val="21"/>
      <w:szCs w:val="24"/>
      <w:shd w:val="clear" w:color="auto" w:fill="000080"/>
    </w:rPr>
  </w:style>
  <w:style w:type="character" w:customStyle="1" w:styleId="263">
    <w:name w:val="页脚 Char1"/>
    <w:qFormat/>
    <w:uiPriority w:val="99"/>
    <w:rPr>
      <w:kern w:val="2"/>
      <w:sz w:val="18"/>
      <w:szCs w:val="18"/>
    </w:rPr>
  </w:style>
  <w:style w:type="character" w:customStyle="1" w:styleId="264">
    <w:name w:val="日期 Char2"/>
    <w:qFormat/>
    <w:uiPriority w:val="99"/>
    <w:rPr>
      <w:kern w:val="2"/>
      <w:sz w:val="21"/>
      <w:szCs w:val="24"/>
    </w:rPr>
  </w:style>
  <w:style w:type="character" w:customStyle="1" w:styleId="265">
    <w:name w:val="HTML 预设格式 Char"/>
    <w:qFormat/>
    <w:uiPriority w:val="0"/>
    <w:rPr>
      <w:rFonts w:ascii="宋体" w:hAnsi="宋体" w:eastAsia="宋体" w:cs="宋体"/>
      <w:color w:val="000000"/>
      <w:sz w:val="24"/>
      <w:szCs w:val="24"/>
    </w:rPr>
  </w:style>
  <w:style w:type="character" w:customStyle="1" w:styleId="266">
    <w:name w:val="批注主题 字符"/>
    <w:link w:val="45"/>
    <w:qFormat/>
    <w:uiPriority w:val="0"/>
    <w:rPr>
      <w:rFonts w:eastAsia="宋体"/>
      <w:b/>
      <w:bCs/>
      <w:kern w:val="2"/>
      <w:sz w:val="21"/>
      <w:szCs w:val="24"/>
      <w:lang w:val="en-US" w:eastAsia="zh-CN" w:bidi="ar-SA"/>
    </w:rPr>
  </w:style>
  <w:style w:type="character" w:customStyle="1" w:styleId="267">
    <w:name w:val="正文文本 2 字符"/>
    <w:link w:val="40"/>
    <w:qFormat/>
    <w:uiPriority w:val="0"/>
    <w:rPr>
      <w:i/>
      <w:iCs/>
      <w:kern w:val="2"/>
      <w:sz w:val="26"/>
      <w:szCs w:val="24"/>
    </w:rPr>
  </w:style>
  <w:style w:type="character" w:customStyle="1" w:styleId="268">
    <w:name w:val="批注框文本 Char"/>
    <w:qFormat/>
    <w:uiPriority w:val="0"/>
    <w:rPr>
      <w:sz w:val="18"/>
      <w:szCs w:val="18"/>
    </w:rPr>
  </w:style>
  <w:style w:type="character" w:customStyle="1" w:styleId="269">
    <w:name w:val="文档结构图 Char"/>
    <w:qFormat/>
    <w:uiPriority w:val="0"/>
    <w:rPr>
      <w:rFonts w:ascii="宋体"/>
      <w:kern w:val="2"/>
      <w:sz w:val="18"/>
      <w:szCs w:val="18"/>
    </w:rPr>
  </w:style>
  <w:style w:type="character" w:customStyle="1" w:styleId="270">
    <w:name w:val="标题 8 字符"/>
    <w:link w:val="11"/>
    <w:qFormat/>
    <w:uiPriority w:val="0"/>
    <w:rPr>
      <w:rFonts w:hAnsi="Arial" w:eastAsia="仿宋_GB2312"/>
      <w:sz w:val="30"/>
      <w:lang w:val="en-US" w:eastAsia="zh-CN" w:bidi="ar-SA"/>
    </w:rPr>
  </w:style>
  <w:style w:type="character" w:customStyle="1" w:styleId="271">
    <w:name w:val="正文文本缩进 3 字符"/>
    <w:link w:val="37"/>
    <w:qFormat/>
    <w:uiPriority w:val="0"/>
    <w:rPr>
      <w:rFonts w:ascii="宋体" w:hAnsi="宋体" w:eastAsia="宋体"/>
      <w:kern w:val="2"/>
      <w:sz w:val="28"/>
      <w:szCs w:val="28"/>
      <w:lang w:val="en-US" w:eastAsia="zh-CN" w:bidi="ar-SA"/>
    </w:rPr>
  </w:style>
  <w:style w:type="character" w:customStyle="1" w:styleId="272">
    <w:name w:val="正文文本缩进 字符"/>
    <w:link w:val="19"/>
    <w:qFormat/>
    <w:uiPriority w:val="0"/>
    <w:rPr>
      <w:rFonts w:eastAsia="宋体"/>
      <w:kern w:val="2"/>
      <w:sz w:val="21"/>
      <w:szCs w:val="24"/>
      <w:lang w:val="en-US" w:eastAsia="zh-CN" w:bidi="ar-SA"/>
    </w:rPr>
  </w:style>
  <w:style w:type="character" w:customStyle="1" w:styleId="273">
    <w:name w:val="_Style 196"/>
    <w:qFormat/>
    <w:uiPriority w:val="0"/>
    <w:rPr>
      <w:i/>
      <w:iCs/>
      <w:color w:val="808080"/>
    </w:rPr>
  </w:style>
  <w:style w:type="character" w:customStyle="1" w:styleId="274">
    <w:name w:val="正文文本缩进 2 字符"/>
    <w:link w:val="27"/>
    <w:qFormat/>
    <w:uiPriority w:val="0"/>
    <w:rPr>
      <w:rFonts w:eastAsia="宋体"/>
      <w:sz w:val="28"/>
      <w:szCs w:val="24"/>
      <w:lang w:val="en-US" w:eastAsia="zh-CN" w:bidi="ar-SA"/>
    </w:rPr>
  </w:style>
  <w:style w:type="character" w:customStyle="1" w:styleId="275">
    <w:name w:val="标题 7 字符"/>
    <w:link w:val="10"/>
    <w:qFormat/>
    <w:uiPriority w:val="0"/>
    <w:rPr>
      <w:rFonts w:eastAsia="仿宋_GB2312"/>
      <w:sz w:val="30"/>
      <w:lang w:val="en-US" w:eastAsia="zh-CN" w:bidi="ar-SA"/>
    </w:rPr>
  </w:style>
  <w:style w:type="character" w:customStyle="1" w:styleId="276">
    <w:name w:val="Char Char13"/>
    <w:qFormat/>
    <w:uiPriority w:val="0"/>
    <w:rPr>
      <w:kern w:val="2"/>
      <w:sz w:val="18"/>
      <w:szCs w:val="18"/>
    </w:rPr>
  </w:style>
  <w:style w:type="character" w:customStyle="1" w:styleId="277">
    <w:name w:val="正文文本缩进 2 Char1"/>
    <w:qFormat/>
    <w:uiPriority w:val="0"/>
    <w:rPr>
      <w:sz w:val="28"/>
      <w:szCs w:val="24"/>
    </w:rPr>
  </w:style>
  <w:style w:type="character" w:customStyle="1" w:styleId="278">
    <w:name w:val="Char Char21"/>
    <w:qFormat/>
    <w:uiPriority w:val="0"/>
    <w:rPr>
      <w:rFonts w:ascii="宋体" w:hAnsi="宋体" w:cs="宋体"/>
      <w:b/>
      <w:bCs/>
      <w:sz w:val="24"/>
      <w:szCs w:val="24"/>
    </w:rPr>
  </w:style>
  <w:style w:type="character" w:customStyle="1" w:styleId="279">
    <w:name w:val="文档结构图 Char1"/>
    <w:qFormat/>
    <w:uiPriority w:val="0"/>
    <w:rPr>
      <w:rFonts w:ascii="宋体"/>
      <w:kern w:val="2"/>
      <w:sz w:val="18"/>
      <w:szCs w:val="18"/>
    </w:rPr>
  </w:style>
  <w:style w:type="character" w:customStyle="1" w:styleId="280">
    <w:name w:val="标题 Char"/>
    <w:qFormat/>
    <w:uiPriority w:val="0"/>
    <w:rPr>
      <w:rFonts w:ascii="Cambria" w:hAnsi="Cambria" w:eastAsia="宋体" w:cs="Times New Roman"/>
      <w:b/>
      <w:bCs/>
      <w:kern w:val="2"/>
      <w:sz w:val="32"/>
      <w:szCs w:val="32"/>
    </w:rPr>
  </w:style>
  <w:style w:type="character" w:customStyle="1" w:styleId="281">
    <w:name w:val="_Style 275"/>
    <w:qFormat/>
    <w:uiPriority w:val="0"/>
    <w:rPr>
      <w:smallCaps/>
      <w:color w:val="C0504D"/>
      <w:u w:val="single"/>
    </w:rPr>
  </w:style>
  <w:style w:type="character" w:customStyle="1" w:styleId="282">
    <w:name w:val="Char Char12"/>
    <w:qFormat/>
    <w:uiPriority w:val="0"/>
    <w:rPr>
      <w:rFonts w:eastAsia="黑体"/>
      <w:kern w:val="2"/>
      <w:sz w:val="44"/>
      <w:szCs w:val="44"/>
      <w:lang w:val="en-US" w:eastAsia="zh-CN" w:bidi="ar-SA"/>
    </w:rPr>
  </w:style>
  <w:style w:type="character" w:customStyle="1" w:styleId="283">
    <w:name w:val="明显参考1"/>
    <w:qFormat/>
    <w:uiPriority w:val="0"/>
    <w:rPr>
      <w:b/>
      <w:bCs/>
      <w:smallCaps/>
      <w:color w:val="C0504D"/>
      <w:spacing w:val="5"/>
      <w:u w:val="single"/>
    </w:rPr>
  </w:style>
  <w:style w:type="character" w:customStyle="1" w:styleId="284">
    <w:name w:val="Char Char36"/>
    <w:qFormat/>
    <w:uiPriority w:val="0"/>
    <w:rPr>
      <w:rFonts w:ascii="仿宋_GB2312" w:eastAsia="仿宋_GB2312" w:cs="MingLiU"/>
      <w:b/>
      <w:sz w:val="24"/>
      <w:szCs w:val="28"/>
    </w:rPr>
  </w:style>
  <w:style w:type="character" w:customStyle="1" w:styleId="285">
    <w:name w:val="批注框文本 Char2"/>
    <w:qFormat/>
    <w:uiPriority w:val="99"/>
    <w:rPr>
      <w:kern w:val="2"/>
      <w:sz w:val="18"/>
      <w:szCs w:val="18"/>
    </w:rPr>
  </w:style>
  <w:style w:type="character" w:customStyle="1" w:styleId="286">
    <w:name w:val="subhead1"/>
    <w:qFormat/>
    <w:uiPriority w:val="0"/>
    <w:rPr>
      <w:rFonts w:hint="default" w:ascii="Tahoma" w:hAnsi="Tahoma" w:cs="Tahoma"/>
      <w:color w:val="000000"/>
      <w:sz w:val="18"/>
      <w:szCs w:val="18"/>
      <w:u w:val="none"/>
      <w:shd w:val="clear" w:color="auto" w:fill="FFFFFF"/>
    </w:rPr>
  </w:style>
  <w:style w:type="character" w:customStyle="1" w:styleId="287">
    <w:name w:val="正文文本缩进 3 Char2"/>
    <w:qFormat/>
    <w:uiPriority w:val="99"/>
    <w:rPr>
      <w:rFonts w:ascii="Calibri" w:hAnsi="Calibri" w:eastAsia="宋体" w:cs="Times New Roman"/>
      <w:sz w:val="16"/>
      <w:szCs w:val="16"/>
    </w:rPr>
  </w:style>
  <w:style w:type="character" w:customStyle="1" w:styleId="288">
    <w:name w:val="纯文本 Char"/>
    <w:qFormat/>
    <w:uiPriority w:val="0"/>
    <w:rPr>
      <w:rFonts w:ascii="宋体" w:hAnsi="Courier New"/>
      <w:sz w:val="28"/>
      <w:szCs w:val="28"/>
    </w:rPr>
  </w:style>
  <w:style w:type="character" w:customStyle="1" w:styleId="289">
    <w:name w:val="纯文本 Char2"/>
    <w:qFormat/>
    <w:uiPriority w:val="99"/>
    <w:rPr>
      <w:rFonts w:ascii="宋体" w:hAnsi="Courier New" w:eastAsia="宋体" w:cs="Courier New"/>
      <w:szCs w:val="21"/>
    </w:rPr>
  </w:style>
  <w:style w:type="character" w:customStyle="1" w:styleId="290">
    <w:name w:val="页眉 Char1"/>
    <w:qFormat/>
    <w:uiPriority w:val="99"/>
    <w:rPr>
      <w:kern w:val="2"/>
      <w:sz w:val="18"/>
      <w:szCs w:val="18"/>
    </w:rPr>
  </w:style>
  <w:style w:type="character" w:customStyle="1" w:styleId="291">
    <w:name w:val="Char Char14"/>
    <w:qFormat/>
    <w:uiPriority w:val="0"/>
    <w:rPr>
      <w:kern w:val="2"/>
      <w:sz w:val="18"/>
      <w:szCs w:val="18"/>
    </w:rPr>
  </w:style>
  <w:style w:type="character" w:customStyle="1" w:styleId="292">
    <w:name w:val="批注文字 字符"/>
    <w:link w:val="17"/>
    <w:qFormat/>
    <w:uiPriority w:val="99"/>
    <w:rPr>
      <w:rFonts w:eastAsia="宋体"/>
      <w:kern w:val="2"/>
      <w:sz w:val="21"/>
      <w:szCs w:val="24"/>
      <w:lang w:val="en-US" w:eastAsia="zh-CN" w:bidi="ar-SA"/>
    </w:rPr>
  </w:style>
  <w:style w:type="character" w:customStyle="1" w:styleId="293">
    <w:name w:val="批注文字 Char Char"/>
    <w:qFormat/>
    <w:uiPriority w:val="0"/>
    <w:rPr>
      <w:rFonts w:ascii="宋体" w:hAnsi="Times New Roman" w:eastAsia="宋体" w:cs="Times New Roman"/>
      <w:sz w:val="28"/>
      <w:szCs w:val="20"/>
    </w:rPr>
  </w:style>
  <w:style w:type="character" w:customStyle="1" w:styleId="294">
    <w:name w:val="标题 1 Char1"/>
    <w:qFormat/>
    <w:uiPriority w:val="0"/>
    <w:rPr>
      <w:rFonts w:ascii="Times New Roman" w:hAnsi="Times New Roman" w:eastAsia="宋体" w:cs="Times New Roman"/>
      <w:b/>
      <w:bCs/>
      <w:kern w:val="44"/>
      <w:sz w:val="44"/>
      <w:szCs w:val="44"/>
    </w:rPr>
  </w:style>
  <w:style w:type="character" w:customStyle="1" w:styleId="295">
    <w:name w:val="标题 5 字符"/>
    <w:link w:val="7"/>
    <w:qFormat/>
    <w:uiPriority w:val="0"/>
    <w:rPr>
      <w:rFonts w:ascii="宋体" w:hAnsi="宋体" w:eastAsia="宋体" w:cs="宋体"/>
      <w:b/>
      <w:bCs/>
      <w:lang w:val="en-US" w:eastAsia="zh-CN" w:bidi="ar-SA"/>
    </w:rPr>
  </w:style>
  <w:style w:type="character" w:customStyle="1" w:styleId="296">
    <w:name w:val="手改 Char Char"/>
    <w:qFormat/>
    <w:uiPriority w:val="0"/>
    <w:rPr>
      <w:kern w:val="2"/>
      <w:sz w:val="21"/>
      <w:szCs w:val="24"/>
    </w:rPr>
  </w:style>
  <w:style w:type="character" w:customStyle="1" w:styleId="297">
    <w:name w:val="标题 1 字符"/>
    <w:link w:val="3"/>
    <w:qFormat/>
    <w:uiPriority w:val="0"/>
    <w:rPr>
      <w:rFonts w:eastAsia="宋体"/>
      <w:b/>
      <w:bCs/>
      <w:kern w:val="44"/>
      <w:sz w:val="44"/>
      <w:szCs w:val="44"/>
      <w:lang w:val="en-US" w:eastAsia="zh-CN" w:bidi="ar-SA"/>
    </w:rPr>
  </w:style>
  <w:style w:type="character" w:customStyle="1" w:styleId="298">
    <w:name w:val="intel3"/>
    <w:basedOn w:val="50"/>
    <w:qFormat/>
    <w:uiPriority w:val="0"/>
  </w:style>
  <w:style w:type="character" w:customStyle="1" w:styleId="299">
    <w:name w:val="副标题 Char2"/>
    <w:qFormat/>
    <w:uiPriority w:val="11"/>
    <w:rPr>
      <w:rFonts w:ascii="Cambria" w:hAnsi="Cambria" w:eastAsia="宋体" w:cs="Times New Roman"/>
      <w:b/>
      <w:bCs/>
      <w:kern w:val="28"/>
      <w:sz w:val="32"/>
      <w:szCs w:val="32"/>
    </w:rPr>
  </w:style>
  <w:style w:type="character" w:customStyle="1" w:styleId="300">
    <w:name w:val="明显引用 Char4"/>
    <w:link w:val="121"/>
    <w:qFormat/>
    <w:uiPriority w:val="0"/>
    <w:rPr>
      <w:b/>
      <w:bCs/>
      <w:i/>
      <w:iCs/>
      <w:color w:val="4F81BD"/>
      <w:kern w:val="2"/>
      <w:sz w:val="21"/>
      <w:szCs w:val="22"/>
      <w:lang w:bidi="ar-SA"/>
    </w:rPr>
  </w:style>
  <w:style w:type="character" w:customStyle="1" w:styleId="301">
    <w:name w:val="明显引用 Char1"/>
    <w:link w:val="114"/>
    <w:qFormat/>
    <w:uiPriority w:val="30"/>
    <w:rPr>
      <w:b/>
      <w:bCs/>
      <w:i/>
      <w:iCs/>
      <w:color w:val="4F81BD"/>
      <w:kern w:val="2"/>
      <w:sz w:val="21"/>
    </w:rPr>
  </w:style>
  <w:style w:type="character" w:customStyle="1" w:styleId="302">
    <w:name w:val="HTML 预设格式 Char1"/>
    <w:qFormat/>
    <w:uiPriority w:val="0"/>
    <w:rPr>
      <w:rFonts w:ascii="宋体" w:hAnsi="宋体" w:cs="宋体"/>
      <w:color w:val="000000"/>
      <w:sz w:val="24"/>
      <w:szCs w:val="24"/>
    </w:rPr>
  </w:style>
  <w:style w:type="character" w:customStyle="1" w:styleId="303">
    <w:name w:val="引用 Char"/>
    <w:link w:val="72"/>
    <w:qFormat/>
    <w:uiPriority w:val="0"/>
    <w:rPr>
      <w:rFonts w:ascii="Times New Roman" w:hAnsi="Times New Roman" w:eastAsia="宋体" w:cs="Times New Roman"/>
      <w:i/>
      <w:iCs/>
      <w:color w:val="000000"/>
      <w:kern w:val="2"/>
      <w:sz w:val="21"/>
      <w:szCs w:val="24"/>
    </w:rPr>
  </w:style>
  <w:style w:type="character" w:customStyle="1" w:styleId="304">
    <w:name w:val="副标题 字符"/>
    <w:link w:val="34"/>
    <w:qFormat/>
    <w:uiPriority w:val="0"/>
    <w:rPr>
      <w:rFonts w:eastAsia="宋体"/>
      <w:szCs w:val="24"/>
      <w:u w:val="single"/>
      <w:lang w:val="en-US" w:eastAsia="en-US" w:bidi="ar-SA"/>
    </w:rPr>
  </w:style>
  <w:style w:type="character" w:customStyle="1" w:styleId="305">
    <w:name w:val="ITTHEADER1 Char"/>
    <w:qFormat/>
    <w:uiPriority w:val="0"/>
    <w:rPr>
      <w:rFonts w:eastAsia="黑体"/>
      <w:kern w:val="2"/>
      <w:sz w:val="44"/>
      <w:szCs w:val="44"/>
      <w:lang w:val="en-US" w:eastAsia="zh-CN" w:bidi="ar-SA"/>
    </w:rPr>
  </w:style>
  <w:style w:type="character" w:customStyle="1" w:styleId="306">
    <w:name w:val="日期 Char3"/>
    <w:qFormat/>
    <w:uiPriority w:val="99"/>
    <w:rPr>
      <w:rFonts w:ascii="Calibri" w:hAnsi="Calibri" w:eastAsia="宋体" w:cs="Times New Roman"/>
      <w:szCs w:val="24"/>
    </w:rPr>
  </w:style>
  <w:style w:type="character" w:customStyle="1" w:styleId="307">
    <w:name w:val="纯文本 字符"/>
    <w:link w:val="24"/>
    <w:qFormat/>
    <w:uiPriority w:val="0"/>
    <w:rPr>
      <w:rFonts w:ascii="宋体" w:hAnsi="Courier New" w:eastAsia="宋体" w:cs="Courier New"/>
      <w:kern w:val="2"/>
      <w:sz w:val="21"/>
      <w:szCs w:val="21"/>
      <w:lang w:val="en-US" w:eastAsia="zh-CN" w:bidi="ar-SA"/>
    </w:rPr>
  </w:style>
  <w:style w:type="character" w:customStyle="1" w:styleId="308">
    <w:name w:val="批注文字 Char"/>
    <w:qFormat/>
    <w:uiPriority w:val="0"/>
    <w:rPr>
      <w:rFonts w:ascii="Times New Roman" w:hAnsi="Times New Roman" w:eastAsia="宋体" w:cs="Times New Roman"/>
      <w:kern w:val="2"/>
      <w:sz w:val="21"/>
      <w:szCs w:val="24"/>
    </w:rPr>
  </w:style>
  <w:style w:type="character" w:customStyle="1" w:styleId="309">
    <w:name w:val="Section Char"/>
    <w:qFormat/>
    <w:uiPriority w:val="0"/>
    <w:rPr>
      <w:rFonts w:ascii="仿宋_GB2312" w:eastAsia="仿宋_GB2312" w:cs="MingLiU"/>
      <w:b/>
      <w:sz w:val="24"/>
      <w:szCs w:val="28"/>
      <w:lang w:val="en-US" w:eastAsia="zh-CN" w:bidi="ar-SA"/>
    </w:rPr>
  </w:style>
  <w:style w:type="character" w:customStyle="1" w:styleId="310">
    <w:name w:val="正文文本 3 Char2"/>
    <w:qFormat/>
    <w:uiPriority w:val="99"/>
    <w:rPr>
      <w:rFonts w:ascii="Calibri" w:hAnsi="Calibri" w:eastAsia="宋体" w:cs="Times New Roman"/>
      <w:sz w:val="16"/>
      <w:szCs w:val="16"/>
    </w:rPr>
  </w:style>
  <w:style w:type="character" w:customStyle="1" w:styleId="311">
    <w:name w:val="正文文本 3 字符"/>
    <w:link w:val="18"/>
    <w:qFormat/>
    <w:uiPriority w:val="0"/>
    <w:rPr>
      <w:rFonts w:eastAsia="宋体"/>
      <w:kern w:val="2"/>
      <w:sz w:val="16"/>
      <w:szCs w:val="16"/>
      <w:lang w:val="en-US" w:eastAsia="zh-CN" w:bidi="ar-SA"/>
    </w:rPr>
  </w:style>
  <w:style w:type="character" w:customStyle="1" w:styleId="312">
    <w:name w:val="普通文字 Char Char1"/>
    <w:qFormat/>
    <w:uiPriority w:val="0"/>
    <w:rPr>
      <w:rFonts w:ascii="宋体" w:hAnsi="Courier New"/>
      <w:kern w:val="2"/>
      <w:sz w:val="28"/>
      <w:szCs w:val="28"/>
    </w:rPr>
  </w:style>
  <w:style w:type="character" w:customStyle="1" w:styleId="313">
    <w:name w:val="正文文本缩进 Char"/>
    <w:qFormat/>
    <w:uiPriority w:val="0"/>
    <w:rPr>
      <w:rFonts w:ascii="黑体" w:hAnsi="宋体" w:eastAsia="黑体"/>
      <w:color w:val="000000"/>
      <w:sz w:val="28"/>
      <w:szCs w:val="32"/>
    </w:rPr>
  </w:style>
  <w:style w:type="character" w:customStyle="1" w:styleId="314">
    <w:name w:val="font161"/>
    <w:qFormat/>
    <w:uiPriority w:val="0"/>
    <w:rPr>
      <w:b/>
      <w:bCs/>
      <w:sz w:val="32"/>
      <w:szCs w:val="32"/>
    </w:rPr>
  </w:style>
  <w:style w:type="paragraph" w:customStyle="1" w:styleId="315">
    <w:name w:val="List Paragraph_2053445d-0ea7-4fc6-805c-24e9551bff14"/>
    <w:basedOn w:val="1"/>
    <w:qFormat/>
    <w:uiPriority w:val="99"/>
    <w:pPr>
      <w:ind w:firstLine="420" w:firstLineChars="200"/>
    </w:pPr>
    <w:rPr>
      <w:sz w:val="28"/>
      <w:szCs w:val="28"/>
    </w:rPr>
  </w:style>
  <w:style w:type="paragraph" w:customStyle="1" w:styleId="316">
    <w:name w:val="Revision_be56d849-df43-460f-89c6-231392157f72"/>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317">
    <w:name w:val="Table Normal"/>
    <w:semiHidden/>
    <w:unhideWhenUsed/>
    <w:qFormat/>
    <w:uiPriority w:val="0"/>
    <w:tblPr>
      <w:tblCellMar>
        <w:top w:w="0" w:type="dxa"/>
        <w:left w:w="0" w:type="dxa"/>
        <w:bottom w:w="0" w:type="dxa"/>
        <w:right w:w="0" w:type="dxa"/>
      </w:tblCellMar>
    </w:tblPr>
  </w:style>
  <w:style w:type="paragraph" w:customStyle="1" w:styleId="318">
    <w:name w:val="p3"/>
    <w:basedOn w:val="1"/>
    <w:qFormat/>
    <w:uiPriority w:val="0"/>
    <w:rPr>
      <w:rFonts w:ascii="pingfang sc" w:hAnsi="pingfang sc" w:eastAsia="pingfang sc"/>
      <w:kern w:val="0"/>
      <w:sz w:val="26"/>
      <w:szCs w:val="26"/>
    </w:rPr>
  </w:style>
  <w:style w:type="paragraph" w:styleId="319">
    <w:name w:val="List Paragraph"/>
    <w:basedOn w:val="1"/>
    <w:qFormat/>
    <w:uiPriority w:val="34"/>
    <w:pPr>
      <w:ind w:firstLine="420" w:firstLineChars="200"/>
    </w:pPr>
  </w:style>
  <w:style w:type="character" w:customStyle="1" w:styleId="320">
    <w:name w:val="font31"/>
    <w:basedOn w:val="50"/>
    <w:qFormat/>
    <w:uiPriority w:val="0"/>
    <w:rPr>
      <w:rFonts w:ascii="pingfang sc" w:hAnsi="pingfang sc" w:eastAsia="pingfang sc" w:cs="pingfang sc"/>
      <w:color w:val="000000"/>
      <w:sz w:val="18"/>
      <w:szCs w:val="18"/>
      <w:u w:val="none"/>
    </w:rPr>
  </w:style>
  <w:style w:type="paragraph" w:customStyle="1" w:styleId="321">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22">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2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81</Pages>
  <Words>18180</Words>
  <Characters>19662</Characters>
  <Lines>269</Lines>
  <Paragraphs>75</Paragraphs>
  <TotalTime>10</TotalTime>
  <ScaleCrop>false</ScaleCrop>
  <LinksUpToDate>false</LinksUpToDate>
  <CharactersWithSpaces>20168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2026-01-20T01:35:00Z</dcterms:created>
  <dc:creator>USER</dc:creator>
  <cp:lastModifiedBy> </cp:lastModifiedBy>
  <cp:lastPrinted>2023-02-19T06:02:00Z</cp:lastPrinted>
  <dcterms:modified xsi:type="dcterms:W3CDTF">2026-01-21T01:47:45Z</dcterms:modified>
  <dc:title>第一卷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C41D5993219248729AE577B3BADD1146_13</vt:lpwstr>
  </property>
  <property fmtid="{D5CDD505-2E9C-101B-9397-08002B2CF9AE}" pid="4" name="KSOTemplateDocerSaveRecord">
    <vt:lpwstr>eyJoZGlkIjoiOWUxOGExZTU2YmJjNDk4YzM0OWNmNDE4YjNmNmJhMDIiLCJ1c2VySWQiOiIxMTMyNDk2OTU3In0=</vt:lpwstr>
  </property>
</Properties>
</file>