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01C59">
      <w:pPr>
        <w:autoSpaceDE w:val="0"/>
        <w:autoSpaceDN w:val="0"/>
        <w:snapToGrid w:val="0"/>
        <w:spacing w:line="360" w:lineRule="auto"/>
        <w:jc w:val="left"/>
        <w:rPr>
          <w:rFonts w:hint="eastAsia" w:ascii="仿宋" w:hAnsi="仿宋" w:eastAsia="仿宋" w:cs="仿宋"/>
          <w:b/>
          <w:sz w:val="30"/>
          <w:szCs w:val="30"/>
          <w:highlight w:val="none"/>
        </w:rPr>
      </w:pPr>
    </w:p>
    <w:p w14:paraId="66CC6742">
      <w:pPr>
        <w:autoSpaceDE w:val="0"/>
        <w:autoSpaceDN w:val="0"/>
        <w:snapToGrid w:val="0"/>
        <w:spacing w:line="360" w:lineRule="auto"/>
        <w:jc w:val="center"/>
        <w:rPr>
          <w:rFonts w:hint="eastAsia" w:ascii="仿宋" w:hAnsi="仿宋" w:eastAsia="仿宋" w:cs="仿宋"/>
          <w:b/>
          <w:highlight w:val="none"/>
        </w:rPr>
      </w:pPr>
      <w:r>
        <w:rPr>
          <w:rFonts w:hint="eastAsia" w:ascii="仿宋" w:hAnsi="仿宋" w:eastAsia="仿宋" w:cs="仿宋"/>
          <w:b/>
          <w:highlight w:val="none"/>
        </w:rPr>
        <w:t>重庆广阳湾生态城投资发展集团有限公司人力资源咨询服务</w:t>
      </w:r>
    </w:p>
    <w:p w14:paraId="4AA24297">
      <w:pPr>
        <w:pStyle w:val="43"/>
        <w:spacing w:line="240" w:lineRule="auto"/>
        <w:ind w:firstLine="0"/>
        <w:rPr>
          <w:rStyle w:val="27"/>
          <w:rFonts w:hint="eastAsia" w:ascii="仿宋" w:hAnsi="仿宋" w:eastAsia="仿宋" w:cs="仿宋"/>
          <w:b w:val="0"/>
          <w:color w:val="auto"/>
          <w:sz w:val="48"/>
          <w:szCs w:val="48"/>
          <w:highlight w:val="none"/>
        </w:rPr>
      </w:pPr>
    </w:p>
    <w:p w14:paraId="4DE17F1C">
      <w:pPr>
        <w:pStyle w:val="43"/>
        <w:spacing w:line="240" w:lineRule="auto"/>
        <w:ind w:firstLine="0"/>
        <w:rPr>
          <w:rStyle w:val="27"/>
          <w:rFonts w:hint="eastAsia" w:ascii="仿宋" w:hAnsi="仿宋" w:eastAsia="仿宋" w:cs="仿宋"/>
          <w:b w:val="0"/>
          <w:color w:val="auto"/>
          <w:sz w:val="48"/>
          <w:szCs w:val="48"/>
          <w:highlight w:val="none"/>
        </w:rPr>
      </w:pPr>
    </w:p>
    <w:p w14:paraId="5ED6305C">
      <w:pPr>
        <w:pStyle w:val="43"/>
        <w:spacing w:line="240" w:lineRule="auto"/>
        <w:ind w:firstLine="0"/>
        <w:rPr>
          <w:rStyle w:val="27"/>
          <w:rFonts w:hint="eastAsia" w:ascii="仿宋" w:hAnsi="仿宋" w:eastAsia="仿宋" w:cs="仿宋"/>
          <w:b w:val="0"/>
          <w:color w:val="auto"/>
          <w:sz w:val="48"/>
          <w:szCs w:val="48"/>
          <w:highlight w:val="none"/>
        </w:rPr>
      </w:pPr>
    </w:p>
    <w:p w14:paraId="5A0A156F">
      <w:pPr>
        <w:pStyle w:val="43"/>
        <w:spacing w:line="240" w:lineRule="auto"/>
        <w:ind w:firstLine="0"/>
        <w:rPr>
          <w:rStyle w:val="27"/>
          <w:rFonts w:hint="eastAsia" w:ascii="仿宋" w:hAnsi="仿宋" w:eastAsia="仿宋" w:cs="仿宋"/>
          <w:b w:val="0"/>
          <w:color w:val="auto"/>
          <w:sz w:val="48"/>
          <w:szCs w:val="48"/>
          <w:highlight w:val="none"/>
        </w:rPr>
      </w:pPr>
    </w:p>
    <w:p w14:paraId="4FE51F43">
      <w:pPr>
        <w:pStyle w:val="43"/>
        <w:spacing w:line="240" w:lineRule="auto"/>
        <w:ind w:firstLine="0"/>
        <w:rPr>
          <w:rStyle w:val="27"/>
          <w:rFonts w:hint="eastAsia" w:ascii="仿宋" w:hAnsi="仿宋" w:eastAsia="仿宋" w:cs="仿宋"/>
          <w:b w:val="0"/>
          <w:color w:val="auto"/>
          <w:sz w:val="48"/>
          <w:szCs w:val="48"/>
          <w:highlight w:val="none"/>
        </w:rPr>
      </w:pPr>
    </w:p>
    <w:p w14:paraId="23ED2250">
      <w:pPr>
        <w:pStyle w:val="43"/>
        <w:spacing w:line="240" w:lineRule="auto"/>
        <w:ind w:firstLine="0"/>
        <w:rPr>
          <w:rStyle w:val="27"/>
          <w:rFonts w:hint="eastAsia" w:ascii="仿宋" w:hAnsi="仿宋" w:eastAsia="仿宋" w:cs="仿宋"/>
          <w:b w:val="0"/>
          <w:color w:val="auto"/>
          <w:sz w:val="48"/>
          <w:szCs w:val="48"/>
          <w:highlight w:val="none"/>
        </w:rPr>
      </w:pPr>
    </w:p>
    <w:p w14:paraId="5B4A09CA">
      <w:pPr>
        <w:pStyle w:val="43"/>
        <w:spacing w:line="240" w:lineRule="auto"/>
        <w:ind w:firstLine="0"/>
        <w:rPr>
          <w:rStyle w:val="27"/>
          <w:rFonts w:hint="eastAsia" w:ascii="仿宋" w:hAnsi="仿宋" w:eastAsia="仿宋" w:cs="仿宋"/>
          <w:b w:val="0"/>
          <w:color w:val="auto"/>
          <w:sz w:val="48"/>
          <w:szCs w:val="48"/>
          <w:highlight w:val="none"/>
        </w:rPr>
      </w:pPr>
    </w:p>
    <w:p w14:paraId="42666319">
      <w:pPr>
        <w:autoSpaceDE w:val="0"/>
        <w:autoSpaceDN w:val="0"/>
        <w:snapToGrid w:val="0"/>
        <w:spacing w:line="360" w:lineRule="auto"/>
        <w:jc w:val="center"/>
        <w:rPr>
          <w:rFonts w:hint="eastAsia" w:ascii="仿宋" w:hAnsi="仿宋" w:eastAsia="仿宋" w:cs="仿宋"/>
          <w:sz w:val="96"/>
          <w:szCs w:val="96"/>
          <w:highlight w:val="none"/>
        </w:rPr>
      </w:pPr>
      <w:r>
        <w:rPr>
          <w:rFonts w:hint="eastAsia" w:ascii="仿宋" w:hAnsi="仿宋" w:eastAsia="仿宋" w:cs="仿宋"/>
          <w:b/>
          <w:sz w:val="96"/>
          <w:szCs w:val="96"/>
          <w:highlight w:val="none"/>
        </w:rPr>
        <w:t>竞争性比选文件</w:t>
      </w:r>
    </w:p>
    <w:p w14:paraId="6CF49251">
      <w:pPr>
        <w:autoSpaceDE w:val="0"/>
        <w:autoSpaceDN w:val="0"/>
        <w:snapToGrid w:val="0"/>
        <w:spacing w:line="360" w:lineRule="auto"/>
        <w:jc w:val="center"/>
        <w:rPr>
          <w:rFonts w:hint="eastAsia" w:ascii="仿宋" w:hAnsi="仿宋" w:eastAsia="仿宋" w:cs="仿宋"/>
          <w:b/>
          <w:sz w:val="96"/>
          <w:szCs w:val="96"/>
          <w:highlight w:val="none"/>
        </w:rPr>
      </w:pPr>
    </w:p>
    <w:p w14:paraId="7D9E1E44">
      <w:pPr>
        <w:pStyle w:val="9"/>
        <w:rPr>
          <w:rFonts w:hint="eastAsia" w:ascii="仿宋" w:hAnsi="仿宋" w:eastAsia="仿宋" w:cs="仿宋"/>
          <w:highlight w:val="none"/>
        </w:rPr>
      </w:pPr>
    </w:p>
    <w:p w14:paraId="35FC05D3">
      <w:pPr>
        <w:pStyle w:val="9"/>
        <w:rPr>
          <w:rFonts w:hint="eastAsia" w:ascii="仿宋" w:hAnsi="仿宋" w:eastAsia="仿宋" w:cs="仿宋"/>
          <w:b/>
          <w:w w:val="99"/>
          <w:sz w:val="28"/>
          <w:szCs w:val="28"/>
          <w:highlight w:val="none"/>
        </w:rPr>
      </w:pPr>
    </w:p>
    <w:p w14:paraId="20783184">
      <w:pPr>
        <w:rPr>
          <w:rFonts w:hint="eastAsia" w:ascii="仿宋" w:hAnsi="仿宋" w:eastAsia="仿宋" w:cs="仿宋"/>
          <w:highlight w:val="none"/>
        </w:rPr>
      </w:pPr>
    </w:p>
    <w:p w14:paraId="3E1061D4">
      <w:pPr>
        <w:pStyle w:val="9"/>
        <w:rPr>
          <w:rFonts w:hint="eastAsia" w:ascii="仿宋" w:hAnsi="仿宋" w:eastAsia="仿宋" w:cs="仿宋"/>
          <w:highlight w:val="none"/>
        </w:rPr>
      </w:pPr>
    </w:p>
    <w:p w14:paraId="1585E9CB">
      <w:pPr>
        <w:tabs>
          <w:tab w:val="left" w:pos="6219"/>
        </w:tabs>
        <w:autoSpaceDE w:val="0"/>
        <w:autoSpaceDN w:val="0"/>
        <w:snapToGrid w:val="0"/>
        <w:spacing w:line="480" w:lineRule="auto"/>
        <w:jc w:val="center"/>
        <w:rPr>
          <w:rFonts w:hint="eastAsia" w:ascii="仿宋" w:hAnsi="仿宋" w:eastAsia="仿宋" w:cs="仿宋"/>
          <w:b/>
          <w:w w:val="99"/>
          <w:sz w:val="28"/>
          <w:szCs w:val="28"/>
          <w:highlight w:val="none"/>
        </w:rPr>
      </w:pPr>
      <w:r>
        <w:rPr>
          <w:rFonts w:hint="eastAsia" w:ascii="仿宋" w:hAnsi="仿宋" w:eastAsia="仿宋" w:cs="仿宋"/>
          <w:b/>
          <w:w w:val="99"/>
          <w:sz w:val="28"/>
          <w:szCs w:val="28"/>
          <w:highlight w:val="none"/>
        </w:rPr>
        <w:t>比 选 人：重庆广阳湾生态城投资发展集团有限公司（盖单位章）</w:t>
      </w:r>
    </w:p>
    <w:p w14:paraId="4D66DA2D">
      <w:pPr>
        <w:tabs>
          <w:tab w:val="left" w:pos="6252"/>
        </w:tabs>
        <w:autoSpaceDE w:val="0"/>
        <w:autoSpaceDN w:val="0"/>
        <w:snapToGrid w:val="0"/>
        <w:spacing w:line="480" w:lineRule="auto"/>
        <w:jc w:val="center"/>
        <w:rPr>
          <w:rFonts w:hint="eastAsia" w:ascii="仿宋" w:hAnsi="仿宋" w:eastAsia="仿宋" w:cs="仿宋"/>
          <w:b/>
          <w:w w:val="99"/>
          <w:sz w:val="28"/>
          <w:szCs w:val="28"/>
          <w:highlight w:val="none"/>
        </w:rPr>
      </w:pPr>
      <w:r>
        <w:rPr>
          <w:rFonts w:hint="eastAsia" w:ascii="仿宋" w:hAnsi="仿宋" w:eastAsia="仿宋" w:cs="仿宋"/>
          <w:b/>
          <w:spacing w:val="8"/>
          <w:sz w:val="28"/>
          <w:szCs w:val="28"/>
          <w:highlight w:val="none"/>
        </w:rPr>
        <w:t>比选代理机构：重庆普聚工程咨询有限公司</w:t>
      </w:r>
      <w:r>
        <w:rPr>
          <w:rFonts w:hint="eastAsia" w:ascii="仿宋" w:hAnsi="仿宋" w:eastAsia="仿宋" w:cs="仿宋"/>
          <w:b/>
          <w:w w:val="99"/>
          <w:sz w:val="28"/>
          <w:szCs w:val="28"/>
          <w:highlight w:val="none"/>
        </w:rPr>
        <w:t>（盖单位章）</w:t>
      </w:r>
    </w:p>
    <w:p w14:paraId="7DCCCA7C">
      <w:pPr>
        <w:widowControl/>
        <w:snapToGrid w:val="0"/>
        <w:spacing w:line="480" w:lineRule="auto"/>
        <w:jc w:val="center"/>
        <w:rPr>
          <w:rFonts w:hint="eastAsia" w:ascii="仿宋" w:hAnsi="仿宋" w:eastAsia="仿宋" w:cs="仿宋"/>
          <w:b/>
          <w:sz w:val="30"/>
          <w:highlight w:val="none"/>
        </w:rPr>
        <w:sectPr>
          <w:pgSz w:w="11906" w:h="16838"/>
          <w:pgMar w:top="1418" w:right="1555" w:bottom="1418" w:left="1531" w:header="851" w:footer="992" w:gutter="0"/>
          <w:pgNumType w:fmt="numberInDash"/>
          <w:cols w:space="720" w:num="1"/>
          <w:docGrid w:type="lines" w:linePitch="312" w:charSpace="0"/>
        </w:sectPr>
      </w:pPr>
      <w:r>
        <w:rPr>
          <w:rFonts w:hint="eastAsia" w:ascii="仿宋" w:hAnsi="仿宋" w:eastAsia="仿宋" w:cs="仿宋"/>
          <w:b/>
          <w:sz w:val="30"/>
          <w:highlight w:val="none"/>
        </w:rPr>
        <w:t>2026年1月</w:t>
      </w:r>
    </w:p>
    <w:p w14:paraId="3480E498">
      <w:pPr>
        <w:widowControl/>
        <w:snapToGrid w:val="0"/>
        <w:spacing w:line="480" w:lineRule="auto"/>
        <w:jc w:val="center"/>
        <w:rPr>
          <w:rFonts w:hint="eastAsia" w:ascii="仿宋" w:hAnsi="仿宋" w:eastAsia="仿宋" w:cs="仿宋"/>
          <w:b/>
          <w:highlight w:val="none"/>
        </w:rPr>
      </w:pPr>
    </w:p>
    <w:p w14:paraId="4FCE6446">
      <w:pPr>
        <w:widowControl/>
        <w:snapToGrid w:val="0"/>
        <w:spacing w:line="480" w:lineRule="auto"/>
        <w:jc w:val="center"/>
        <w:rPr>
          <w:rFonts w:hint="eastAsia" w:ascii="仿宋" w:hAnsi="仿宋" w:eastAsia="仿宋" w:cs="仿宋"/>
          <w:b/>
          <w:highlight w:val="none"/>
        </w:rPr>
      </w:pPr>
    </w:p>
    <w:p w14:paraId="3BE9AF17">
      <w:pPr>
        <w:widowControl/>
        <w:snapToGrid w:val="0"/>
        <w:spacing w:line="480" w:lineRule="auto"/>
        <w:jc w:val="center"/>
        <w:rPr>
          <w:rFonts w:hint="eastAsia" w:ascii="仿宋" w:hAnsi="仿宋" w:eastAsia="仿宋" w:cs="仿宋"/>
          <w:b/>
          <w:highlight w:val="none"/>
        </w:rPr>
      </w:pPr>
      <w:r>
        <w:rPr>
          <w:rFonts w:hint="eastAsia" w:ascii="仿宋" w:hAnsi="仿宋" w:eastAsia="仿宋" w:cs="仿宋"/>
          <w:b/>
          <w:highlight w:val="none"/>
        </w:rPr>
        <w:t>目  录</w:t>
      </w:r>
    </w:p>
    <w:p w14:paraId="0EEEE125">
      <w:pPr>
        <w:pStyle w:val="16"/>
        <w:tabs>
          <w:tab w:val="right" w:leader="dot" w:pos="8714"/>
        </w:tabs>
        <w:spacing w:line="480" w:lineRule="auto"/>
        <w:rPr>
          <w:rFonts w:hint="eastAsia" w:ascii="仿宋" w:hAnsi="仿宋" w:eastAsia="仿宋" w:cs="仿宋"/>
          <w:highlight w:val="none"/>
        </w:rPr>
      </w:pPr>
      <w:r>
        <w:rPr>
          <w:rFonts w:hint="eastAsia" w:ascii="仿宋" w:hAnsi="仿宋" w:eastAsia="仿宋" w:cs="仿宋"/>
          <w:bCs/>
          <w:sz w:val="24"/>
          <w:szCs w:val="24"/>
          <w:highlight w:val="none"/>
        </w:rPr>
        <w:fldChar w:fldCharType="begin"/>
      </w:r>
      <w:r>
        <w:rPr>
          <w:rFonts w:hint="eastAsia" w:ascii="仿宋" w:hAnsi="仿宋" w:eastAsia="仿宋" w:cs="仿宋"/>
          <w:bCs/>
          <w:sz w:val="24"/>
          <w:szCs w:val="24"/>
          <w:highlight w:val="none"/>
        </w:rPr>
        <w:instrText xml:space="preserve"> TOC \o "1-2" \h \z \u </w:instrText>
      </w:r>
      <w:r>
        <w:rPr>
          <w:rFonts w:hint="eastAsia" w:ascii="仿宋" w:hAnsi="仿宋" w:eastAsia="仿宋" w:cs="仿宋"/>
          <w:bCs/>
          <w:sz w:val="24"/>
          <w:szCs w:val="24"/>
          <w:highlight w:val="none"/>
        </w:rPr>
        <w:fldChar w:fldCharType="separate"/>
      </w:r>
      <w:r>
        <w:rPr>
          <w:highlight w:val="none"/>
        </w:rPr>
        <w:fldChar w:fldCharType="begin"/>
      </w:r>
      <w:r>
        <w:rPr>
          <w:highlight w:val="none"/>
        </w:rPr>
        <w:instrText xml:space="preserve"> HYPERLINK \l "_Toc1344" </w:instrText>
      </w:r>
      <w:r>
        <w:rPr>
          <w:highlight w:val="none"/>
        </w:rPr>
        <w:fldChar w:fldCharType="separate"/>
      </w:r>
      <w:r>
        <w:rPr>
          <w:rFonts w:hint="eastAsia" w:ascii="仿宋" w:hAnsi="仿宋" w:eastAsia="仿宋" w:cs="仿宋"/>
          <w:szCs w:val="36"/>
          <w:highlight w:val="none"/>
        </w:rPr>
        <w:t>第一章 竞争性比选公告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_Toc1344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D400F78">
      <w:pPr>
        <w:pStyle w:val="16"/>
        <w:tabs>
          <w:tab w:val="right" w:leader="dot" w:pos="8714"/>
        </w:tabs>
        <w:spacing w:line="480" w:lineRule="auto"/>
        <w:rPr>
          <w:rFonts w:hint="eastAsia" w:ascii="仿宋" w:hAnsi="仿宋" w:eastAsia="仿宋" w:cs="仿宋"/>
          <w:highlight w:val="none"/>
        </w:rPr>
      </w:pPr>
      <w:r>
        <w:rPr>
          <w:highlight w:val="none"/>
        </w:rPr>
        <w:fldChar w:fldCharType="begin"/>
      </w:r>
      <w:r>
        <w:rPr>
          <w:highlight w:val="none"/>
        </w:rPr>
        <w:instrText xml:space="preserve"> HYPERLINK \l "_Toc22475" </w:instrText>
      </w:r>
      <w:r>
        <w:rPr>
          <w:highlight w:val="none"/>
        </w:rPr>
        <w:fldChar w:fldCharType="separate"/>
      </w:r>
      <w:r>
        <w:rPr>
          <w:rFonts w:hint="eastAsia" w:ascii="仿宋" w:hAnsi="仿宋" w:eastAsia="仿宋" w:cs="仿宋"/>
          <w:szCs w:val="36"/>
          <w:highlight w:val="none"/>
        </w:rPr>
        <w:t>第二章 比选申请人须知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_Toc22475 \h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D9E764B">
      <w:pPr>
        <w:pStyle w:val="16"/>
        <w:tabs>
          <w:tab w:val="right" w:leader="dot" w:pos="8714"/>
        </w:tabs>
        <w:spacing w:line="480" w:lineRule="auto"/>
        <w:rPr>
          <w:rFonts w:hint="eastAsia" w:ascii="仿宋" w:hAnsi="仿宋" w:eastAsia="仿宋" w:cs="仿宋"/>
          <w:highlight w:val="none"/>
        </w:rPr>
      </w:pPr>
      <w:r>
        <w:rPr>
          <w:highlight w:val="none"/>
        </w:rPr>
        <w:fldChar w:fldCharType="begin"/>
      </w:r>
      <w:r>
        <w:rPr>
          <w:highlight w:val="none"/>
        </w:rPr>
        <w:instrText xml:space="preserve"> HYPERLINK \l "_Toc26150" </w:instrText>
      </w:r>
      <w:r>
        <w:rPr>
          <w:highlight w:val="none"/>
        </w:rPr>
        <w:fldChar w:fldCharType="separate"/>
      </w:r>
      <w:r>
        <w:rPr>
          <w:rFonts w:hint="eastAsia" w:ascii="仿宋" w:hAnsi="仿宋" w:eastAsia="仿宋" w:cs="仿宋"/>
          <w:szCs w:val="36"/>
          <w:highlight w:val="none"/>
        </w:rPr>
        <w:t>第三章 评选办法（综合评分办法）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_Toc26150 \h </w:instrText>
      </w:r>
      <w:r>
        <w:rPr>
          <w:rFonts w:hint="eastAsia" w:ascii="仿宋" w:hAnsi="仿宋" w:eastAsia="仿宋" w:cs="仿宋"/>
          <w:highlight w:val="none"/>
        </w:rPr>
        <w:fldChar w:fldCharType="separate"/>
      </w:r>
      <w:r>
        <w:rPr>
          <w:rFonts w:hint="eastAsia" w:ascii="仿宋" w:hAnsi="仿宋" w:eastAsia="仿宋" w:cs="仿宋"/>
          <w:highlight w:val="none"/>
        </w:rPr>
        <w:t>25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32CCCEC">
      <w:pPr>
        <w:pStyle w:val="16"/>
        <w:tabs>
          <w:tab w:val="right" w:leader="dot" w:pos="8714"/>
        </w:tabs>
        <w:spacing w:line="480" w:lineRule="auto"/>
        <w:rPr>
          <w:rFonts w:hint="eastAsia" w:ascii="仿宋" w:hAnsi="仿宋" w:eastAsia="仿宋" w:cs="仿宋"/>
          <w:highlight w:val="none"/>
        </w:rPr>
      </w:pPr>
      <w:r>
        <w:rPr>
          <w:highlight w:val="none"/>
        </w:rPr>
        <w:fldChar w:fldCharType="begin"/>
      </w:r>
      <w:r>
        <w:rPr>
          <w:highlight w:val="none"/>
        </w:rPr>
        <w:instrText xml:space="preserve"> HYPERLINK \l "_Toc17233" </w:instrText>
      </w:r>
      <w:r>
        <w:rPr>
          <w:highlight w:val="none"/>
        </w:rPr>
        <w:fldChar w:fldCharType="separate"/>
      </w:r>
      <w:r>
        <w:rPr>
          <w:rFonts w:hint="eastAsia" w:ascii="仿宋" w:hAnsi="仿宋" w:eastAsia="仿宋" w:cs="仿宋"/>
          <w:highlight w:val="none"/>
        </w:rPr>
        <w:t>第四章 合同条款及格式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_Toc17233 \h </w:instrText>
      </w:r>
      <w:r>
        <w:rPr>
          <w:rFonts w:hint="eastAsia" w:ascii="仿宋" w:hAnsi="仿宋" w:eastAsia="仿宋" w:cs="仿宋"/>
          <w:highlight w:val="none"/>
        </w:rPr>
        <w:fldChar w:fldCharType="separate"/>
      </w:r>
      <w:r>
        <w:rPr>
          <w:rFonts w:hint="eastAsia" w:ascii="仿宋" w:hAnsi="仿宋" w:eastAsia="仿宋" w:cs="仿宋"/>
          <w:highlight w:val="none"/>
        </w:rPr>
        <w:t>34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8BE63FC">
      <w:pPr>
        <w:pStyle w:val="16"/>
        <w:tabs>
          <w:tab w:val="right" w:leader="dot" w:pos="8714"/>
        </w:tabs>
        <w:spacing w:line="480" w:lineRule="auto"/>
        <w:rPr>
          <w:rFonts w:hint="eastAsia" w:ascii="仿宋" w:hAnsi="仿宋" w:eastAsia="仿宋" w:cs="仿宋"/>
          <w:highlight w:val="none"/>
        </w:rPr>
      </w:pPr>
      <w:r>
        <w:rPr>
          <w:highlight w:val="none"/>
        </w:rPr>
        <w:fldChar w:fldCharType="begin"/>
      </w:r>
      <w:r>
        <w:rPr>
          <w:highlight w:val="none"/>
        </w:rPr>
        <w:instrText xml:space="preserve"> HYPERLINK \l "_Toc26452" </w:instrText>
      </w:r>
      <w:r>
        <w:rPr>
          <w:highlight w:val="none"/>
        </w:rPr>
        <w:fldChar w:fldCharType="separate"/>
      </w:r>
      <w:r>
        <w:rPr>
          <w:rFonts w:hint="eastAsia" w:ascii="仿宋" w:hAnsi="仿宋" w:eastAsia="仿宋" w:cs="仿宋"/>
          <w:szCs w:val="36"/>
          <w:highlight w:val="none"/>
        </w:rPr>
        <w:t>第五章 技术标准和要求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_Toc26452 \h </w:instrText>
      </w:r>
      <w:r>
        <w:rPr>
          <w:rFonts w:hint="eastAsia" w:ascii="仿宋" w:hAnsi="仿宋" w:eastAsia="仿宋" w:cs="仿宋"/>
          <w:highlight w:val="none"/>
        </w:rPr>
        <w:fldChar w:fldCharType="separate"/>
      </w:r>
      <w:r>
        <w:rPr>
          <w:rFonts w:hint="eastAsia" w:ascii="仿宋" w:hAnsi="仿宋" w:eastAsia="仿宋" w:cs="仿宋"/>
          <w:highlight w:val="none"/>
        </w:rPr>
        <w:t>42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B0E83C0">
      <w:pPr>
        <w:pStyle w:val="16"/>
        <w:tabs>
          <w:tab w:val="right" w:leader="dot" w:pos="8714"/>
        </w:tabs>
        <w:spacing w:line="480" w:lineRule="auto"/>
        <w:rPr>
          <w:rFonts w:hint="eastAsia" w:ascii="仿宋" w:hAnsi="仿宋" w:eastAsia="仿宋" w:cs="仿宋"/>
          <w:highlight w:val="none"/>
        </w:rPr>
        <w:sectPr>
          <w:headerReference r:id="rId5" w:type="default"/>
          <w:footerReference r:id="rId6" w:type="default"/>
          <w:pgSz w:w="11906" w:h="16838"/>
          <w:pgMar w:top="935" w:right="1616" w:bottom="936" w:left="1576" w:header="851" w:footer="992" w:gutter="0"/>
          <w:pgNumType w:start="1"/>
          <w:cols w:space="720" w:num="1"/>
          <w:docGrid w:linePitch="312" w:charSpace="0"/>
        </w:sectPr>
      </w:pPr>
      <w:r>
        <w:rPr>
          <w:highlight w:val="none"/>
        </w:rPr>
        <w:fldChar w:fldCharType="begin"/>
      </w:r>
      <w:r>
        <w:rPr>
          <w:highlight w:val="none"/>
        </w:rPr>
        <w:instrText xml:space="preserve"> HYPERLINK \l "_Toc17859" </w:instrText>
      </w:r>
      <w:r>
        <w:rPr>
          <w:highlight w:val="none"/>
        </w:rPr>
        <w:fldChar w:fldCharType="separate"/>
      </w:r>
      <w:r>
        <w:rPr>
          <w:rFonts w:hint="eastAsia" w:ascii="仿宋" w:hAnsi="仿宋" w:eastAsia="仿宋" w:cs="仿宋"/>
          <w:szCs w:val="36"/>
          <w:highlight w:val="none"/>
        </w:rPr>
        <w:t>第六章 比选申请文件格式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_Toc17859 \h </w:instrText>
      </w:r>
      <w:r>
        <w:rPr>
          <w:rFonts w:hint="eastAsia" w:ascii="仿宋" w:hAnsi="仿宋" w:eastAsia="仿宋" w:cs="仿宋"/>
          <w:highlight w:val="none"/>
        </w:rPr>
        <w:fldChar w:fldCharType="separate"/>
      </w:r>
      <w:r>
        <w:rPr>
          <w:rFonts w:hint="eastAsia" w:ascii="仿宋" w:hAnsi="仿宋" w:eastAsia="仿宋" w:cs="仿宋"/>
          <w:highlight w:val="none"/>
        </w:rPr>
        <w:t>44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6E1485A">
      <w:pPr>
        <w:widowControl/>
        <w:tabs>
          <w:tab w:val="left" w:pos="1841"/>
        </w:tabs>
        <w:snapToGrid w:val="0"/>
        <w:spacing w:line="240" w:lineRule="auto"/>
        <w:jc w:val="center"/>
        <w:outlineLvl w:val="0"/>
        <w:rPr>
          <w:rFonts w:hint="eastAsia" w:ascii="仿宋" w:hAnsi="仿宋" w:eastAsia="仿宋" w:cs="仿宋"/>
          <w:b/>
          <w:snapToGrid w:val="0"/>
          <w:highlight w:val="none"/>
        </w:rPr>
      </w:pPr>
      <w:r>
        <w:rPr>
          <w:rFonts w:hint="eastAsia" w:ascii="仿宋" w:hAnsi="仿宋" w:eastAsia="仿宋" w:cs="仿宋"/>
          <w:bCs/>
          <w:szCs w:val="24"/>
          <w:highlight w:val="none"/>
        </w:rPr>
        <w:fldChar w:fldCharType="end"/>
      </w:r>
      <w:bookmarkStart w:id="0" w:name="_Toc1344"/>
      <w:r>
        <w:rPr>
          <w:rFonts w:hint="eastAsia" w:ascii="仿宋" w:hAnsi="仿宋" w:eastAsia="仿宋" w:cs="仿宋"/>
          <w:b/>
          <w:sz w:val="36"/>
          <w:szCs w:val="36"/>
          <w:highlight w:val="none"/>
        </w:rPr>
        <w:t>第一章  竞争性比选公告</w:t>
      </w:r>
      <w:bookmarkEnd w:id="0"/>
    </w:p>
    <w:p w14:paraId="0BA151E1">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重庆广阳湾生态城投资发展集团有限公司人力资源咨询服务比选公告</w:t>
      </w:r>
    </w:p>
    <w:p w14:paraId="46CEEC85">
      <w:pPr>
        <w:keepNext/>
        <w:keepLines/>
        <w:spacing w:line="360" w:lineRule="auto"/>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1.比选条件</w:t>
      </w:r>
    </w:p>
    <w:p w14:paraId="0B54849C">
      <w:pPr>
        <w:spacing w:line="360" w:lineRule="auto"/>
        <w:ind w:firstLine="420" w:firstLineChars="200"/>
        <w:rPr>
          <w:rFonts w:hint="eastAsia" w:ascii="仿宋" w:hAnsi="仿宋" w:eastAsia="仿宋" w:cs="仿宋"/>
          <w:sz w:val="21"/>
          <w:szCs w:val="21"/>
          <w:highlight w:val="none"/>
        </w:rPr>
      </w:pPr>
      <w:bookmarkStart w:id="1" w:name="_Toc25227"/>
      <w:bookmarkStart w:id="2" w:name="_Toc16681"/>
      <w:bookmarkStart w:id="3" w:name="_Toc184704554"/>
      <w:bookmarkStart w:id="4" w:name="_Toc429471767"/>
      <w:bookmarkStart w:id="5" w:name="_Toc263326659"/>
      <w:r>
        <w:rPr>
          <w:rFonts w:hint="eastAsia" w:ascii="仿宋" w:hAnsi="仿宋" w:eastAsia="仿宋" w:cs="仿宋"/>
          <w:sz w:val="21"/>
          <w:szCs w:val="21"/>
          <w:highlight w:val="none"/>
        </w:rPr>
        <w:t>本项目（重庆广阳湾生态城投资发展集团有限公司人力资源咨询服务）已批准实施，项目业主为重庆广阳湾生态城投资发展集团有限公司，</w:t>
      </w:r>
      <w:r>
        <w:rPr>
          <w:rFonts w:hint="eastAsia" w:ascii="仿宋" w:hAnsi="仿宋" w:eastAsia="仿宋" w:cs="仿宋"/>
          <w:sz w:val="21"/>
          <w:szCs w:val="21"/>
          <w:highlight w:val="none"/>
          <w:lang w:eastAsia="zh-CN"/>
        </w:rPr>
        <w:t>项目</w:t>
      </w:r>
      <w:r>
        <w:rPr>
          <w:rFonts w:hint="eastAsia" w:ascii="仿宋" w:hAnsi="仿宋" w:eastAsia="仿宋" w:cs="仿宋"/>
          <w:sz w:val="21"/>
          <w:szCs w:val="21"/>
          <w:highlight w:val="none"/>
        </w:rPr>
        <w:t>资金来自业主自筹，项目出资比例为100%，现对该项目进行竞争性比选。</w:t>
      </w:r>
      <w:bookmarkEnd w:id="1"/>
    </w:p>
    <w:p w14:paraId="4470036D">
      <w:pPr>
        <w:keepNext/>
        <w:keepLines/>
        <w:spacing w:line="360" w:lineRule="auto"/>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w:t>
      </w:r>
      <w:r>
        <w:rPr>
          <w:rFonts w:hint="eastAsia" w:ascii="仿宋" w:hAnsi="仿宋" w:eastAsia="仿宋" w:cs="仿宋"/>
          <w:bCs/>
          <w:sz w:val="21"/>
          <w:szCs w:val="21"/>
          <w:highlight w:val="none"/>
          <w:shd w:val="clear" w:color="auto" w:fill="FFFFFF"/>
        </w:rPr>
        <w:t>.</w:t>
      </w:r>
      <w:r>
        <w:rPr>
          <w:rFonts w:hint="eastAsia" w:ascii="仿宋" w:hAnsi="仿宋" w:eastAsia="仿宋" w:cs="仿宋"/>
          <w:b/>
          <w:bCs/>
          <w:sz w:val="21"/>
          <w:szCs w:val="21"/>
          <w:highlight w:val="none"/>
        </w:rPr>
        <w:t>项目概况与比选范围</w:t>
      </w:r>
      <w:bookmarkEnd w:id="2"/>
      <w:bookmarkEnd w:id="3"/>
      <w:bookmarkEnd w:id="4"/>
      <w:bookmarkEnd w:id="5"/>
    </w:p>
    <w:p w14:paraId="184053A0">
      <w:pPr>
        <w:spacing w:line="360" w:lineRule="auto"/>
        <w:ind w:firstLine="420" w:firstLineChars="200"/>
        <w:rPr>
          <w:rFonts w:hint="eastAsia" w:ascii="仿宋" w:hAnsi="仿宋" w:eastAsia="仿宋" w:cs="仿宋"/>
          <w:sz w:val="21"/>
          <w:szCs w:val="21"/>
          <w:highlight w:val="none"/>
        </w:rPr>
      </w:pPr>
      <w:bookmarkStart w:id="6" w:name="_Toc16761"/>
      <w:bookmarkStart w:id="7" w:name="_Toc184704555"/>
      <w:bookmarkStart w:id="8" w:name="_Toc429471768"/>
      <w:bookmarkStart w:id="9" w:name="_Toc263326660"/>
      <w:r>
        <w:rPr>
          <w:rFonts w:hint="eastAsia" w:ascii="仿宋" w:hAnsi="仿宋" w:eastAsia="仿宋" w:cs="仿宋"/>
          <w:sz w:val="21"/>
          <w:szCs w:val="21"/>
          <w:highlight w:val="none"/>
        </w:rPr>
        <w:t>2.1 服务地点：重庆经开区。</w:t>
      </w:r>
    </w:p>
    <w:p w14:paraId="76D4F198">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2.2 项目概况与建设规模：本项目旨在通过专业咨询服务，助力广阳湾投资集团与绿色公司两家企业顺利整合，并实现向科技公司的战略转型。核心服务涵盖转型专项规划、组织现状诊断与分析、职级体系设计、薪酬激励体系搭建、绩效管理体系构建、干部竞聘方案设计以及实施过程中的全程辅导与赋能七大模块，全面推动两家公司深度融合、管理体系优化及战略目标高效落地。</w:t>
      </w:r>
    </w:p>
    <w:p w14:paraId="62455791">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2.3计划服务期：</w:t>
      </w:r>
    </w:p>
    <w:p w14:paraId="193D3F8D">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（1）薪酬体系与绩效体系需于2026年3月31前完成全部设计并正式实施。</w:t>
      </w:r>
    </w:p>
    <w:p w14:paraId="5DBBD0F3">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（2）干部竞聘需于2026年4月30日前全部流程完成并落实到位。</w:t>
      </w:r>
    </w:p>
    <w:p w14:paraId="094BD41F">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2.4比选范围：按照集团要求，完成转型专项规划、组织现状诊断与分析、职级体系设计、薪酬激励体系搭建、绩效管理体系构建、干部竞聘方案设计与实施以及实施过程中的全程辅导与赋能七大模块内容。</w:t>
      </w:r>
    </w:p>
    <w:p w14:paraId="3D155492">
      <w:pPr>
        <w:keepNext/>
        <w:keepLines/>
        <w:spacing w:line="360" w:lineRule="auto"/>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3</w:t>
      </w:r>
      <w:bookmarkEnd w:id="6"/>
      <w:bookmarkEnd w:id="7"/>
      <w:bookmarkEnd w:id="8"/>
      <w:bookmarkEnd w:id="9"/>
      <w:r>
        <w:rPr>
          <w:rFonts w:hint="eastAsia" w:ascii="仿宋" w:hAnsi="仿宋" w:eastAsia="仿宋" w:cs="仿宋"/>
          <w:b/>
          <w:bCs/>
          <w:sz w:val="21"/>
          <w:szCs w:val="21"/>
          <w:highlight w:val="none"/>
        </w:rPr>
        <w:t>.比选申请人资格要求</w:t>
      </w:r>
    </w:p>
    <w:p w14:paraId="765A3E6D">
      <w:pPr>
        <w:adjustRightInd/>
        <w:snapToGrid w:val="0"/>
        <w:spacing w:line="312" w:lineRule="auto"/>
        <w:ind w:firstLine="420" w:firstLineChars="200"/>
        <w:jc w:val="left"/>
        <w:rPr>
          <w:rFonts w:hint="eastAsia" w:ascii="仿宋" w:hAnsi="仿宋" w:eastAsia="仿宋" w:cs="仿宋"/>
          <w:sz w:val="21"/>
          <w:szCs w:val="21"/>
          <w:highlight w:val="none"/>
        </w:rPr>
      </w:pPr>
      <w:bookmarkStart w:id="10" w:name="_Toc198022728"/>
      <w:bookmarkStart w:id="11" w:name="_Toc263326661"/>
      <w:bookmarkStart w:id="12" w:name="_Toc184704558"/>
      <w:bookmarkStart w:id="13" w:name="_Toc239574469"/>
      <w:r>
        <w:rPr>
          <w:rFonts w:hint="eastAsia" w:ascii="仿宋" w:hAnsi="仿宋" w:eastAsia="仿宋" w:cs="仿宋"/>
          <w:sz w:val="21"/>
          <w:szCs w:val="21"/>
          <w:highlight w:val="none"/>
        </w:rPr>
        <w:t>3.1  本次比选要求比选申请人须具备以下条件：</w:t>
      </w:r>
    </w:p>
    <w:p w14:paraId="7F19D02F">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3.1.1具有独立承担民事责任的能力；</w:t>
      </w:r>
    </w:p>
    <w:p w14:paraId="1C548D31">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3.1.2具有良好的商业信誉和健全的财务会计制度；</w:t>
      </w:r>
    </w:p>
    <w:p w14:paraId="72B95CDA">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3.1.3具有履行合同所必需的设备和专业技术能力；</w:t>
      </w:r>
    </w:p>
    <w:p w14:paraId="4C2BFF0C">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3.1.4有依法缴纳税收和社会保障资金的良好记录；</w:t>
      </w:r>
    </w:p>
    <w:p w14:paraId="4EE43FE8">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3.1.5参加政府采购活动前三年内，在经营活动中没有重大违法记录。</w:t>
      </w:r>
    </w:p>
    <w:p w14:paraId="25748B3D">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3.1.6法律、行政法规规定的其他条件。</w:t>
      </w:r>
    </w:p>
    <w:p w14:paraId="030E627B">
      <w:pPr>
        <w:pStyle w:val="54"/>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3.1.7比选申请人在组织与人力资源咨询领域拥有良好的市场声誉和丰富的成功案例，比选申请人自2022年1月1日至投标截止日止（以合同签订时间为准），承担过一个类似业绩。（类似业绩指开展企业管理咨询或组织变革或人力资源体系设计相关服务）</w:t>
      </w:r>
    </w:p>
    <w:p w14:paraId="59E4A874">
      <w:pPr>
        <w:pStyle w:val="54"/>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上述3.1.1-3.1.6要求由比选申请人出具</w:t>
      </w:r>
      <w:r>
        <w:rPr>
          <w:rFonts w:hint="eastAsia" w:ascii="仿宋" w:hAnsi="仿宋" w:eastAsia="仿宋" w:cs="仿宋"/>
          <w:b/>
          <w:sz w:val="21"/>
          <w:szCs w:val="21"/>
          <w:highlight w:val="none"/>
        </w:rPr>
        <w:t>“承诺函”（格式详见第六篇）</w:t>
      </w:r>
      <w:r>
        <w:rPr>
          <w:rFonts w:hint="eastAsia" w:ascii="仿宋" w:hAnsi="仿宋" w:eastAsia="仿宋" w:cs="仿宋"/>
          <w:sz w:val="21"/>
          <w:szCs w:val="21"/>
          <w:highlight w:val="none"/>
        </w:rPr>
        <w:t>。比选申请人提供的承诺函若经查证内容不实的，依照有关规定取消其中标资格，同时招标人保留将其列入失信记录、通报行业主管部门等责任追究方式。</w:t>
      </w:r>
    </w:p>
    <w:p w14:paraId="341F4495">
      <w:pPr>
        <w:pStyle w:val="54"/>
        <w:ind w:firstLine="420" w:firstLineChars="200"/>
        <w:rPr>
          <w:rFonts w:hint="eastAsia" w:ascii="仿宋" w:hAnsi="仿宋" w:eastAsia="仿宋" w:cs="仿宋"/>
          <w:highlight w:val="none"/>
        </w:rPr>
      </w:pPr>
      <w:r>
        <w:rPr>
          <w:rFonts w:hint="eastAsia" w:ascii="仿宋" w:hAnsi="仿宋" w:eastAsia="仿宋" w:cs="仿宋"/>
          <w:sz w:val="21"/>
          <w:szCs w:val="21"/>
          <w:highlight w:val="none"/>
        </w:rPr>
        <w:t>上述 3.1.7 需提供类似业绩合同协议，若协议无法体现业绩类型，则需附加相关证明材料。</w:t>
      </w:r>
    </w:p>
    <w:p w14:paraId="2E96DBD3">
      <w:pPr>
        <w:pStyle w:val="54"/>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3.2.拒绝下述比选申请人参加本次采购活动</w:t>
      </w:r>
    </w:p>
    <w:p w14:paraId="6C7C035E">
      <w:pPr>
        <w:pStyle w:val="54"/>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（1）比选申请人单位负责人为同一人或者存在直接控股、管理关系的，不得参加同一合同项下的采购活动；</w:t>
      </w:r>
    </w:p>
    <w:p w14:paraId="709FB4E4">
      <w:pPr>
        <w:pStyle w:val="54"/>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）比选申请人被“信用中国”网站（www.creditchina.gov.cn）、“中国政府采购网”(www.ccgp.gov.cn)列入失信被执行人、重大税收违法案件当事人名单、政府采购严重违法失信行为记录名单。</w:t>
      </w:r>
    </w:p>
    <w:p w14:paraId="39EB75DB">
      <w:pPr>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3.3  本项目不接受联合体参与投标，本项目不接受合同分包，否则按无效投标处理。</w:t>
      </w:r>
    </w:p>
    <w:bookmarkEnd w:id="10"/>
    <w:bookmarkEnd w:id="11"/>
    <w:bookmarkEnd w:id="12"/>
    <w:bookmarkEnd w:id="13"/>
    <w:p w14:paraId="1915231C">
      <w:pPr>
        <w:keepNext/>
        <w:keepLines/>
        <w:spacing w:line="360" w:lineRule="auto"/>
        <w:outlineLvl w:val="2"/>
        <w:rPr>
          <w:rFonts w:hint="eastAsia" w:ascii="仿宋" w:hAnsi="仿宋" w:eastAsia="仿宋" w:cs="仿宋"/>
          <w:b/>
          <w:bCs/>
          <w:sz w:val="21"/>
          <w:szCs w:val="21"/>
          <w:highlight w:val="none"/>
        </w:rPr>
      </w:pPr>
      <w:bookmarkStart w:id="14" w:name="_Toc184704560"/>
      <w:bookmarkStart w:id="15" w:name="_Toc263326663"/>
      <w:bookmarkStart w:id="16" w:name="_Toc429471772"/>
      <w:bookmarkStart w:id="17" w:name="_Toc1249"/>
      <w:r>
        <w:rPr>
          <w:rFonts w:hint="eastAsia" w:ascii="仿宋" w:hAnsi="仿宋" w:eastAsia="仿宋" w:cs="仿宋"/>
          <w:b/>
          <w:bCs/>
          <w:sz w:val="21"/>
          <w:szCs w:val="21"/>
          <w:highlight w:val="none"/>
        </w:rPr>
        <w:t>4</w:t>
      </w:r>
      <w:r>
        <w:rPr>
          <w:rFonts w:hint="eastAsia" w:ascii="仿宋" w:hAnsi="仿宋" w:eastAsia="仿宋" w:cs="仿宋"/>
          <w:bCs/>
          <w:sz w:val="21"/>
          <w:szCs w:val="21"/>
          <w:highlight w:val="none"/>
          <w:shd w:val="clear" w:color="auto" w:fill="FFFFFF"/>
        </w:rPr>
        <w:t>.</w:t>
      </w:r>
      <w:r>
        <w:rPr>
          <w:rFonts w:hint="eastAsia" w:ascii="仿宋" w:hAnsi="仿宋" w:eastAsia="仿宋" w:cs="仿宋"/>
          <w:b/>
          <w:bCs/>
          <w:sz w:val="21"/>
          <w:szCs w:val="21"/>
          <w:highlight w:val="none"/>
        </w:rPr>
        <w:t>比选文件的获取</w:t>
      </w:r>
    </w:p>
    <w:p w14:paraId="5AF0A6C3">
      <w:pPr>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4.1凡有意参加竞争性比选者，请于</w:t>
      </w:r>
      <w:r>
        <w:rPr>
          <w:rFonts w:hint="eastAsia" w:ascii="仿宋" w:hAnsi="仿宋" w:eastAsia="仿宋" w:cs="仿宋"/>
          <w:snapToGrid w:val="0"/>
          <w:sz w:val="21"/>
          <w:szCs w:val="21"/>
          <w:highlight w:val="none"/>
          <w:u w:val="single"/>
        </w:rPr>
        <w:t>2026</w:t>
      </w:r>
      <w:r>
        <w:rPr>
          <w:rFonts w:hint="eastAsia" w:ascii="仿宋" w:hAnsi="仿宋" w:eastAsia="仿宋" w:cs="仿宋"/>
          <w:sz w:val="21"/>
          <w:szCs w:val="21"/>
          <w:highlight w:val="none"/>
        </w:rPr>
        <w:t>年</w:t>
      </w:r>
      <w:r>
        <w:rPr>
          <w:rFonts w:hint="eastAsia" w:ascii="仿宋" w:hAnsi="仿宋" w:eastAsia="仿宋" w:cs="仿宋"/>
          <w:sz w:val="21"/>
          <w:szCs w:val="21"/>
          <w:highlight w:val="none"/>
          <w:u w:val="single"/>
        </w:rPr>
        <w:t>1</w:t>
      </w:r>
      <w:r>
        <w:rPr>
          <w:rFonts w:hint="eastAsia" w:ascii="仿宋" w:hAnsi="仿宋" w:eastAsia="仿宋" w:cs="仿宋"/>
          <w:sz w:val="21"/>
          <w:szCs w:val="21"/>
          <w:highlight w:val="none"/>
        </w:rPr>
        <w:t>月</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28</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日09:00时起，（北京时间，下同），在行采家（https://www.gec123.com/）和重庆广阳湾生态城投资发展集团有限公司官网（http://cq-gyw.com/）上仔细阅读和下载竞争性比选文件、澄清、修改、补充通知、比选控制价通知等全部内容之后将发售登记表发送至929458254@qq.com邮箱进行报名登记，不管下载与否都视为潜在比选申请人全部知晓有关比选过程和全部内容。</w:t>
      </w:r>
    </w:p>
    <w:p w14:paraId="5D3A6C84">
      <w:pPr>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4.2本竞争性比选公告开始发布至比选申请截止时间止，各比选申请人应随时关注行采家（https://www.gec123.com/）和重庆广阳湾生态城投资发展集团有限公司官网（http://cq-gyw.com/）上关于本竞争性比选项目相关修改或补充内容。</w:t>
      </w:r>
    </w:p>
    <w:p w14:paraId="2561F074">
      <w:pPr>
        <w:keepNext/>
        <w:keepLines/>
        <w:spacing w:line="360" w:lineRule="auto"/>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5.比选申请截止和比选时间及地点</w:t>
      </w:r>
    </w:p>
    <w:p w14:paraId="39524637">
      <w:pPr>
        <w:spacing w:line="360" w:lineRule="auto"/>
        <w:ind w:firstLine="420" w:firstLineChars="200"/>
        <w:jc w:val="left"/>
        <w:rPr>
          <w:rFonts w:hint="eastAsia" w:ascii="仿宋" w:hAnsi="仿宋" w:eastAsia="仿宋" w:cs="仿宋"/>
          <w:sz w:val="21"/>
          <w:szCs w:val="21"/>
          <w:highlight w:val="none"/>
        </w:rPr>
      </w:pPr>
      <w:bookmarkStart w:id="18" w:name="_Toc6579"/>
      <w:bookmarkStart w:id="19" w:name="_Toc429471771"/>
      <w:bookmarkStart w:id="20" w:name="_Toc263326662"/>
      <w:r>
        <w:rPr>
          <w:rFonts w:hint="eastAsia" w:ascii="仿宋" w:hAnsi="仿宋" w:eastAsia="仿宋" w:cs="仿宋"/>
          <w:snapToGrid w:val="0"/>
          <w:sz w:val="21"/>
          <w:szCs w:val="21"/>
          <w:highlight w:val="none"/>
        </w:rPr>
        <w:t>5.1  递交比选申请文件截止时间为</w:t>
      </w:r>
      <w:r>
        <w:rPr>
          <w:rFonts w:hint="eastAsia" w:ascii="仿宋" w:hAnsi="仿宋" w:eastAsia="仿宋" w:cs="仿宋"/>
          <w:snapToGrid w:val="0"/>
          <w:sz w:val="21"/>
          <w:szCs w:val="21"/>
          <w:highlight w:val="none"/>
          <w:u w:val="single"/>
        </w:rPr>
        <w:t xml:space="preserve"> 2026</w:t>
      </w:r>
      <w:r>
        <w:rPr>
          <w:rFonts w:hint="eastAsia" w:ascii="仿宋" w:hAnsi="仿宋" w:eastAsia="仿宋" w:cs="仿宋"/>
          <w:sz w:val="21"/>
          <w:szCs w:val="21"/>
          <w:highlight w:val="none"/>
        </w:rPr>
        <w:t>年</w:t>
      </w:r>
      <w:r>
        <w:rPr>
          <w:rFonts w:hint="eastAsia" w:ascii="仿宋" w:hAnsi="仿宋" w:eastAsia="仿宋" w:cs="仿宋"/>
          <w:sz w:val="21"/>
          <w:szCs w:val="21"/>
          <w:highlight w:val="none"/>
          <w:u w:val="single"/>
          <w:lang w:val="en-US" w:eastAsia="zh-CN"/>
        </w:rPr>
        <w:t>2</w:t>
      </w:r>
      <w:bookmarkStart w:id="556" w:name="_GoBack"/>
      <w:bookmarkEnd w:id="556"/>
      <w:r>
        <w:rPr>
          <w:rFonts w:hint="eastAsia" w:ascii="仿宋" w:hAnsi="仿宋" w:eastAsia="仿宋" w:cs="仿宋"/>
          <w:sz w:val="21"/>
          <w:szCs w:val="21"/>
          <w:highlight w:val="none"/>
        </w:rPr>
        <w:t>月</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6</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日</w:t>
      </w:r>
      <w:r>
        <w:rPr>
          <w:rFonts w:hint="eastAsia" w:ascii="仿宋" w:hAnsi="仿宋" w:eastAsia="仿宋" w:cs="仿宋"/>
          <w:snapToGrid w:val="0"/>
          <w:sz w:val="21"/>
          <w:szCs w:val="21"/>
          <w:highlight w:val="none"/>
          <w:u w:val="single"/>
        </w:rPr>
        <w:t>14</w:t>
      </w:r>
      <w:r>
        <w:rPr>
          <w:rFonts w:hint="eastAsia" w:ascii="仿宋" w:hAnsi="仿宋" w:eastAsia="仿宋" w:cs="仿宋"/>
          <w:snapToGrid w:val="0"/>
          <w:sz w:val="21"/>
          <w:szCs w:val="21"/>
          <w:highlight w:val="none"/>
        </w:rPr>
        <w:t>时</w:t>
      </w:r>
      <w:r>
        <w:rPr>
          <w:rFonts w:hint="eastAsia" w:ascii="仿宋" w:hAnsi="仿宋" w:eastAsia="仿宋" w:cs="仿宋"/>
          <w:snapToGrid w:val="0"/>
          <w:sz w:val="21"/>
          <w:szCs w:val="21"/>
          <w:highlight w:val="none"/>
          <w:u w:val="single"/>
        </w:rPr>
        <w:t>30</w:t>
      </w:r>
      <w:r>
        <w:rPr>
          <w:rFonts w:hint="eastAsia" w:ascii="仿宋" w:hAnsi="仿宋" w:eastAsia="仿宋" w:cs="仿宋"/>
          <w:snapToGrid w:val="0"/>
          <w:sz w:val="21"/>
          <w:szCs w:val="21"/>
          <w:highlight w:val="none"/>
        </w:rPr>
        <w:t>分，地点为重庆普聚工程咨询有限公司开标室（重庆市南岸区南坪南城大道199号17-2号）。</w:t>
      </w:r>
    </w:p>
    <w:p w14:paraId="245C8F0A">
      <w:pPr>
        <w:spacing w:line="360" w:lineRule="auto"/>
        <w:ind w:firstLine="420" w:firstLineChars="20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5.2  逾期送达或者未送达指定地点的比选申请文件，比选人不予受理。</w:t>
      </w:r>
    </w:p>
    <w:p w14:paraId="0DE82B0F">
      <w:pPr>
        <w:keepNext/>
        <w:keepLines/>
        <w:spacing w:line="360" w:lineRule="auto"/>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6</w:t>
      </w:r>
      <w:bookmarkStart w:id="21" w:name="_Toc184704559"/>
      <w:r>
        <w:rPr>
          <w:rFonts w:hint="eastAsia" w:ascii="仿宋" w:hAnsi="仿宋" w:eastAsia="仿宋" w:cs="仿宋"/>
          <w:bCs/>
          <w:sz w:val="21"/>
          <w:szCs w:val="21"/>
          <w:highlight w:val="none"/>
          <w:shd w:val="clear" w:color="auto" w:fill="FFFFFF"/>
        </w:rPr>
        <w:t>.</w:t>
      </w:r>
      <w:r>
        <w:rPr>
          <w:rFonts w:hint="eastAsia" w:ascii="仿宋" w:hAnsi="仿宋" w:eastAsia="仿宋" w:cs="仿宋"/>
          <w:b/>
          <w:bCs/>
          <w:sz w:val="21"/>
          <w:szCs w:val="21"/>
          <w:highlight w:val="none"/>
        </w:rPr>
        <w:t>发布比选公告的媒介</w:t>
      </w:r>
      <w:bookmarkEnd w:id="18"/>
      <w:bookmarkEnd w:id="19"/>
      <w:bookmarkEnd w:id="20"/>
      <w:bookmarkEnd w:id="21"/>
    </w:p>
    <w:p w14:paraId="1EC88950">
      <w:pPr>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本次比选公告在行采家（https://www.gec123.com/）和重庆广阳湾生态城投资发展集团有限公司官网（http://cq-gyw.com/）上发布。</w:t>
      </w:r>
    </w:p>
    <w:p w14:paraId="0E4871A5">
      <w:pPr>
        <w:keepNext/>
        <w:keepLines/>
        <w:spacing w:line="360" w:lineRule="auto"/>
        <w:outlineLvl w:val="2"/>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7</w:t>
      </w:r>
      <w:r>
        <w:rPr>
          <w:rFonts w:hint="eastAsia" w:ascii="仿宋" w:hAnsi="仿宋" w:eastAsia="仿宋" w:cs="仿宋"/>
          <w:bCs/>
          <w:sz w:val="21"/>
          <w:szCs w:val="21"/>
          <w:highlight w:val="none"/>
          <w:shd w:val="clear" w:color="auto" w:fill="FFFFFF"/>
        </w:rPr>
        <w:t>.</w:t>
      </w:r>
      <w:r>
        <w:rPr>
          <w:rFonts w:hint="eastAsia" w:ascii="仿宋" w:hAnsi="仿宋" w:eastAsia="仿宋" w:cs="仿宋"/>
          <w:b/>
          <w:bCs/>
          <w:sz w:val="21"/>
          <w:szCs w:val="21"/>
          <w:highlight w:val="none"/>
        </w:rPr>
        <w:t>联系方式</w:t>
      </w:r>
      <w:bookmarkEnd w:id="14"/>
      <w:bookmarkEnd w:id="15"/>
      <w:bookmarkEnd w:id="16"/>
      <w:bookmarkEnd w:id="17"/>
    </w:p>
    <w:p w14:paraId="0C3C8788">
      <w:pPr>
        <w:spacing w:line="36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比选人：重庆广阳湾生态城投资发展集团有限公司                      </w:t>
      </w:r>
    </w:p>
    <w:p w14:paraId="092835EA">
      <w:pPr>
        <w:spacing w:line="36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地  址：重庆市南岸区江桥路1号附1号 </w:t>
      </w:r>
    </w:p>
    <w:p w14:paraId="66A90CC0">
      <w:pPr>
        <w:tabs>
          <w:tab w:val="left" w:pos="5140"/>
          <w:tab w:val="left" w:pos="8420"/>
        </w:tabs>
        <w:autoSpaceDE w:val="0"/>
        <w:autoSpaceDN w:val="0"/>
        <w:snapToGrid w:val="0"/>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联系人：唐老师                            </w:t>
      </w:r>
    </w:p>
    <w:p w14:paraId="7E5B0B2C">
      <w:pPr>
        <w:tabs>
          <w:tab w:val="left" w:pos="5140"/>
          <w:tab w:val="left" w:pos="8420"/>
        </w:tabs>
        <w:autoSpaceDE w:val="0"/>
        <w:autoSpaceDN w:val="0"/>
        <w:snapToGrid w:val="0"/>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电  话：023-62823880</w:t>
      </w:r>
    </w:p>
    <w:p w14:paraId="05C886A2">
      <w:pPr>
        <w:tabs>
          <w:tab w:val="left" w:pos="5140"/>
          <w:tab w:val="left" w:pos="8420"/>
        </w:tabs>
        <w:autoSpaceDE w:val="0"/>
        <w:autoSpaceDN w:val="0"/>
        <w:snapToGrid w:val="0"/>
        <w:spacing w:line="360" w:lineRule="auto"/>
        <w:ind w:firstLine="420" w:firstLineChars="200"/>
        <w:jc w:val="left"/>
        <w:rPr>
          <w:rFonts w:hint="eastAsia" w:ascii="仿宋" w:hAnsi="仿宋" w:eastAsia="仿宋" w:cs="仿宋"/>
          <w:sz w:val="21"/>
          <w:szCs w:val="21"/>
          <w:highlight w:val="none"/>
        </w:rPr>
      </w:pPr>
    </w:p>
    <w:p w14:paraId="78E19AD6">
      <w:pPr>
        <w:spacing w:line="36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比选代理机构：重庆普聚工程咨询有限公司</w:t>
      </w:r>
    </w:p>
    <w:p w14:paraId="01FE0778">
      <w:pPr>
        <w:spacing w:line="36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地  址：重庆市南岸区南坪南城大道199号17-2号</w:t>
      </w:r>
    </w:p>
    <w:p w14:paraId="097146A9">
      <w:pPr>
        <w:spacing w:line="36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联系人：付老师  </w:t>
      </w:r>
    </w:p>
    <w:p w14:paraId="59B0807C">
      <w:pPr>
        <w:spacing w:line="360" w:lineRule="auto"/>
        <w:ind w:firstLine="420"/>
        <w:rPr>
          <w:rFonts w:hint="eastAsia" w:ascii="仿宋" w:hAnsi="仿宋" w:eastAsia="仿宋" w:cs="仿宋"/>
          <w:sz w:val="21"/>
          <w:highlight w:val="none"/>
        </w:rPr>
      </w:pPr>
      <w:r>
        <w:rPr>
          <w:rFonts w:hint="eastAsia" w:ascii="仿宋" w:hAnsi="仿宋" w:eastAsia="仿宋" w:cs="仿宋"/>
          <w:sz w:val="21"/>
          <w:szCs w:val="21"/>
          <w:highlight w:val="none"/>
        </w:rPr>
        <w:t xml:space="preserve">电  话：023-62482276                                           </w:t>
      </w:r>
    </w:p>
    <w:p w14:paraId="633E03A1">
      <w:pPr>
        <w:pageBreakBefore/>
        <w:widowControl/>
        <w:snapToGrid w:val="0"/>
        <w:jc w:val="center"/>
        <w:outlineLvl w:val="0"/>
        <w:rPr>
          <w:rFonts w:hint="eastAsia" w:ascii="仿宋" w:hAnsi="仿宋" w:eastAsia="仿宋" w:cs="仿宋"/>
          <w:b/>
          <w:sz w:val="36"/>
          <w:szCs w:val="36"/>
          <w:highlight w:val="none"/>
        </w:rPr>
      </w:pPr>
      <w:bookmarkStart w:id="22" w:name="_Toc22475"/>
      <w:bookmarkStart w:id="23" w:name="_Toc492244441"/>
      <w:bookmarkStart w:id="24" w:name="_Toc430205966"/>
      <w:r>
        <w:rPr>
          <w:rFonts w:hint="eastAsia" w:ascii="仿宋" w:hAnsi="仿宋" w:eastAsia="仿宋" w:cs="仿宋"/>
          <w:b/>
          <w:sz w:val="36"/>
          <w:szCs w:val="36"/>
          <w:highlight w:val="none"/>
        </w:rPr>
        <w:t>第二章  比选申请人须知</w:t>
      </w:r>
      <w:bookmarkEnd w:id="22"/>
      <w:bookmarkEnd w:id="23"/>
      <w:bookmarkEnd w:id="24"/>
    </w:p>
    <w:p w14:paraId="5D1E2C4D">
      <w:pPr>
        <w:spacing w:line="360" w:lineRule="auto"/>
        <w:outlineLvl w:val="1"/>
        <w:rPr>
          <w:rFonts w:hint="eastAsia" w:ascii="仿宋" w:hAnsi="仿宋" w:eastAsia="仿宋" w:cs="仿宋"/>
          <w:b/>
          <w:sz w:val="24"/>
          <w:highlight w:val="none"/>
        </w:rPr>
      </w:pPr>
      <w:bookmarkStart w:id="25" w:name="_Toc430205967"/>
      <w:bookmarkStart w:id="26" w:name="_Toc26954"/>
      <w:bookmarkStart w:id="27" w:name="_Toc21666"/>
      <w:bookmarkStart w:id="28" w:name="_Toc24020"/>
      <w:bookmarkStart w:id="29" w:name="_Toc492244442"/>
      <w:bookmarkStart w:id="30" w:name="_Toc20146"/>
      <w:r>
        <w:rPr>
          <w:rFonts w:hint="eastAsia" w:ascii="仿宋" w:hAnsi="仿宋" w:eastAsia="仿宋" w:cs="仿宋"/>
          <w:b/>
          <w:sz w:val="24"/>
          <w:highlight w:val="none"/>
        </w:rPr>
        <w:t>比选申请人须知前附表</w:t>
      </w:r>
      <w:bookmarkEnd w:id="25"/>
      <w:bookmarkEnd w:id="26"/>
      <w:bookmarkEnd w:id="27"/>
      <w:bookmarkEnd w:id="28"/>
      <w:bookmarkEnd w:id="29"/>
      <w:bookmarkEnd w:id="30"/>
    </w:p>
    <w:p w14:paraId="699666A1">
      <w:pPr>
        <w:tabs>
          <w:tab w:val="left" w:pos="2032"/>
        </w:tabs>
        <w:autoSpaceDE w:val="0"/>
        <w:autoSpaceDN w:val="0"/>
        <w:spacing w:line="360" w:lineRule="auto"/>
        <w:ind w:firstLine="361" w:firstLineChars="150"/>
        <w:rPr>
          <w:rFonts w:hint="eastAsia" w:ascii="仿宋" w:hAnsi="仿宋" w:eastAsia="仿宋" w:cs="仿宋"/>
          <w:b/>
          <w:sz w:val="24"/>
          <w:highlight w:val="none"/>
        </w:rPr>
      </w:pPr>
      <w:bookmarkStart w:id="31" w:name="_Toc492244443"/>
      <w:bookmarkStart w:id="32" w:name="_Toc12294"/>
      <w:r>
        <w:rPr>
          <w:rFonts w:hint="eastAsia" w:ascii="仿宋" w:hAnsi="仿宋" w:eastAsia="仿宋" w:cs="仿宋"/>
          <w:b/>
          <w:sz w:val="24"/>
          <w:highlight w:val="none"/>
        </w:rPr>
        <w:t>若比选申请人须知前附表与正文不一致的地方，以比选申请人须知前附表为准。</w:t>
      </w:r>
      <w:bookmarkEnd w:id="31"/>
      <w:bookmarkEnd w:id="32"/>
    </w:p>
    <w:tbl>
      <w:tblPr>
        <w:tblStyle w:val="24"/>
        <w:tblW w:w="8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51"/>
        <w:gridCol w:w="6131"/>
      </w:tblGrid>
      <w:tr w14:paraId="11D1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59" w:type="dxa"/>
          </w:tcPr>
          <w:p w14:paraId="49EC1477">
            <w:pPr>
              <w:spacing w:line="360" w:lineRule="auto"/>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条款号</w:t>
            </w:r>
          </w:p>
        </w:tc>
        <w:tc>
          <w:tcPr>
            <w:tcW w:w="1751" w:type="dxa"/>
          </w:tcPr>
          <w:p w14:paraId="00D9FB3E">
            <w:pPr>
              <w:spacing w:line="360" w:lineRule="auto"/>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条 款 名 称</w:t>
            </w:r>
          </w:p>
        </w:tc>
        <w:tc>
          <w:tcPr>
            <w:tcW w:w="6131" w:type="dxa"/>
          </w:tcPr>
          <w:p w14:paraId="45881D1D">
            <w:pPr>
              <w:spacing w:line="360" w:lineRule="auto"/>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编 列 内 容</w:t>
            </w:r>
          </w:p>
        </w:tc>
      </w:tr>
      <w:tr w14:paraId="161F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9" w:type="dxa"/>
            <w:vAlign w:val="center"/>
          </w:tcPr>
          <w:p w14:paraId="37A93C85">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1.1.2</w:t>
            </w:r>
          </w:p>
        </w:tc>
        <w:tc>
          <w:tcPr>
            <w:tcW w:w="1751" w:type="dxa"/>
            <w:vAlign w:val="center"/>
          </w:tcPr>
          <w:p w14:paraId="72837DD3">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比选人</w:t>
            </w:r>
          </w:p>
        </w:tc>
        <w:tc>
          <w:tcPr>
            <w:tcW w:w="6131" w:type="dxa"/>
            <w:vAlign w:val="center"/>
          </w:tcPr>
          <w:p w14:paraId="397EFABE">
            <w:pPr>
              <w:spacing w:line="36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比选人：重庆广阳湾生态城投资发展集团有限公司                      </w:t>
            </w:r>
          </w:p>
          <w:p w14:paraId="576624DD">
            <w:pPr>
              <w:spacing w:line="36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地  址： </w:t>
            </w:r>
            <w:r>
              <w:rPr>
                <w:rFonts w:hint="eastAsia" w:ascii="仿宋" w:hAnsi="仿宋" w:eastAsia="仿宋" w:cs="仿宋"/>
                <w:snapToGrid w:val="0"/>
                <w:sz w:val="21"/>
                <w:szCs w:val="21"/>
                <w:highlight w:val="none"/>
              </w:rPr>
              <w:t>重庆市南岸区江桥路1号附1号</w:t>
            </w:r>
          </w:p>
          <w:p w14:paraId="04A103F6">
            <w:pPr>
              <w:tabs>
                <w:tab w:val="left" w:pos="5140"/>
                <w:tab w:val="left" w:pos="8420"/>
              </w:tabs>
              <w:autoSpaceDE w:val="0"/>
              <w:autoSpaceDN w:val="0"/>
              <w:snapToGrid w:val="0"/>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联系人：唐老师                            </w:t>
            </w:r>
          </w:p>
          <w:p w14:paraId="3021A765">
            <w:pPr>
              <w:tabs>
                <w:tab w:val="left" w:pos="5140"/>
                <w:tab w:val="left" w:pos="8420"/>
              </w:tabs>
              <w:autoSpaceDE w:val="0"/>
              <w:autoSpaceDN w:val="0"/>
              <w:snapToGrid w:val="0"/>
              <w:spacing w:line="360" w:lineRule="auto"/>
              <w:ind w:firstLine="420" w:firstLineChars="200"/>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电  话：023-62823880</w:t>
            </w:r>
          </w:p>
        </w:tc>
      </w:tr>
      <w:tr w14:paraId="7A50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59" w:type="dxa"/>
            <w:vAlign w:val="center"/>
          </w:tcPr>
          <w:p w14:paraId="55AD521F">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1.1.3</w:t>
            </w:r>
          </w:p>
        </w:tc>
        <w:tc>
          <w:tcPr>
            <w:tcW w:w="1751" w:type="dxa"/>
            <w:vAlign w:val="center"/>
          </w:tcPr>
          <w:p w14:paraId="75346199">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比选代理机构</w:t>
            </w:r>
          </w:p>
        </w:tc>
        <w:tc>
          <w:tcPr>
            <w:tcW w:w="6131" w:type="dxa"/>
            <w:vAlign w:val="center"/>
          </w:tcPr>
          <w:p w14:paraId="759131D3">
            <w:pPr>
              <w:spacing w:line="36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比选代理机构：重庆普聚工程咨询有限公司</w:t>
            </w:r>
          </w:p>
          <w:p w14:paraId="5E31669C">
            <w:pPr>
              <w:spacing w:line="36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地  址：重庆市南岸区南坪南城大道199号17-2号</w:t>
            </w:r>
          </w:p>
          <w:p w14:paraId="283A4B5C">
            <w:pPr>
              <w:spacing w:line="36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联系人：付老师  </w:t>
            </w:r>
          </w:p>
          <w:p w14:paraId="5F69D659">
            <w:pPr>
              <w:spacing w:line="360" w:lineRule="auto"/>
              <w:ind w:firstLine="420"/>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 xml:space="preserve">电  话：023-62482276 </w:t>
            </w:r>
            <w:r>
              <w:rPr>
                <w:rFonts w:hint="eastAsia" w:ascii="仿宋" w:hAnsi="仿宋" w:eastAsia="仿宋" w:cs="仿宋"/>
                <w:sz w:val="21"/>
                <w:szCs w:val="21"/>
                <w:highlight w:val="none"/>
                <w:lang w:val="zh-CN"/>
              </w:rPr>
              <w:t xml:space="preserve"> </w:t>
            </w:r>
          </w:p>
        </w:tc>
      </w:tr>
      <w:tr w14:paraId="261E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9" w:type="dxa"/>
            <w:vAlign w:val="center"/>
          </w:tcPr>
          <w:p w14:paraId="0D43E5DE">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1.1.4</w:t>
            </w:r>
          </w:p>
        </w:tc>
        <w:tc>
          <w:tcPr>
            <w:tcW w:w="1751" w:type="dxa"/>
            <w:vAlign w:val="center"/>
          </w:tcPr>
          <w:p w14:paraId="00D62ED3">
            <w:pPr>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项目名称</w:t>
            </w:r>
          </w:p>
        </w:tc>
        <w:tc>
          <w:tcPr>
            <w:tcW w:w="6131" w:type="dxa"/>
            <w:vAlign w:val="center"/>
          </w:tcPr>
          <w:p w14:paraId="33CEF878">
            <w:pPr>
              <w:tabs>
                <w:tab w:val="left" w:pos="5140"/>
                <w:tab w:val="left" w:pos="8420"/>
              </w:tabs>
              <w:autoSpaceDE w:val="0"/>
              <w:autoSpaceDN w:val="0"/>
              <w:snapToGrid w:val="0"/>
              <w:spacing w:line="400" w:lineRule="exact"/>
              <w:ind w:firstLine="420" w:firstLineChars="200"/>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重庆广阳湾生态城投资发展集团有限公司人力资源咨询服务</w:t>
            </w:r>
          </w:p>
        </w:tc>
      </w:tr>
      <w:tr w14:paraId="6432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9" w:type="dxa"/>
            <w:vAlign w:val="center"/>
          </w:tcPr>
          <w:p w14:paraId="0A84E424">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1.1.5</w:t>
            </w:r>
          </w:p>
        </w:tc>
        <w:tc>
          <w:tcPr>
            <w:tcW w:w="1751" w:type="dxa"/>
            <w:vAlign w:val="center"/>
          </w:tcPr>
          <w:p w14:paraId="2730EE04">
            <w:pPr>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建设地点</w:t>
            </w:r>
          </w:p>
        </w:tc>
        <w:tc>
          <w:tcPr>
            <w:tcW w:w="6131" w:type="dxa"/>
            <w:vAlign w:val="center"/>
          </w:tcPr>
          <w:p w14:paraId="1B27E2BD">
            <w:pPr>
              <w:tabs>
                <w:tab w:val="left" w:pos="5140"/>
                <w:tab w:val="left" w:pos="8420"/>
              </w:tabs>
              <w:autoSpaceDE w:val="0"/>
              <w:autoSpaceDN w:val="0"/>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重庆经开区 </w:t>
            </w:r>
          </w:p>
        </w:tc>
      </w:tr>
      <w:tr w14:paraId="768A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9" w:type="dxa"/>
            <w:vAlign w:val="center"/>
          </w:tcPr>
          <w:p w14:paraId="744AE653">
            <w:pPr>
              <w:spacing w:line="360" w:lineRule="auto"/>
              <w:jc w:val="center"/>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1.1.6</w:t>
            </w:r>
          </w:p>
        </w:tc>
        <w:tc>
          <w:tcPr>
            <w:tcW w:w="1751" w:type="dxa"/>
            <w:vAlign w:val="center"/>
          </w:tcPr>
          <w:p w14:paraId="7872F848">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项目概况与建设规模</w:t>
            </w:r>
          </w:p>
        </w:tc>
        <w:tc>
          <w:tcPr>
            <w:tcW w:w="6131" w:type="dxa"/>
            <w:vAlign w:val="center"/>
          </w:tcPr>
          <w:p w14:paraId="6DABE55A">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本项目旨在通过专业咨询服务，助力广阳湾投资集团与绿色公司两家企业顺利整合，并实现向科技公司的战略转型。核心服务涵盖转型专项规划、组织现状诊断与分析、职级体系设计、薪酬激励体系搭建、绩效管理体系构建、干部竞聘方案设计与实施以及实施过程中的全程辅导与赋能七大模块，全面推动两家公司深度融合、管理体系优化及战略目标高效落地。</w:t>
            </w:r>
          </w:p>
        </w:tc>
      </w:tr>
      <w:tr w14:paraId="1E6E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59" w:type="dxa"/>
            <w:vAlign w:val="center"/>
          </w:tcPr>
          <w:p w14:paraId="418E9EAE">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1.2.1</w:t>
            </w:r>
          </w:p>
        </w:tc>
        <w:tc>
          <w:tcPr>
            <w:tcW w:w="1751" w:type="dxa"/>
            <w:vAlign w:val="center"/>
          </w:tcPr>
          <w:p w14:paraId="176A5959">
            <w:pPr>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资金来源</w:t>
            </w:r>
          </w:p>
        </w:tc>
        <w:tc>
          <w:tcPr>
            <w:tcW w:w="6131" w:type="dxa"/>
            <w:vAlign w:val="center"/>
          </w:tcPr>
          <w:p w14:paraId="65F26087">
            <w:pPr>
              <w:tabs>
                <w:tab w:val="left" w:pos="5140"/>
                <w:tab w:val="left" w:pos="8420"/>
              </w:tabs>
              <w:autoSpaceDE w:val="0"/>
              <w:autoSpaceDN w:val="0"/>
              <w:snapToGrid w:val="0"/>
              <w:spacing w:line="24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业主自筹，项目出资比例为100%。</w:t>
            </w:r>
          </w:p>
        </w:tc>
      </w:tr>
      <w:tr w14:paraId="3D3F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59" w:type="dxa"/>
            <w:vAlign w:val="center"/>
          </w:tcPr>
          <w:p w14:paraId="00E453E4">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1.2.3</w:t>
            </w:r>
          </w:p>
        </w:tc>
        <w:tc>
          <w:tcPr>
            <w:tcW w:w="1751" w:type="dxa"/>
            <w:vAlign w:val="center"/>
          </w:tcPr>
          <w:p w14:paraId="5273024E">
            <w:pPr>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资金落实情况</w:t>
            </w:r>
          </w:p>
        </w:tc>
        <w:tc>
          <w:tcPr>
            <w:tcW w:w="6131" w:type="dxa"/>
            <w:vAlign w:val="center"/>
          </w:tcPr>
          <w:p w14:paraId="212C582F">
            <w:pPr>
              <w:spacing w:line="24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已落实</w:t>
            </w:r>
          </w:p>
        </w:tc>
      </w:tr>
      <w:tr w14:paraId="51C6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59" w:type="dxa"/>
            <w:vAlign w:val="center"/>
          </w:tcPr>
          <w:p w14:paraId="53A68A3A">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1.3.1</w:t>
            </w:r>
          </w:p>
        </w:tc>
        <w:tc>
          <w:tcPr>
            <w:tcW w:w="1751" w:type="dxa"/>
            <w:vAlign w:val="center"/>
          </w:tcPr>
          <w:p w14:paraId="3711A7E4">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竞争性比选范围</w:t>
            </w:r>
          </w:p>
        </w:tc>
        <w:tc>
          <w:tcPr>
            <w:tcW w:w="6131" w:type="dxa"/>
            <w:vAlign w:val="center"/>
          </w:tcPr>
          <w:p w14:paraId="3B62A0FB">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按照集团要求，完成转型专项规划、组织现状诊断与分析、职级体系设计、薪酬激励体系搭建、绩效管理体系构建、干部竞聘方案设计与实施以及实施过程中的全程辅导与赋能七大模块内容。</w:t>
            </w:r>
          </w:p>
        </w:tc>
      </w:tr>
      <w:tr w14:paraId="732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4BADA691">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1.3.2</w:t>
            </w:r>
          </w:p>
        </w:tc>
        <w:tc>
          <w:tcPr>
            <w:tcW w:w="1751" w:type="dxa"/>
            <w:vAlign w:val="center"/>
          </w:tcPr>
          <w:p w14:paraId="5FDBDA32">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服务期要求</w:t>
            </w:r>
          </w:p>
        </w:tc>
        <w:tc>
          <w:tcPr>
            <w:tcW w:w="6131" w:type="dxa"/>
            <w:vAlign w:val="center"/>
          </w:tcPr>
          <w:p w14:paraId="104EA1FC">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（1）薪酬体系与绩效体系需于2026年3月31前完成全部设计并正式实施。</w:t>
            </w:r>
          </w:p>
          <w:p w14:paraId="33A8F0A7">
            <w:pPr>
              <w:adjustRightInd/>
              <w:snapToGrid w:val="0"/>
              <w:spacing w:line="312" w:lineRule="auto"/>
              <w:ind w:firstLine="420" w:firstLineChars="200"/>
              <w:jc w:val="left"/>
              <w:rPr>
                <w:rFonts w:hint="eastAsia" w:ascii="仿宋" w:hAnsi="仿宋" w:eastAsia="仿宋" w:cs="仿宋"/>
                <w:highlight w:val="none"/>
              </w:rPr>
            </w:pPr>
            <w:r>
              <w:rPr>
                <w:rFonts w:hint="eastAsia" w:ascii="仿宋" w:hAnsi="仿宋" w:eastAsia="仿宋" w:cs="仿宋"/>
                <w:sz w:val="21"/>
                <w:szCs w:val="21"/>
                <w:highlight w:val="none"/>
              </w:rPr>
              <w:t>（2）干部竞聘需于2026年4月30日前全部流程完成并落实到位。</w:t>
            </w:r>
          </w:p>
        </w:tc>
      </w:tr>
      <w:tr w14:paraId="6C17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59" w:type="dxa"/>
            <w:vAlign w:val="center"/>
          </w:tcPr>
          <w:p w14:paraId="6DBDF681">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1.3.3</w:t>
            </w:r>
          </w:p>
        </w:tc>
        <w:tc>
          <w:tcPr>
            <w:tcW w:w="1751" w:type="dxa"/>
            <w:vAlign w:val="center"/>
          </w:tcPr>
          <w:p w14:paraId="2BA69698">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质量要求</w:t>
            </w:r>
          </w:p>
        </w:tc>
        <w:tc>
          <w:tcPr>
            <w:tcW w:w="6131" w:type="dxa"/>
            <w:vAlign w:val="center"/>
          </w:tcPr>
          <w:p w14:paraId="30EC1611">
            <w:pPr>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符合强制性质量标准，符合国家和重庆市现行有关规范要求，并达到合格标准。</w:t>
            </w:r>
          </w:p>
        </w:tc>
      </w:tr>
      <w:tr w14:paraId="784C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59" w:type="dxa"/>
            <w:vAlign w:val="center"/>
          </w:tcPr>
          <w:p w14:paraId="58565FC5">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1.3.4</w:t>
            </w:r>
          </w:p>
        </w:tc>
        <w:tc>
          <w:tcPr>
            <w:tcW w:w="1751" w:type="dxa"/>
            <w:vAlign w:val="center"/>
          </w:tcPr>
          <w:p w14:paraId="04A4F6A4">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比选文件的获取</w:t>
            </w:r>
          </w:p>
        </w:tc>
        <w:tc>
          <w:tcPr>
            <w:tcW w:w="6131" w:type="dxa"/>
            <w:vAlign w:val="center"/>
          </w:tcPr>
          <w:p w14:paraId="47969E89">
            <w:pPr>
              <w:spacing w:line="360" w:lineRule="auto"/>
              <w:ind w:firstLine="420" w:firstLineChars="200"/>
              <w:jc w:val="left"/>
              <w:rPr>
                <w:rFonts w:hint="eastAsia" w:ascii="仿宋" w:hAnsi="仿宋" w:eastAsia="仿宋" w:cs="仿宋"/>
                <w:snapToGrid w:val="0"/>
                <w:sz w:val="21"/>
                <w:szCs w:val="21"/>
                <w:highlight w:val="none"/>
              </w:rPr>
            </w:pPr>
            <w:r>
              <w:rPr>
                <w:rFonts w:hint="eastAsia" w:ascii="仿宋" w:hAnsi="仿宋" w:eastAsia="仿宋" w:cs="仿宋"/>
                <w:sz w:val="21"/>
                <w:szCs w:val="21"/>
                <w:highlight w:val="none"/>
              </w:rPr>
              <w:t>凡有意参加比选申请者，请于2026年 1月</w:t>
            </w:r>
            <w:r>
              <w:rPr>
                <w:rFonts w:hint="eastAsia" w:ascii="仿宋" w:hAnsi="仿宋" w:eastAsia="仿宋" w:cs="仿宋"/>
                <w:sz w:val="21"/>
                <w:szCs w:val="21"/>
                <w:highlight w:val="none"/>
                <w:lang w:val="en-US" w:eastAsia="zh-CN"/>
              </w:rPr>
              <w:t>28</w:t>
            </w:r>
            <w:r>
              <w:rPr>
                <w:rFonts w:hint="eastAsia" w:ascii="仿宋" w:hAnsi="仿宋" w:eastAsia="仿宋" w:cs="仿宋"/>
                <w:sz w:val="21"/>
                <w:szCs w:val="21"/>
                <w:highlight w:val="none"/>
              </w:rPr>
              <w:t>日起，（北京时间，下同），在行采家（https://www.gec123.com/）和重庆广阳湾生态城投资发展集团有限公司官网（http://cq-gyw.com/）规定区域仔细阅读和下载：竞争性比选文件、澄清、修改、补充通知、比选控制价通知等全部内容。不管下载与否都视为潜在比选申请人全部知晓有关竞争性比选过程和全部内容。</w:t>
            </w:r>
          </w:p>
        </w:tc>
      </w:tr>
      <w:tr w14:paraId="1A94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347B7E61">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1.4.1</w:t>
            </w:r>
          </w:p>
        </w:tc>
        <w:tc>
          <w:tcPr>
            <w:tcW w:w="1751" w:type="dxa"/>
            <w:vAlign w:val="center"/>
          </w:tcPr>
          <w:p w14:paraId="00AC2363">
            <w:pPr>
              <w:autoSpaceDE w:val="0"/>
              <w:autoSpaceDN w:val="0"/>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napToGrid w:val="0"/>
                <w:sz w:val="21"/>
                <w:szCs w:val="21"/>
                <w:highlight w:val="none"/>
              </w:rPr>
              <w:t>比选申请人的资格条件、能力和信誉</w:t>
            </w:r>
          </w:p>
        </w:tc>
        <w:tc>
          <w:tcPr>
            <w:tcW w:w="6131" w:type="dxa"/>
            <w:vAlign w:val="center"/>
          </w:tcPr>
          <w:p w14:paraId="66D63FC4">
            <w:pPr>
              <w:autoSpaceDE w:val="0"/>
              <w:autoSpaceDN w:val="0"/>
              <w:snapToGrid w:val="0"/>
              <w:spacing w:line="36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本项目招标实行资格后审，比选申请人应</w:t>
            </w:r>
            <w:bookmarkStart w:id="33" w:name="一是"/>
            <w:bookmarkEnd w:id="33"/>
            <w:r>
              <w:rPr>
                <w:rFonts w:hint="eastAsia" w:ascii="仿宋" w:hAnsi="仿宋" w:eastAsia="仿宋" w:cs="仿宋"/>
                <w:bCs/>
                <w:sz w:val="21"/>
                <w:szCs w:val="21"/>
                <w:highlight w:val="none"/>
              </w:rPr>
              <w:t>具备以下资格条件</w:t>
            </w:r>
          </w:p>
          <w:p w14:paraId="445921E3">
            <w:pPr>
              <w:autoSpaceDE w:val="0"/>
              <w:autoSpaceDN w:val="0"/>
              <w:snapToGrid w:val="0"/>
              <w:spacing w:line="36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比选申请人资格要求</w:t>
            </w:r>
          </w:p>
          <w:p w14:paraId="2A75E50C">
            <w:pPr>
              <w:autoSpaceDE w:val="0"/>
              <w:autoSpaceDN w:val="0"/>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bCs/>
                <w:sz w:val="21"/>
                <w:szCs w:val="21"/>
                <w:highlight w:val="none"/>
              </w:rPr>
              <w:t>1.本次比选要求比选申请人须具备以下条件：</w:t>
            </w:r>
          </w:p>
          <w:p w14:paraId="07E0C033">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1.1具有独立承担民事责任的能力；</w:t>
            </w:r>
          </w:p>
          <w:p w14:paraId="543A18E7">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1.2具有良好的商业信誉和健全的财务会计制度；</w:t>
            </w:r>
          </w:p>
          <w:p w14:paraId="53DA2E7B">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1.3具有履行合同所必需的设备和专业技术能力；</w:t>
            </w:r>
          </w:p>
          <w:p w14:paraId="74361958">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1.4有依法缴纳税收和社会保障资金的良好记录；</w:t>
            </w:r>
          </w:p>
          <w:p w14:paraId="5A773E0D">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1.5参加政府采购活动前三年内，在经营活动中没有重大违法记录。</w:t>
            </w:r>
          </w:p>
          <w:p w14:paraId="2B9466F2">
            <w:pPr>
              <w:adjustRightInd/>
              <w:snapToGrid w:val="0"/>
              <w:spacing w:line="312"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1.6法律、行政法规规定的其他条件。</w:t>
            </w:r>
          </w:p>
          <w:p w14:paraId="773E0CCE">
            <w:pPr>
              <w:pStyle w:val="54"/>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1.7在组织与人力资源咨询领域拥有良好的市场声誉和丰富的成功案例，比选申请人自2022年1月1日至投标截止日止，完成过一个类似业绩。（类似业绩指开展企业管理咨询或组织变革或人力资源体系设计相关服务）</w:t>
            </w:r>
          </w:p>
          <w:p w14:paraId="227E3233">
            <w:pPr>
              <w:pStyle w:val="54"/>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上述1.1-1.6要求由比选申请人出具承诺函，承诺函需体现相关内容。比选申请人提供的承诺函若经查证内容不实的，依照有关规定取消其中标资格，同时招标人保留将其列入失信记录、通报行业主管部门等责任追究方式。</w:t>
            </w:r>
          </w:p>
          <w:p w14:paraId="5E588FA3">
            <w:pPr>
              <w:pStyle w:val="54"/>
              <w:ind w:firstLine="420" w:firstLineChars="200"/>
              <w:rPr>
                <w:rFonts w:hint="eastAsia" w:ascii="仿宋" w:hAnsi="仿宋" w:eastAsia="仿宋" w:cs="仿宋"/>
                <w:highlight w:val="none"/>
              </w:rPr>
            </w:pPr>
            <w:r>
              <w:rPr>
                <w:rFonts w:hint="eastAsia" w:ascii="仿宋" w:hAnsi="仿宋" w:eastAsia="仿宋" w:cs="仿宋"/>
                <w:sz w:val="21"/>
                <w:szCs w:val="21"/>
                <w:highlight w:val="none"/>
              </w:rPr>
              <w:t>上述 1.7 需提供类似业绩合同协议，若协议无法体现业绩类型，则需附加相关证明材料。</w:t>
            </w:r>
          </w:p>
          <w:p w14:paraId="068B5A80">
            <w:pPr>
              <w:autoSpaceDE w:val="0"/>
              <w:autoSpaceDN w:val="0"/>
              <w:snapToGrid w:val="0"/>
              <w:spacing w:line="36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2.</w:t>
            </w:r>
            <w:r>
              <w:rPr>
                <w:rFonts w:hint="eastAsia" w:ascii="仿宋" w:hAnsi="仿宋" w:eastAsia="仿宋" w:cs="仿宋"/>
                <w:sz w:val="21"/>
                <w:szCs w:val="21"/>
                <w:highlight w:val="none"/>
              </w:rPr>
              <w:t>拒绝</w:t>
            </w:r>
            <w:r>
              <w:rPr>
                <w:rFonts w:hint="eastAsia" w:ascii="仿宋" w:hAnsi="仿宋" w:eastAsia="仿宋" w:cs="仿宋"/>
                <w:bCs/>
                <w:sz w:val="21"/>
                <w:szCs w:val="21"/>
                <w:highlight w:val="none"/>
              </w:rPr>
              <w:t>下述比选申请人参加本次采购活动</w:t>
            </w:r>
          </w:p>
          <w:p w14:paraId="2B1BA4C3">
            <w:pPr>
              <w:autoSpaceDE w:val="0"/>
              <w:autoSpaceDN w:val="0"/>
              <w:snapToGrid w:val="0"/>
              <w:spacing w:line="36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2.1比选申请人单位负责人为同一人或者存在直接控股、管理关系的，不得参加同一合同项下的采购活动；</w:t>
            </w:r>
          </w:p>
          <w:p w14:paraId="5E8C9286">
            <w:pPr>
              <w:autoSpaceDE w:val="0"/>
              <w:autoSpaceDN w:val="0"/>
              <w:snapToGrid w:val="0"/>
              <w:spacing w:line="36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2.2为采购项目提供整体设计、规范编制或者项目管理、监理、检测等服务的，不得参加本项目的采购活动；</w:t>
            </w:r>
          </w:p>
          <w:p w14:paraId="51DDF5AC">
            <w:pPr>
              <w:autoSpaceDE w:val="0"/>
              <w:autoSpaceDN w:val="0"/>
              <w:snapToGrid w:val="0"/>
              <w:spacing w:line="36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2.3比选申请人被“信用中国”网站（www.creditchina.gov.cn）、“中国政府采购网”(www.ccgp.gov.cn)列入失信被执行人、重大税收违法案件当事人名单、政府采购严重违法失信行为记录名单。</w:t>
            </w:r>
          </w:p>
          <w:p w14:paraId="4B269CE7">
            <w:pPr>
              <w:autoSpaceDE w:val="0"/>
              <w:autoSpaceDN w:val="0"/>
              <w:snapToGrid w:val="0"/>
              <w:spacing w:line="36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3.本项目不接受联合体参与投标，本项目不接受合同分包，否则按无效投标处理。</w:t>
            </w:r>
          </w:p>
          <w:p w14:paraId="235E2675">
            <w:pPr>
              <w:autoSpaceDE w:val="0"/>
              <w:autoSpaceDN w:val="0"/>
              <w:snapToGrid w:val="0"/>
              <w:spacing w:line="36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4.特别提示：</w:t>
            </w:r>
          </w:p>
          <w:p w14:paraId="6DF6167D">
            <w:pPr>
              <w:autoSpaceDE w:val="0"/>
              <w:autoSpaceDN w:val="0"/>
              <w:snapToGrid w:val="0"/>
              <w:spacing w:line="360" w:lineRule="auto"/>
              <w:ind w:firstLine="420" w:firstLineChars="200"/>
              <w:rPr>
                <w:rFonts w:hint="eastAsia" w:ascii="仿宋" w:hAnsi="仿宋" w:eastAsia="仿宋" w:cs="仿宋"/>
                <w:bCs/>
                <w:sz w:val="21"/>
                <w:szCs w:val="21"/>
                <w:highlight w:val="none"/>
              </w:rPr>
            </w:pPr>
            <w:r>
              <w:rPr>
                <w:rFonts w:hint="eastAsia" w:ascii="仿宋" w:hAnsi="仿宋" w:eastAsia="仿宋" w:cs="仿宋"/>
                <w:bCs/>
                <w:sz w:val="21"/>
                <w:szCs w:val="21"/>
                <w:highlight w:val="none"/>
              </w:rPr>
              <w:t>（1）比选人无论在任何时候均有权对比选申请人提供的以上资料进行核实，若发现资料存在虚假不实，比选人将有权随时取消其比选申请或中选资格，并追究其相应的法律责任。评审委员会评审时若出现比选申请人证件有疑点的，要立即向监督部门报告，交由监督部门处理。</w:t>
            </w:r>
          </w:p>
          <w:p w14:paraId="14C9BE43">
            <w:pPr>
              <w:autoSpaceDE w:val="0"/>
              <w:autoSpaceDN w:val="0"/>
              <w:snapToGrid w:val="0"/>
              <w:spacing w:line="360" w:lineRule="auto"/>
              <w:ind w:firstLine="420" w:firstLineChars="200"/>
              <w:rPr>
                <w:rFonts w:hint="eastAsia" w:ascii="仿宋" w:hAnsi="仿宋" w:eastAsia="仿宋" w:cs="仿宋"/>
                <w:b/>
                <w:sz w:val="21"/>
                <w:szCs w:val="21"/>
                <w:highlight w:val="none"/>
              </w:rPr>
            </w:pPr>
            <w:r>
              <w:rPr>
                <w:rFonts w:hint="eastAsia" w:ascii="仿宋" w:hAnsi="仿宋" w:eastAsia="仿宋" w:cs="仿宋"/>
                <w:bCs/>
                <w:sz w:val="21"/>
                <w:szCs w:val="21"/>
                <w:highlight w:val="none"/>
              </w:rPr>
              <w:t>（2）比选申请人的投标文件尽量使用原件扫描，必须清晰可辨；由于投标文件不清晰，导致否决比选申请，由比选申请人自行负责。</w:t>
            </w:r>
          </w:p>
        </w:tc>
      </w:tr>
      <w:tr w14:paraId="3C53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5873B73C">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1.4.2</w:t>
            </w:r>
          </w:p>
        </w:tc>
        <w:tc>
          <w:tcPr>
            <w:tcW w:w="1751" w:type="dxa"/>
            <w:vAlign w:val="center"/>
          </w:tcPr>
          <w:p w14:paraId="6A495A20">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是否接受</w:t>
            </w:r>
          </w:p>
          <w:p w14:paraId="1B137BF5">
            <w:pPr>
              <w:spacing w:line="360" w:lineRule="auto"/>
              <w:jc w:val="center"/>
              <w:rPr>
                <w:rFonts w:hint="eastAsia" w:ascii="仿宋" w:hAnsi="仿宋" w:eastAsia="仿宋" w:cs="仿宋"/>
                <w:snapToGrid w:val="0"/>
                <w:sz w:val="21"/>
                <w:szCs w:val="21"/>
                <w:highlight w:val="none"/>
              </w:rPr>
            </w:pPr>
            <w:r>
              <w:rPr>
                <w:rFonts w:hint="eastAsia" w:ascii="仿宋" w:hAnsi="仿宋" w:eastAsia="仿宋" w:cs="仿宋"/>
                <w:sz w:val="21"/>
                <w:szCs w:val="21"/>
                <w:highlight w:val="none"/>
              </w:rPr>
              <w:t>联合体</w:t>
            </w:r>
          </w:p>
        </w:tc>
        <w:tc>
          <w:tcPr>
            <w:tcW w:w="6131" w:type="dxa"/>
            <w:vAlign w:val="center"/>
          </w:tcPr>
          <w:p w14:paraId="558722EB">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不接受</w:t>
            </w:r>
          </w:p>
        </w:tc>
      </w:tr>
      <w:tr w14:paraId="7119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6B247BAB">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1.5.1</w:t>
            </w:r>
          </w:p>
        </w:tc>
        <w:tc>
          <w:tcPr>
            <w:tcW w:w="1751" w:type="dxa"/>
            <w:vAlign w:val="center"/>
          </w:tcPr>
          <w:p w14:paraId="71A94C8C">
            <w:pPr>
              <w:spacing w:line="360" w:lineRule="auto"/>
              <w:jc w:val="center"/>
              <w:rPr>
                <w:rFonts w:hint="eastAsia" w:ascii="仿宋" w:hAnsi="仿宋" w:eastAsia="仿宋" w:cs="仿宋"/>
                <w:snapToGrid w:val="0"/>
                <w:sz w:val="21"/>
                <w:szCs w:val="21"/>
                <w:highlight w:val="none"/>
              </w:rPr>
            </w:pPr>
            <w:r>
              <w:rPr>
                <w:rFonts w:hint="eastAsia" w:ascii="仿宋" w:hAnsi="仿宋" w:eastAsia="仿宋" w:cs="仿宋"/>
                <w:sz w:val="21"/>
                <w:szCs w:val="21"/>
                <w:highlight w:val="none"/>
              </w:rPr>
              <w:t>踏勘现场</w:t>
            </w:r>
          </w:p>
        </w:tc>
        <w:tc>
          <w:tcPr>
            <w:tcW w:w="6131" w:type="dxa"/>
            <w:vAlign w:val="center"/>
          </w:tcPr>
          <w:p w14:paraId="06EA99C3">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不组织</w:t>
            </w:r>
          </w:p>
        </w:tc>
      </w:tr>
      <w:tr w14:paraId="59EB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7C65BC5E">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1.5.1</w:t>
            </w:r>
          </w:p>
        </w:tc>
        <w:tc>
          <w:tcPr>
            <w:tcW w:w="1751" w:type="dxa"/>
            <w:vAlign w:val="center"/>
          </w:tcPr>
          <w:p w14:paraId="65F86040">
            <w:pPr>
              <w:spacing w:line="360" w:lineRule="auto"/>
              <w:jc w:val="center"/>
              <w:rPr>
                <w:rFonts w:hint="eastAsia" w:ascii="仿宋" w:hAnsi="仿宋" w:eastAsia="仿宋" w:cs="仿宋"/>
                <w:snapToGrid w:val="0"/>
                <w:sz w:val="21"/>
                <w:szCs w:val="21"/>
                <w:highlight w:val="none"/>
              </w:rPr>
            </w:pPr>
            <w:r>
              <w:rPr>
                <w:rFonts w:hint="eastAsia" w:ascii="仿宋" w:hAnsi="仿宋" w:eastAsia="仿宋" w:cs="仿宋"/>
                <w:sz w:val="21"/>
                <w:szCs w:val="21"/>
                <w:highlight w:val="none"/>
              </w:rPr>
              <w:t>预备会</w:t>
            </w:r>
          </w:p>
        </w:tc>
        <w:tc>
          <w:tcPr>
            <w:tcW w:w="6131" w:type="dxa"/>
            <w:vAlign w:val="center"/>
          </w:tcPr>
          <w:p w14:paraId="04916C11">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不召开</w:t>
            </w:r>
          </w:p>
        </w:tc>
      </w:tr>
      <w:tr w14:paraId="13E1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3AF91B92">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1.5.2</w:t>
            </w:r>
          </w:p>
        </w:tc>
        <w:tc>
          <w:tcPr>
            <w:tcW w:w="1751" w:type="dxa"/>
            <w:vAlign w:val="center"/>
          </w:tcPr>
          <w:p w14:paraId="01A3920D">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比选申请人提出问题的截止时间</w:t>
            </w:r>
          </w:p>
        </w:tc>
        <w:tc>
          <w:tcPr>
            <w:tcW w:w="6131" w:type="dxa"/>
            <w:vAlign w:val="center"/>
          </w:tcPr>
          <w:p w14:paraId="7B26A04F">
            <w:pPr>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比选申请人如对竞争性比选文件有质疑，须将质疑材料纸质件递交至招标代理机构，提出质疑时间应在</w:t>
            </w:r>
            <w:r>
              <w:rPr>
                <w:rFonts w:hint="eastAsia" w:ascii="仿宋" w:hAnsi="仿宋" w:eastAsia="仿宋" w:cs="仿宋"/>
                <w:sz w:val="21"/>
                <w:szCs w:val="21"/>
                <w:highlight w:val="none"/>
                <w:u w:val="single"/>
              </w:rPr>
              <w:t xml:space="preserve"> 2026</w:t>
            </w:r>
            <w:r>
              <w:rPr>
                <w:rFonts w:hint="eastAsia" w:ascii="仿宋" w:hAnsi="仿宋" w:eastAsia="仿宋" w:cs="仿宋"/>
                <w:sz w:val="21"/>
                <w:szCs w:val="21"/>
                <w:highlight w:val="none"/>
              </w:rPr>
              <w:t>年</w:t>
            </w:r>
            <w:r>
              <w:rPr>
                <w:rFonts w:hint="eastAsia" w:ascii="仿宋" w:hAnsi="仿宋" w:eastAsia="仿宋" w:cs="仿宋"/>
                <w:sz w:val="21"/>
                <w:szCs w:val="21"/>
                <w:highlight w:val="none"/>
                <w:u w:val="single"/>
              </w:rPr>
              <w:t>1</w:t>
            </w:r>
            <w:r>
              <w:rPr>
                <w:rFonts w:hint="eastAsia" w:ascii="仿宋" w:hAnsi="仿宋" w:eastAsia="仿宋" w:cs="仿宋"/>
                <w:sz w:val="21"/>
                <w:szCs w:val="21"/>
                <w:highlight w:val="none"/>
              </w:rPr>
              <w:t>月</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30</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日1</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:00时前（北京时间），过期不再受理质疑。</w:t>
            </w:r>
          </w:p>
        </w:tc>
      </w:tr>
      <w:tr w14:paraId="0675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3A07E6A3">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1.5.3</w:t>
            </w:r>
          </w:p>
        </w:tc>
        <w:tc>
          <w:tcPr>
            <w:tcW w:w="1751" w:type="dxa"/>
            <w:vAlign w:val="center"/>
          </w:tcPr>
          <w:p w14:paraId="5C27C5B1">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比选人澄清的截止时间</w:t>
            </w:r>
          </w:p>
        </w:tc>
        <w:tc>
          <w:tcPr>
            <w:tcW w:w="6131" w:type="dxa"/>
            <w:vAlign w:val="center"/>
          </w:tcPr>
          <w:p w14:paraId="7CD80644">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投标截止时间前，在行采家（https://www.gec123.com/）/重庆广阳湾生态城投资发展集团有限公司（http://cq-gyw.com/）发布答疑。</w:t>
            </w:r>
          </w:p>
        </w:tc>
      </w:tr>
      <w:tr w14:paraId="517A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5FD51B4E">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1.5.4</w:t>
            </w:r>
          </w:p>
        </w:tc>
        <w:tc>
          <w:tcPr>
            <w:tcW w:w="1751" w:type="dxa"/>
            <w:vAlign w:val="center"/>
          </w:tcPr>
          <w:p w14:paraId="0D856A7D">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比选人对比选文件进行补遗</w:t>
            </w:r>
          </w:p>
        </w:tc>
        <w:tc>
          <w:tcPr>
            <w:tcW w:w="6131" w:type="dxa"/>
            <w:vAlign w:val="center"/>
          </w:tcPr>
          <w:p w14:paraId="5252E725">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napToGrid w:val="0"/>
                <w:sz w:val="21"/>
                <w:szCs w:val="21"/>
                <w:highlight w:val="none"/>
              </w:rPr>
              <w:t>补遗内容可能影响比选申请文件编制的，须在比选申请截止时间</w:t>
            </w:r>
            <w:r>
              <w:rPr>
                <w:rFonts w:hint="eastAsia" w:ascii="仿宋" w:hAnsi="仿宋" w:eastAsia="仿宋" w:cs="仿宋"/>
                <w:snapToGrid w:val="0"/>
                <w:sz w:val="21"/>
                <w:szCs w:val="21"/>
                <w:highlight w:val="none"/>
                <w:lang w:val="en-US" w:eastAsia="zh-CN"/>
              </w:rPr>
              <w:t>2</w:t>
            </w:r>
            <w:r>
              <w:rPr>
                <w:rFonts w:hint="eastAsia" w:ascii="仿宋" w:hAnsi="仿宋" w:eastAsia="仿宋" w:cs="仿宋"/>
                <w:snapToGrid w:val="0"/>
                <w:sz w:val="21"/>
                <w:szCs w:val="21"/>
                <w:highlight w:val="none"/>
              </w:rPr>
              <w:t>日前发布，发布时间至比选申请截止时间不足</w:t>
            </w:r>
            <w:r>
              <w:rPr>
                <w:rFonts w:hint="eastAsia" w:ascii="仿宋" w:hAnsi="仿宋" w:eastAsia="仿宋" w:cs="仿宋"/>
                <w:snapToGrid w:val="0"/>
                <w:sz w:val="21"/>
                <w:szCs w:val="21"/>
                <w:highlight w:val="none"/>
                <w:lang w:val="en-US" w:eastAsia="zh-CN"/>
              </w:rPr>
              <w:t>2</w:t>
            </w:r>
            <w:r>
              <w:rPr>
                <w:rFonts w:hint="eastAsia" w:ascii="仿宋" w:hAnsi="仿宋" w:eastAsia="仿宋" w:cs="仿宋"/>
                <w:snapToGrid w:val="0"/>
                <w:sz w:val="21"/>
                <w:szCs w:val="21"/>
                <w:highlight w:val="none"/>
              </w:rPr>
              <w:t>日的，须相应延后比选申请截止时间。</w:t>
            </w:r>
          </w:p>
        </w:tc>
      </w:tr>
      <w:tr w14:paraId="1667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5D668051">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1.6</w:t>
            </w:r>
          </w:p>
        </w:tc>
        <w:tc>
          <w:tcPr>
            <w:tcW w:w="1751" w:type="dxa"/>
            <w:vAlign w:val="center"/>
          </w:tcPr>
          <w:p w14:paraId="40558DAD">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分包</w:t>
            </w:r>
          </w:p>
        </w:tc>
        <w:tc>
          <w:tcPr>
            <w:tcW w:w="6131" w:type="dxa"/>
            <w:vAlign w:val="center"/>
          </w:tcPr>
          <w:p w14:paraId="2D28EF0E">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不允许</w:t>
            </w:r>
          </w:p>
        </w:tc>
      </w:tr>
      <w:tr w14:paraId="7907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230A6A56">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2.1</w:t>
            </w:r>
          </w:p>
        </w:tc>
        <w:tc>
          <w:tcPr>
            <w:tcW w:w="1751" w:type="dxa"/>
            <w:vAlign w:val="center"/>
          </w:tcPr>
          <w:p w14:paraId="619E2D06">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构成比选申请文件的其他材料</w:t>
            </w:r>
          </w:p>
        </w:tc>
        <w:tc>
          <w:tcPr>
            <w:tcW w:w="6131" w:type="dxa"/>
            <w:vAlign w:val="center"/>
          </w:tcPr>
          <w:p w14:paraId="0C321979">
            <w:pPr>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比选人发出的澄清及修改</w:t>
            </w:r>
          </w:p>
        </w:tc>
      </w:tr>
      <w:tr w14:paraId="592E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3F045E25">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2.2.2</w:t>
            </w:r>
          </w:p>
        </w:tc>
        <w:tc>
          <w:tcPr>
            <w:tcW w:w="1751" w:type="dxa"/>
            <w:vAlign w:val="center"/>
          </w:tcPr>
          <w:p w14:paraId="259C81FE">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比选申请截止时间</w:t>
            </w:r>
          </w:p>
        </w:tc>
        <w:tc>
          <w:tcPr>
            <w:tcW w:w="6131" w:type="dxa"/>
            <w:vAlign w:val="center"/>
          </w:tcPr>
          <w:p w14:paraId="0033AADE">
            <w:pPr>
              <w:snapToGrid w:val="0"/>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详见比选公告规定的比选申请截止时间。</w:t>
            </w:r>
          </w:p>
        </w:tc>
      </w:tr>
      <w:tr w14:paraId="5C74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726D5ADD">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3.1.1</w:t>
            </w:r>
          </w:p>
        </w:tc>
        <w:tc>
          <w:tcPr>
            <w:tcW w:w="1751" w:type="dxa"/>
            <w:vAlign w:val="center"/>
          </w:tcPr>
          <w:p w14:paraId="6843B91C">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构成竞争性比选文件的其他材料</w:t>
            </w:r>
          </w:p>
        </w:tc>
        <w:tc>
          <w:tcPr>
            <w:tcW w:w="6131" w:type="dxa"/>
            <w:vAlign w:val="center"/>
          </w:tcPr>
          <w:p w14:paraId="09214583">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澄清、说明、补遗等材料（但不能改变实质性内容）</w:t>
            </w:r>
          </w:p>
        </w:tc>
      </w:tr>
      <w:tr w14:paraId="1853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76ADA0AB">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3.2</w:t>
            </w:r>
          </w:p>
        </w:tc>
        <w:tc>
          <w:tcPr>
            <w:tcW w:w="1751" w:type="dxa"/>
            <w:vAlign w:val="center"/>
          </w:tcPr>
          <w:p w14:paraId="7DF9A4D2">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比选申请报价</w:t>
            </w:r>
          </w:p>
        </w:tc>
        <w:tc>
          <w:tcPr>
            <w:tcW w:w="6131" w:type="dxa"/>
            <w:vAlign w:val="center"/>
          </w:tcPr>
          <w:p w14:paraId="6D351149">
            <w:pPr>
              <w:snapToGrid w:val="0"/>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本项目报价须为人民币报价，采用固定服务总价方式，报价应涵盖完成所有采购需求所需提供的技术服务以及相关成果交付的全部费用。 包括但不限于完成本项目所需的技术服务费、数据收集和整理费、报告编制费、人工费、差旅费、交通费、管理费、通讯费、保险费、代理服务费、管理费及提供服务所需的相关设备费用及各种应纳的税费等全部费用。因中标人自身原因造成漏报、少报皆由其自行承担责任，招标人不再补偿。</w:t>
            </w:r>
          </w:p>
          <w:p w14:paraId="27E5073F">
            <w:pPr>
              <w:snapToGrid w:val="0"/>
              <w:spacing w:line="400" w:lineRule="exact"/>
              <w:ind w:firstLine="422" w:firstLineChars="200"/>
              <w:rPr>
                <w:rFonts w:hint="eastAsia" w:ascii="仿宋" w:hAnsi="仿宋" w:eastAsia="仿宋" w:cs="仿宋"/>
                <w:sz w:val="21"/>
                <w:szCs w:val="21"/>
                <w:highlight w:val="none"/>
              </w:rPr>
            </w:pPr>
            <w:r>
              <w:rPr>
                <w:rFonts w:hint="eastAsia" w:ascii="仿宋" w:hAnsi="仿宋" w:eastAsia="仿宋" w:cs="仿宋"/>
                <w:b/>
                <w:bCs/>
                <w:sz w:val="21"/>
                <w:szCs w:val="21"/>
                <w:highlight w:val="none"/>
              </w:rPr>
              <w:t>本项目最高限价为</w:t>
            </w:r>
            <w:r>
              <w:rPr>
                <w:rFonts w:hint="eastAsia" w:ascii="仿宋" w:hAnsi="仿宋" w:eastAsia="仿宋" w:cs="仿宋"/>
                <w:b/>
                <w:bCs/>
                <w:color w:val="FF0000"/>
                <w:sz w:val="21"/>
                <w:szCs w:val="21"/>
                <w:highlight w:val="none"/>
              </w:rPr>
              <w:t>450000.00元（大写：肆拾伍万元整）</w:t>
            </w:r>
            <w:r>
              <w:rPr>
                <w:rFonts w:hint="eastAsia" w:ascii="仿宋" w:hAnsi="仿宋" w:eastAsia="仿宋" w:cs="仿宋"/>
                <w:b/>
                <w:bCs/>
                <w:sz w:val="21"/>
                <w:szCs w:val="21"/>
                <w:highlight w:val="none"/>
              </w:rPr>
              <w:t>，比选申请人报价不得超过最高限价，否则按无效响应处理。</w:t>
            </w:r>
          </w:p>
        </w:tc>
      </w:tr>
      <w:tr w14:paraId="69D4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5F3040CC">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3.3.1</w:t>
            </w:r>
          </w:p>
        </w:tc>
        <w:tc>
          <w:tcPr>
            <w:tcW w:w="1751" w:type="dxa"/>
            <w:vAlign w:val="center"/>
          </w:tcPr>
          <w:p w14:paraId="5932C546">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比选申请有效期</w:t>
            </w:r>
          </w:p>
        </w:tc>
        <w:tc>
          <w:tcPr>
            <w:tcW w:w="6131" w:type="dxa"/>
            <w:vAlign w:val="center"/>
          </w:tcPr>
          <w:p w14:paraId="0BC6EF3E">
            <w:pPr>
              <w:spacing w:line="360" w:lineRule="auto"/>
              <w:ind w:firstLine="422" w:firstLineChars="200"/>
              <w:rPr>
                <w:rFonts w:hint="eastAsia" w:ascii="仿宋" w:hAnsi="仿宋" w:eastAsia="仿宋" w:cs="仿宋"/>
                <w:sz w:val="21"/>
                <w:szCs w:val="21"/>
                <w:highlight w:val="none"/>
              </w:rPr>
            </w:pPr>
            <w:r>
              <w:rPr>
                <w:rFonts w:hint="eastAsia" w:ascii="仿宋" w:hAnsi="仿宋" w:eastAsia="仿宋" w:cs="仿宋"/>
                <w:b/>
                <w:sz w:val="21"/>
                <w:szCs w:val="21"/>
                <w:highlight w:val="none"/>
                <w:u w:val="single"/>
              </w:rPr>
              <w:t>90</w:t>
            </w:r>
            <w:r>
              <w:rPr>
                <w:rFonts w:hint="eastAsia" w:ascii="仿宋" w:hAnsi="仿宋" w:eastAsia="仿宋" w:cs="仿宋"/>
                <w:b/>
                <w:sz w:val="21"/>
                <w:szCs w:val="21"/>
                <w:highlight w:val="none"/>
              </w:rPr>
              <w:t>日历天</w:t>
            </w:r>
            <w:r>
              <w:rPr>
                <w:rFonts w:hint="eastAsia" w:ascii="仿宋" w:hAnsi="仿宋" w:eastAsia="仿宋" w:cs="仿宋"/>
                <w:sz w:val="21"/>
                <w:szCs w:val="21"/>
                <w:highlight w:val="none"/>
              </w:rPr>
              <w:t>（从提交比选申请文件截止日起计算）</w:t>
            </w:r>
          </w:p>
        </w:tc>
      </w:tr>
      <w:tr w14:paraId="081F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228B53E2">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3.4</w:t>
            </w:r>
          </w:p>
        </w:tc>
        <w:tc>
          <w:tcPr>
            <w:tcW w:w="1751" w:type="dxa"/>
            <w:vAlign w:val="center"/>
          </w:tcPr>
          <w:p w14:paraId="561DCFCE">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比选申请保证金</w:t>
            </w:r>
          </w:p>
        </w:tc>
        <w:tc>
          <w:tcPr>
            <w:tcW w:w="6131" w:type="dxa"/>
            <w:vAlign w:val="center"/>
          </w:tcPr>
          <w:p w14:paraId="50B9EF59">
            <w:pPr>
              <w:snapToGrid w:val="0"/>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无</w:t>
            </w:r>
          </w:p>
        </w:tc>
      </w:tr>
      <w:tr w14:paraId="7951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4D5A9559">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3.6</w:t>
            </w:r>
          </w:p>
        </w:tc>
        <w:tc>
          <w:tcPr>
            <w:tcW w:w="1751" w:type="dxa"/>
            <w:vAlign w:val="center"/>
          </w:tcPr>
          <w:p w14:paraId="272057EB">
            <w:pPr>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是否允许递交</w:t>
            </w:r>
          </w:p>
          <w:p w14:paraId="1ED98B05">
            <w:pPr>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备选比选申请方案</w:t>
            </w:r>
          </w:p>
        </w:tc>
        <w:tc>
          <w:tcPr>
            <w:tcW w:w="6131" w:type="dxa"/>
            <w:vAlign w:val="center"/>
          </w:tcPr>
          <w:p w14:paraId="1AB6FE95">
            <w:pPr>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不允许</w:t>
            </w:r>
          </w:p>
        </w:tc>
      </w:tr>
      <w:tr w14:paraId="7C6C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426AFED4">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3.7.1</w:t>
            </w:r>
          </w:p>
        </w:tc>
        <w:tc>
          <w:tcPr>
            <w:tcW w:w="1751" w:type="dxa"/>
            <w:vAlign w:val="center"/>
          </w:tcPr>
          <w:p w14:paraId="1DBEF065">
            <w:pPr>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比选申请文件格式要求</w:t>
            </w:r>
          </w:p>
        </w:tc>
        <w:tc>
          <w:tcPr>
            <w:tcW w:w="6131" w:type="dxa"/>
            <w:vAlign w:val="center"/>
          </w:tcPr>
          <w:p w14:paraId="41192351">
            <w:pPr>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编制比选申请文件时不得对第六章“比选申请文件格式”的相应要素作实质性修改，否则由评选委员会作否决比选申请处理。</w:t>
            </w:r>
          </w:p>
        </w:tc>
      </w:tr>
      <w:tr w14:paraId="5005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trPr>
        <w:tc>
          <w:tcPr>
            <w:tcW w:w="959" w:type="dxa"/>
            <w:vAlign w:val="center"/>
          </w:tcPr>
          <w:p w14:paraId="6E1C0B1A">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3.7.3</w:t>
            </w:r>
          </w:p>
        </w:tc>
        <w:tc>
          <w:tcPr>
            <w:tcW w:w="1751" w:type="dxa"/>
            <w:vAlign w:val="center"/>
          </w:tcPr>
          <w:p w14:paraId="44E2D177">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签名盖章要求</w:t>
            </w:r>
          </w:p>
        </w:tc>
        <w:tc>
          <w:tcPr>
            <w:tcW w:w="6131" w:type="dxa"/>
            <w:vAlign w:val="center"/>
          </w:tcPr>
          <w:p w14:paraId="4C8AA729">
            <w:pPr>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比选申请文件应用不褪色的材料书写或打印，并由比选申请人的法定代表人或其委托代理人在竞争性比选文件规定的位置按竞争性比选文件要求签名或盖章、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w:t>
            </w:r>
          </w:p>
          <w:p w14:paraId="7E3B9D11">
            <w:pPr>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未按上述规定执行的，交由评选委员会作否决比选申请处理。</w:t>
            </w:r>
          </w:p>
        </w:tc>
      </w:tr>
      <w:tr w14:paraId="419B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01C4B60A">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3.7.4</w:t>
            </w:r>
          </w:p>
        </w:tc>
        <w:tc>
          <w:tcPr>
            <w:tcW w:w="1751" w:type="dxa"/>
            <w:vAlign w:val="center"/>
          </w:tcPr>
          <w:p w14:paraId="728859DF">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比选申请文件份数</w:t>
            </w:r>
          </w:p>
        </w:tc>
        <w:tc>
          <w:tcPr>
            <w:tcW w:w="6131" w:type="dxa"/>
            <w:vAlign w:val="center"/>
          </w:tcPr>
          <w:p w14:paraId="73ECC1B6">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比选申请文件正本1份、副本2份。当副本和正本不一致时，以正本为准。否则由评选委员会作否决比选申请处理。</w:t>
            </w:r>
          </w:p>
          <w:p w14:paraId="5CD06411">
            <w:pPr>
              <w:spacing w:line="400" w:lineRule="exact"/>
              <w:ind w:firstLine="420" w:firstLineChars="200"/>
              <w:rPr>
                <w:rFonts w:hint="eastAsia" w:ascii="仿宋" w:hAnsi="仿宋" w:eastAsia="仿宋" w:cs="仿宋"/>
                <w:highlight w:val="none"/>
              </w:rPr>
            </w:pPr>
            <w:r>
              <w:rPr>
                <w:rFonts w:hint="eastAsia" w:ascii="仿宋" w:hAnsi="仿宋" w:eastAsia="仿宋" w:cs="仿宋"/>
                <w:sz w:val="21"/>
                <w:szCs w:val="21"/>
                <w:highlight w:val="none"/>
              </w:rPr>
              <w:t>注：本项目需于投标截止时间前在行采家平台上传一份投标文件（盖章扫描为pdf版本）</w:t>
            </w:r>
          </w:p>
        </w:tc>
      </w:tr>
      <w:tr w14:paraId="225D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11B71509">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3.7.5</w:t>
            </w:r>
          </w:p>
        </w:tc>
        <w:tc>
          <w:tcPr>
            <w:tcW w:w="1751" w:type="dxa"/>
            <w:vAlign w:val="center"/>
          </w:tcPr>
          <w:p w14:paraId="37AEC81F">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装订要求</w:t>
            </w:r>
          </w:p>
        </w:tc>
        <w:tc>
          <w:tcPr>
            <w:tcW w:w="6131" w:type="dxa"/>
            <w:vAlign w:val="center"/>
          </w:tcPr>
          <w:p w14:paraId="47401C89">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1.本项目应将比选申请函部分、商务部分、技术部分、资格审查部分各自统一装订成册，投标保函部分（如有）无需装订。</w:t>
            </w:r>
          </w:p>
          <w:p w14:paraId="0193945B">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2.装订</w:t>
            </w:r>
          </w:p>
          <w:p w14:paraId="15AF1FB5">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（1）比选申请函部分的装订要求</w:t>
            </w:r>
          </w:p>
          <w:p w14:paraId="7A602284">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应按照第六章规定格式装订成册，原则上应编制目录（但不得将目录编制作为评审因素），标注页码。</w:t>
            </w:r>
          </w:p>
          <w:p w14:paraId="55191D66">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（2）商务部分的装订要求</w:t>
            </w:r>
          </w:p>
          <w:p w14:paraId="3F89A274">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应按照第六章规定格式装订成册，原则上应编制目录（但不得将目录编制作为评审因素），标注页码。</w:t>
            </w:r>
          </w:p>
          <w:p w14:paraId="1E2A1229">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（3）技术部分的装订要求</w:t>
            </w:r>
          </w:p>
          <w:p w14:paraId="4F077673">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投标文件技术部分明标不设封面，应按照第六章规定格式排版，原则上应编制目录，但不得将封面设置、目录编制作为评审因素。注：技术部分采用明标评审时，不因形式问题（包括但不限于封面、页码、目录、字体、格式等）而被否决投标。</w:t>
            </w:r>
          </w:p>
          <w:p w14:paraId="6C580586">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（4）资格审查部分的装订要求</w:t>
            </w:r>
          </w:p>
          <w:p w14:paraId="07D8C72A">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应按照第六章规定格式装订成册，原则上应编制目录（但不得将目录编制作为评审因素），标注页码。</w:t>
            </w:r>
          </w:p>
        </w:tc>
      </w:tr>
      <w:tr w14:paraId="1E73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959" w:type="dxa"/>
            <w:vAlign w:val="center"/>
          </w:tcPr>
          <w:p w14:paraId="71B42E04">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4.1.1</w:t>
            </w:r>
          </w:p>
        </w:tc>
        <w:tc>
          <w:tcPr>
            <w:tcW w:w="1751" w:type="dxa"/>
            <w:vAlign w:val="center"/>
          </w:tcPr>
          <w:p w14:paraId="28563FC6">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比选申请文件的密封</w:t>
            </w:r>
          </w:p>
        </w:tc>
        <w:tc>
          <w:tcPr>
            <w:tcW w:w="6131" w:type="dxa"/>
            <w:vAlign w:val="center"/>
          </w:tcPr>
          <w:p w14:paraId="0FD94D33">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比选申请文件装入“投标文件”袋中，密封并在袋上加盖比选申请人单位法人章。</w:t>
            </w:r>
          </w:p>
        </w:tc>
      </w:tr>
      <w:tr w14:paraId="6D55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959" w:type="dxa"/>
            <w:vAlign w:val="center"/>
          </w:tcPr>
          <w:p w14:paraId="48A408C9">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4.1.2</w:t>
            </w:r>
          </w:p>
        </w:tc>
        <w:tc>
          <w:tcPr>
            <w:tcW w:w="1751" w:type="dxa"/>
            <w:vAlign w:val="center"/>
          </w:tcPr>
          <w:p w14:paraId="57F1E4D4">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封套上写明</w:t>
            </w:r>
          </w:p>
        </w:tc>
        <w:tc>
          <w:tcPr>
            <w:tcW w:w="6131" w:type="dxa"/>
            <w:vAlign w:val="center"/>
          </w:tcPr>
          <w:p w14:paraId="75E482BD">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应在“比选申请文件”大袋封套上写明如下内容：</w:t>
            </w:r>
          </w:p>
          <w:p w14:paraId="5A7871D0">
            <w:pPr>
              <w:spacing w:line="400" w:lineRule="exact"/>
              <w:ind w:firstLine="420" w:firstLineChars="200"/>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比选人名称：</w:t>
            </w:r>
            <w:r>
              <w:rPr>
                <w:rFonts w:hint="eastAsia" w:ascii="仿宋" w:hAnsi="仿宋" w:eastAsia="仿宋" w:cs="仿宋"/>
                <w:sz w:val="21"/>
                <w:szCs w:val="21"/>
                <w:highlight w:val="none"/>
                <w:u w:val="single"/>
              </w:rPr>
              <w:t xml:space="preserve">            </w:t>
            </w:r>
          </w:p>
          <w:p w14:paraId="59B31ACB">
            <w:pPr>
              <w:spacing w:line="400" w:lineRule="exact"/>
              <w:ind w:firstLine="420" w:firstLineChars="200"/>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比选申请人名称：</w:t>
            </w:r>
            <w:r>
              <w:rPr>
                <w:rFonts w:hint="eastAsia" w:ascii="仿宋" w:hAnsi="仿宋" w:eastAsia="仿宋" w:cs="仿宋"/>
                <w:sz w:val="21"/>
                <w:szCs w:val="21"/>
                <w:highlight w:val="none"/>
                <w:u w:val="single"/>
              </w:rPr>
              <w:t xml:space="preserve">            </w:t>
            </w:r>
          </w:p>
          <w:p w14:paraId="4717BC9B">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u w:val="single"/>
              </w:rPr>
              <w:t xml:space="preserve">                （项目名称）</w:t>
            </w:r>
            <w:r>
              <w:rPr>
                <w:rFonts w:hint="eastAsia" w:ascii="仿宋" w:hAnsi="仿宋" w:eastAsia="仿宋" w:cs="仿宋"/>
                <w:sz w:val="21"/>
                <w:szCs w:val="21"/>
                <w:highlight w:val="none"/>
              </w:rPr>
              <w:t>比选申请文件</w:t>
            </w:r>
          </w:p>
          <w:p w14:paraId="74AB5E7F">
            <w:p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在</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年</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月</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日</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时</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分前不得开启</w:t>
            </w:r>
          </w:p>
        </w:tc>
      </w:tr>
      <w:tr w14:paraId="6836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959" w:type="dxa"/>
            <w:vAlign w:val="center"/>
          </w:tcPr>
          <w:p w14:paraId="76ABFF1D">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4.2.2</w:t>
            </w:r>
          </w:p>
        </w:tc>
        <w:tc>
          <w:tcPr>
            <w:tcW w:w="1751" w:type="dxa"/>
            <w:vAlign w:val="center"/>
          </w:tcPr>
          <w:p w14:paraId="3F66E7F5">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递交比选申请文件地点</w:t>
            </w:r>
          </w:p>
        </w:tc>
        <w:tc>
          <w:tcPr>
            <w:tcW w:w="6131" w:type="dxa"/>
            <w:vAlign w:val="center"/>
          </w:tcPr>
          <w:p w14:paraId="69DD758C">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重庆普聚工程咨询有限公司开标室</w:t>
            </w:r>
          </w:p>
          <w:p w14:paraId="6FF36A00">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（重庆市南岸区南坪南城大道199号17-2号）。</w:t>
            </w:r>
          </w:p>
        </w:tc>
      </w:tr>
      <w:tr w14:paraId="0EC8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0E3F15DD">
            <w:pPr>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4.2.3</w:t>
            </w:r>
          </w:p>
        </w:tc>
        <w:tc>
          <w:tcPr>
            <w:tcW w:w="1751" w:type="dxa"/>
            <w:vAlign w:val="center"/>
          </w:tcPr>
          <w:p w14:paraId="253686EB">
            <w:pPr>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是否退还比选申请文件</w:t>
            </w:r>
          </w:p>
        </w:tc>
        <w:tc>
          <w:tcPr>
            <w:tcW w:w="6131" w:type="dxa"/>
            <w:vAlign w:val="center"/>
          </w:tcPr>
          <w:p w14:paraId="37E2B1B9">
            <w:pPr>
              <w:spacing w:line="24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否</w:t>
            </w:r>
          </w:p>
        </w:tc>
      </w:tr>
      <w:tr w14:paraId="30CA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4BCF17F4">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5.1</w:t>
            </w:r>
          </w:p>
        </w:tc>
        <w:tc>
          <w:tcPr>
            <w:tcW w:w="1751" w:type="dxa"/>
            <w:vAlign w:val="center"/>
          </w:tcPr>
          <w:p w14:paraId="62D6C328">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比选时间和地点</w:t>
            </w:r>
          </w:p>
        </w:tc>
        <w:tc>
          <w:tcPr>
            <w:tcW w:w="6131" w:type="dxa"/>
            <w:vAlign w:val="center"/>
          </w:tcPr>
          <w:p w14:paraId="6409B55D">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比选时间：同比选申请截止时间。</w:t>
            </w:r>
          </w:p>
          <w:p w14:paraId="637F96D6">
            <w:pPr>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比选地点：重庆普聚工程咨询有限公司开标室。</w:t>
            </w:r>
          </w:p>
        </w:tc>
      </w:tr>
      <w:tr w14:paraId="75E0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6285F0AD">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5.2</w:t>
            </w:r>
          </w:p>
        </w:tc>
        <w:tc>
          <w:tcPr>
            <w:tcW w:w="1751" w:type="dxa"/>
            <w:vAlign w:val="center"/>
          </w:tcPr>
          <w:p w14:paraId="476F01C7">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比选程序</w:t>
            </w:r>
          </w:p>
        </w:tc>
        <w:tc>
          <w:tcPr>
            <w:tcW w:w="6131" w:type="dxa"/>
            <w:vAlign w:val="center"/>
          </w:tcPr>
          <w:p w14:paraId="08A3FC79">
            <w:pPr>
              <w:autoSpaceDE w:val="0"/>
              <w:autoSpaceDN w:val="0"/>
              <w:spacing w:line="360" w:lineRule="auto"/>
              <w:ind w:right="-2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主持人按下列程序进行比选：</w:t>
            </w:r>
          </w:p>
          <w:p w14:paraId="161964E2">
            <w:pPr>
              <w:autoSpaceDE w:val="0"/>
              <w:autoSpaceDN w:val="0"/>
              <w:spacing w:line="360" w:lineRule="auto"/>
              <w:ind w:right="-2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1.宣布比选纪律；</w:t>
            </w:r>
          </w:p>
          <w:p w14:paraId="673FEB0C">
            <w:pPr>
              <w:autoSpaceDE w:val="0"/>
              <w:autoSpaceDN w:val="0"/>
              <w:spacing w:line="360" w:lineRule="auto"/>
              <w:ind w:right="-2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2.宣布比选人、唱标人、记录人、监标人等有关人员姓名；</w:t>
            </w:r>
          </w:p>
          <w:p w14:paraId="1A290700">
            <w:pPr>
              <w:autoSpaceDE w:val="0"/>
              <w:autoSpaceDN w:val="0"/>
              <w:spacing w:line="360" w:lineRule="auto"/>
              <w:ind w:right="-2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3.公布在比选申请截止时间前递交比选申请文件的比选申请人名称，并点名确认比选申请人是否派人到场；</w:t>
            </w:r>
          </w:p>
          <w:p w14:paraId="32FE4419">
            <w:pPr>
              <w:spacing w:line="360" w:lineRule="auto"/>
              <w:ind w:firstLine="420" w:firstLineChars="200"/>
              <w:jc w:val="left"/>
              <w:rPr>
                <w:rFonts w:hint="eastAsia" w:ascii="仿宋" w:hAnsi="仿宋" w:eastAsia="仿宋" w:cs="仿宋"/>
                <w:b/>
                <w:sz w:val="21"/>
                <w:szCs w:val="21"/>
                <w:highlight w:val="none"/>
              </w:rPr>
            </w:pPr>
            <w:r>
              <w:rPr>
                <w:rFonts w:hint="eastAsia" w:ascii="仿宋" w:hAnsi="仿宋" w:eastAsia="仿宋" w:cs="仿宋"/>
                <w:sz w:val="21"/>
                <w:szCs w:val="21"/>
                <w:highlight w:val="none"/>
              </w:rPr>
              <w:t>4.核验参加比选会议的比选申请人的法定代表人或委托代理人本人身份证（原件），委托代理人必须为本单位人员；</w:t>
            </w:r>
          </w:p>
          <w:p w14:paraId="5F87364B">
            <w:pPr>
              <w:autoSpaceDE w:val="0"/>
              <w:autoSpaceDN w:val="0"/>
              <w:spacing w:line="360" w:lineRule="auto"/>
              <w:ind w:right="-2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5.封装情况检查：比选申请人或者其推选的代表检查各比选申请文件的封装情况并确认；</w:t>
            </w:r>
          </w:p>
          <w:p w14:paraId="613AB276">
            <w:pPr>
              <w:spacing w:line="360" w:lineRule="auto"/>
              <w:ind w:right="-2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6.设有竞争性比选控制价或者标底的，公布竞争性比选控制价或者标底；</w:t>
            </w:r>
          </w:p>
          <w:p w14:paraId="23DD4331">
            <w:pPr>
              <w:autoSpaceDE w:val="0"/>
              <w:autoSpaceDN w:val="0"/>
              <w:spacing w:line="360" w:lineRule="auto"/>
              <w:ind w:right="-127"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7.按照随机顺序当众比选，开启资格审查资料袋、比选申请文件大袋及相应小袋；公布比选申请人名称、项目名称、比选申请报价、质量目标、工期及其他内容，并记录在案；</w:t>
            </w:r>
          </w:p>
          <w:p w14:paraId="7A677EF9">
            <w:pPr>
              <w:autoSpaceDE w:val="0"/>
              <w:autoSpaceDN w:val="0"/>
              <w:spacing w:line="360" w:lineRule="auto"/>
              <w:ind w:right="-2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8.比选申请人代表、比选人代表、监标人、记录人等有关人员在比选记录上签字确认；</w:t>
            </w:r>
          </w:p>
          <w:p w14:paraId="6F7EFDEE">
            <w:pPr>
              <w:tabs>
                <w:tab w:val="left" w:pos="436"/>
                <w:tab w:val="left" w:pos="492"/>
              </w:tabs>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9.比选结束。</w:t>
            </w:r>
          </w:p>
        </w:tc>
      </w:tr>
      <w:tr w14:paraId="6D06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42AD7C98">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6.1.1</w:t>
            </w:r>
          </w:p>
        </w:tc>
        <w:tc>
          <w:tcPr>
            <w:tcW w:w="1751" w:type="dxa"/>
            <w:vAlign w:val="center"/>
          </w:tcPr>
          <w:p w14:paraId="14919BD4">
            <w:pPr>
              <w:autoSpaceDE w:val="0"/>
              <w:autoSpaceDN w:val="0"/>
              <w:spacing w:line="360" w:lineRule="auto"/>
              <w:ind w:right="-12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评选委员会的组建</w:t>
            </w:r>
          </w:p>
        </w:tc>
        <w:tc>
          <w:tcPr>
            <w:tcW w:w="6131" w:type="dxa"/>
            <w:vAlign w:val="center"/>
          </w:tcPr>
          <w:p w14:paraId="3113C7DE">
            <w:pPr>
              <w:autoSpaceDE w:val="0"/>
              <w:autoSpaceDN w:val="0"/>
              <w:spacing w:line="360" w:lineRule="auto"/>
              <w:ind w:right="-127"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评审委员会构成：3人。</w:t>
            </w:r>
          </w:p>
          <w:p w14:paraId="5EE75DCC">
            <w:pPr>
              <w:autoSpaceDE w:val="0"/>
              <w:autoSpaceDN w:val="0"/>
              <w:spacing w:line="360" w:lineRule="auto"/>
              <w:ind w:right="-127"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评审专家确定方式：依法组建。</w:t>
            </w:r>
          </w:p>
        </w:tc>
      </w:tr>
      <w:tr w14:paraId="6AFC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24C22214">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7.1</w:t>
            </w:r>
          </w:p>
        </w:tc>
        <w:tc>
          <w:tcPr>
            <w:tcW w:w="1751" w:type="dxa"/>
            <w:vAlign w:val="center"/>
          </w:tcPr>
          <w:p w14:paraId="46A2137C">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是否授权评选委员会确定中选人</w:t>
            </w:r>
          </w:p>
        </w:tc>
        <w:tc>
          <w:tcPr>
            <w:tcW w:w="6131" w:type="dxa"/>
            <w:vAlign w:val="center"/>
          </w:tcPr>
          <w:p w14:paraId="52D25B0E">
            <w:pPr>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否，推荐经评审合格的综合得分由高到低的排名前三名为中选候选人。</w:t>
            </w:r>
          </w:p>
        </w:tc>
      </w:tr>
      <w:tr w14:paraId="648F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62BA1D8F">
            <w:pPr>
              <w:autoSpaceDE w:val="0"/>
              <w:autoSpaceDN w:val="0"/>
              <w:spacing w:line="360" w:lineRule="auto"/>
              <w:ind w:right="-2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7.2</w:t>
            </w:r>
          </w:p>
        </w:tc>
        <w:tc>
          <w:tcPr>
            <w:tcW w:w="1751" w:type="dxa"/>
            <w:vAlign w:val="center"/>
          </w:tcPr>
          <w:p w14:paraId="190CDF2D">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中选公示</w:t>
            </w:r>
          </w:p>
        </w:tc>
        <w:tc>
          <w:tcPr>
            <w:tcW w:w="6131" w:type="dxa"/>
            <w:vAlign w:val="center"/>
          </w:tcPr>
          <w:p w14:paraId="1DDA8E3A">
            <w:pPr>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比选人在收到评标报告后3日内将评选结果在行采家（https://www.gec123.com/）和重庆广阳湾生态城投资发展集团有限公司官网（http://cq-gyw.com/）上进行公示，公示期为1日。</w:t>
            </w:r>
          </w:p>
        </w:tc>
      </w:tr>
      <w:tr w14:paraId="14D3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5E45467A">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7.3.1</w:t>
            </w:r>
          </w:p>
        </w:tc>
        <w:tc>
          <w:tcPr>
            <w:tcW w:w="1751" w:type="dxa"/>
            <w:vAlign w:val="center"/>
          </w:tcPr>
          <w:p w14:paraId="22AD9076">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履约担保</w:t>
            </w:r>
          </w:p>
        </w:tc>
        <w:tc>
          <w:tcPr>
            <w:tcW w:w="6131" w:type="dxa"/>
            <w:vAlign w:val="center"/>
          </w:tcPr>
          <w:p w14:paraId="62A5FC7A">
            <w:pPr>
              <w:spacing w:line="360" w:lineRule="auto"/>
              <w:ind w:firstLine="420" w:firstLineChars="200"/>
              <w:rPr>
                <w:rFonts w:hint="eastAsia" w:ascii="仿宋" w:hAnsi="仿宋" w:eastAsia="仿宋" w:cs="仿宋"/>
                <w:highlight w:val="none"/>
                <w:lang w:val="en-US" w:eastAsia="zh-CN"/>
              </w:rPr>
            </w:pPr>
            <w:r>
              <w:rPr>
                <w:rFonts w:hint="eastAsia" w:ascii="仿宋" w:hAnsi="仿宋" w:eastAsia="仿宋" w:cs="仿宋"/>
                <w:sz w:val="21"/>
                <w:szCs w:val="21"/>
                <w:highlight w:val="none"/>
                <w:lang w:val="en-US" w:eastAsia="zh-CN"/>
              </w:rPr>
              <w:t>无</w:t>
            </w:r>
          </w:p>
        </w:tc>
      </w:tr>
      <w:tr w14:paraId="24DF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1A0932D5">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7.4.1</w:t>
            </w:r>
          </w:p>
        </w:tc>
        <w:tc>
          <w:tcPr>
            <w:tcW w:w="1751" w:type="dxa"/>
            <w:vAlign w:val="center"/>
          </w:tcPr>
          <w:p w14:paraId="6DEFE04E">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签订合同</w:t>
            </w:r>
          </w:p>
        </w:tc>
        <w:tc>
          <w:tcPr>
            <w:tcW w:w="6131" w:type="dxa"/>
            <w:vAlign w:val="center"/>
          </w:tcPr>
          <w:p w14:paraId="267D02C1">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中标人在收到中标通知书之后30个日历天之内与招标人签订合同。</w:t>
            </w:r>
          </w:p>
        </w:tc>
      </w:tr>
      <w:tr w14:paraId="64D4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29992F37">
            <w:pPr>
              <w:autoSpaceDE w:val="0"/>
              <w:autoSpaceDN w:val="0"/>
              <w:spacing w:line="360" w:lineRule="auto"/>
              <w:ind w:right="-2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8.1</w:t>
            </w:r>
          </w:p>
        </w:tc>
        <w:tc>
          <w:tcPr>
            <w:tcW w:w="1751" w:type="dxa"/>
            <w:vAlign w:val="center"/>
          </w:tcPr>
          <w:p w14:paraId="74B522E0">
            <w:pPr>
              <w:tabs>
                <w:tab w:val="left" w:pos="2032"/>
              </w:tabs>
              <w:autoSpaceDE w:val="0"/>
              <w:autoSpaceDN w:val="0"/>
              <w:spacing w:line="360" w:lineRule="auto"/>
              <w:ind w:right="-127"/>
              <w:jc w:val="center"/>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重新竞争性比选的情形</w:t>
            </w:r>
          </w:p>
        </w:tc>
        <w:tc>
          <w:tcPr>
            <w:tcW w:w="6131" w:type="dxa"/>
            <w:vAlign w:val="center"/>
          </w:tcPr>
          <w:p w14:paraId="6407D9AB">
            <w:pPr>
              <w:tabs>
                <w:tab w:val="left" w:pos="2032"/>
              </w:tabs>
              <w:autoSpaceDE w:val="0"/>
              <w:autoSpaceDN w:val="0"/>
              <w:spacing w:line="360" w:lineRule="auto"/>
              <w:ind w:right="-127" w:firstLine="315" w:firstLineChars="15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1.按比选申请人须知第8.1（1）执行；</w:t>
            </w:r>
          </w:p>
          <w:p w14:paraId="1C365D59">
            <w:pPr>
              <w:tabs>
                <w:tab w:val="left" w:pos="2032"/>
              </w:tabs>
              <w:autoSpaceDE w:val="0"/>
              <w:autoSpaceDN w:val="0"/>
              <w:spacing w:line="360" w:lineRule="auto"/>
              <w:ind w:right="-127" w:firstLine="315" w:firstLineChars="15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2.按比选申请人须知第8.1（2）执行；</w:t>
            </w:r>
          </w:p>
          <w:p w14:paraId="6CA7EC35">
            <w:pPr>
              <w:tabs>
                <w:tab w:val="left" w:pos="2032"/>
              </w:tabs>
              <w:autoSpaceDE w:val="0"/>
              <w:autoSpaceDN w:val="0"/>
              <w:spacing w:line="360" w:lineRule="auto"/>
              <w:ind w:right="-127" w:firstLine="315" w:firstLineChars="15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3.按比选申请人须知第8.1（3）执行；</w:t>
            </w:r>
          </w:p>
          <w:p w14:paraId="011D9509">
            <w:pPr>
              <w:tabs>
                <w:tab w:val="left" w:pos="2032"/>
              </w:tabs>
              <w:autoSpaceDE w:val="0"/>
              <w:autoSpaceDN w:val="0"/>
              <w:spacing w:line="360" w:lineRule="auto"/>
              <w:ind w:right="-127" w:firstLine="315" w:firstLineChars="15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4.按比选申请人须知第8.1（4）执行。</w:t>
            </w:r>
          </w:p>
          <w:p w14:paraId="66EB1D69">
            <w:pPr>
              <w:tabs>
                <w:tab w:val="left" w:pos="2032"/>
              </w:tabs>
              <w:autoSpaceDE w:val="0"/>
              <w:autoSpaceDN w:val="0"/>
              <w:spacing w:line="360" w:lineRule="auto"/>
              <w:ind w:right="-127" w:firstLine="315" w:firstLineChars="15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注：本款只适用于首次竞争性比选。</w:t>
            </w:r>
          </w:p>
        </w:tc>
      </w:tr>
      <w:tr w14:paraId="4306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vAlign w:val="center"/>
          </w:tcPr>
          <w:p w14:paraId="39CC5A24">
            <w:pPr>
              <w:autoSpaceDE w:val="0"/>
              <w:autoSpaceDN w:val="0"/>
              <w:spacing w:line="360" w:lineRule="auto"/>
              <w:ind w:right="-2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8.2</w:t>
            </w:r>
          </w:p>
        </w:tc>
        <w:tc>
          <w:tcPr>
            <w:tcW w:w="1751" w:type="dxa"/>
            <w:vAlign w:val="center"/>
          </w:tcPr>
          <w:p w14:paraId="6FAAD857">
            <w:pPr>
              <w:tabs>
                <w:tab w:val="left" w:pos="2032"/>
              </w:tabs>
              <w:autoSpaceDE w:val="0"/>
              <w:autoSpaceDN w:val="0"/>
              <w:spacing w:line="360" w:lineRule="auto"/>
              <w:ind w:right="-127"/>
              <w:jc w:val="center"/>
              <w:rPr>
                <w:rFonts w:hint="eastAsia" w:ascii="仿宋" w:hAnsi="仿宋" w:eastAsia="仿宋" w:cs="仿宋"/>
                <w:b/>
                <w:snapToGrid w:val="0"/>
                <w:sz w:val="21"/>
                <w:szCs w:val="21"/>
                <w:highlight w:val="none"/>
              </w:rPr>
            </w:pPr>
            <w:bookmarkStart w:id="34" w:name="_Toc347847775"/>
            <w:r>
              <w:rPr>
                <w:rFonts w:hint="eastAsia" w:ascii="仿宋" w:hAnsi="仿宋" w:eastAsia="仿宋" w:cs="仿宋"/>
                <w:sz w:val="21"/>
                <w:szCs w:val="21"/>
                <w:highlight w:val="none"/>
              </w:rPr>
              <w:t>二次竞争性比选和不再竞争性比选</w:t>
            </w:r>
            <w:bookmarkEnd w:id="34"/>
          </w:p>
        </w:tc>
        <w:tc>
          <w:tcPr>
            <w:tcW w:w="6131" w:type="dxa"/>
            <w:vAlign w:val="center"/>
          </w:tcPr>
          <w:p w14:paraId="083A6377">
            <w:pPr>
              <w:tabs>
                <w:tab w:val="left" w:pos="2032"/>
              </w:tabs>
              <w:autoSpaceDE w:val="0"/>
              <w:autoSpaceDN w:val="0"/>
              <w:spacing w:line="360" w:lineRule="auto"/>
              <w:ind w:right="-127" w:firstLine="315" w:firstLineChars="15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重新公开竞争性比选后比选申请人仍少于3人，按法定程序开标和评选，确定中选中选人。经评审无合格比选申请人，报经原审批部门批准可以不再比选。</w:t>
            </w:r>
          </w:p>
        </w:tc>
      </w:tr>
      <w:tr w14:paraId="75D6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9" w:type="dxa"/>
            <w:vAlign w:val="center"/>
          </w:tcPr>
          <w:p w14:paraId="6CAB856C">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b/>
                <w:sz w:val="21"/>
                <w:szCs w:val="21"/>
                <w:highlight w:val="none"/>
              </w:rPr>
              <w:t>9</w:t>
            </w:r>
          </w:p>
        </w:tc>
        <w:tc>
          <w:tcPr>
            <w:tcW w:w="7882" w:type="dxa"/>
            <w:gridSpan w:val="2"/>
            <w:vAlign w:val="center"/>
          </w:tcPr>
          <w:p w14:paraId="0B2A6E4F">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b/>
                <w:sz w:val="21"/>
                <w:szCs w:val="21"/>
                <w:highlight w:val="none"/>
              </w:rPr>
              <w:t>需要补充的其他内容</w:t>
            </w:r>
          </w:p>
        </w:tc>
      </w:tr>
      <w:tr w14:paraId="344D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008DB24">
            <w:pPr>
              <w:tabs>
                <w:tab w:val="left" w:pos="2000"/>
                <w:tab w:val="left" w:pos="5580"/>
                <w:tab w:val="left" w:pos="6220"/>
                <w:tab w:val="left" w:pos="6840"/>
                <w:tab w:val="left" w:pos="7460"/>
                <w:tab w:val="left" w:pos="8100"/>
              </w:tabs>
              <w:autoSpaceDE w:val="0"/>
              <w:autoSpaceDN w:val="0"/>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9.1</w:t>
            </w:r>
          </w:p>
        </w:tc>
        <w:tc>
          <w:tcPr>
            <w:tcW w:w="1751" w:type="dxa"/>
            <w:vAlign w:val="center"/>
          </w:tcPr>
          <w:p w14:paraId="2ECBD69C">
            <w:pPr>
              <w:tabs>
                <w:tab w:val="left" w:pos="2032"/>
              </w:tabs>
              <w:autoSpaceDE w:val="0"/>
              <w:autoSpaceDN w:val="0"/>
              <w:spacing w:line="360" w:lineRule="auto"/>
              <w:ind w:right="-12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竞争性比选文件费、代理服务费</w:t>
            </w:r>
          </w:p>
        </w:tc>
        <w:tc>
          <w:tcPr>
            <w:tcW w:w="6131" w:type="dxa"/>
            <w:vAlign w:val="center"/>
          </w:tcPr>
          <w:p w14:paraId="5CF4F30A">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1.竞争性比选文件费售价500元/份，递交比选申请文件时缴纳，售后不退。</w:t>
            </w:r>
          </w:p>
          <w:p w14:paraId="3C1CB4B4">
            <w:pPr>
              <w:tabs>
                <w:tab w:val="left" w:pos="2032"/>
              </w:tabs>
              <w:autoSpaceDE w:val="0"/>
              <w:autoSpaceDN w:val="0"/>
              <w:spacing w:line="360" w:lineRule="auto"/>
              <w:ind w:firstLine="420" w:firstLineChars="200"/>
              <w:rPr>
                <w:rFonts w:hint="eastAsia" w:ascii="仿宋" w:hAnsi="仿宋" w:eastAsia="仿宋" w:cs="仿宋"/>
                <w:highlight w:val="none"/>
              </w:rPr>
            </w:pPr>
            <w:r>
              <w:rPr>
                <w:rFonts w:hint="eastAsia" w:ascii="仿宋" w:hAnsi="仿宋" w:eastAsia="仿宋" w:cs="仿宋"/>
                <w:sz w:val="21"/>
                <w:szCs w:val="21"/>
                <w:highlight w:val="none"/>
              </w:rPr>
              <w:t>2.招标代理服务费：8000.00元，招标代理费由中选单位在领取中选通知书前一次性向代理机构支付招标代理费。</w:t>
            </w:r>
          </w:p>
        </w:tc>
      </w:tr>
      <w:tr w14:paraId="67C0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0528F5C">
            <w:pPr>
              <w:tabs>
                <w:tab w:val="left" w:pos="2032"/>
              </w:tabs>
              <w:autoSpaceDE w:val="0"/>
              <w:autoSpaceDN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9.2</w:t>
            </w:r>
          </w:p>
        </w:tc>
        <w:tc>
          <w:tcPr>
            <w:tcW w:w="1751" w:type="dxa"/>
            <w:vAlign w:val="center"/>
          </w:tcPr>
          <w:p w14:paraId="4A527CB6">
            <w:pPr>
              <w:tabs>
                <w:tab w:val="left" w:pos="2032"/>
              </w:tabs>
              <w:autoSpaceDE w:val="0"/>
              <w:autoSpaceDN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关于对竞争性比选文件及投标争议的解释</w:t>
            </w:r>
          </w:p>
        </w:tc>
        <w:tc>
          <w:tcPr>
            <w:tcW w:w="6131" w:type="dxa"/>
            <w:vAlign w:val="center"/>
          </w:tcPr>
          <w:p w14:paraId="5987261C">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对资格预审文件或者竞争性比选文件的评标标准和方法，以及资格审查和否决投标条款理解有争议的，应当作出不利于比选人的解释，但违背国家利益、社会公共利益的除外。</w:t>
            </w:r>
          </w:p>
          <w:p w14:paraId="30CDF1C4">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对比选申请文件理解有争议的，应当作出不利于提交该比选申请文件的比选申请人的解释。</w:t>
            </w:r>
          </w:p>
        </w:tc>
      </w:tr>
      <w:tr w14:paraId="4C77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5D70F91">
            <w:pPr>
              <w:tabs>
                <w:tab w:val="left" w:pos="2000"/>
                <w:tab w:val="left" w:pos="5580"/>
                <w:tab w:val="left" w:pos="6220"/>
                <w:tab w:val="left" w:pos="6840"/>
                <w:tab w:val="left" w:pos="7460"/>
                <w:tab w:val="left" w:pos="8100"/>
              </w:tabs>
              <w:autoSpaceDE w:val="0"/>
              <w:autoSpaceDN w:val="0"/>
              <w:snapToGrid w:val="0"/>
              <w:spacing w:line="360" w:lineRule="auto"/>
              <w:jc w:val="center"/>
              <w:rPr>
                <w:rFonts w:hint="eastAsia" w:ascii="仿宋" w:hAnsi="仿宋" w:eastAsia="仿宋" w:cs="仿宋"/>
                <w:sz w:val="21"/>
                <w:szCs w:val="21"/>
                <w:highlight w:val="none"/>
              </w:rPr>
            </w:pPr>
            <w:bookmarkStart w:id="35" w:name="_Toc3970"/>
            <w:bookmarkStart w:id="36" w:name="_Toc492244444"/>
            <w:bookmarkStart w:id="37" w:name="_Toc430205968"/>
            <w:bookmarkStart w:id="38" w:name="_Toc1328"/>
            <w:r>
              <w:rPr>
                <w:rFonts w:hint="eastAsia" w:ascii="仿宋" w:hAnsi="仿宋" w:eastAsia="仿宋" w:cs="仿宋"/>
                <w:sz w:val="21"/>
                <w:szCs w:val="21"/>
                <w:highlight w:val="none"/>
              </w:rPr>
              <w:t>9.3</w:t>
            </w:r>
          </w:p>
        </w:tc>
        <w:tc>
          <w:tcPr>
            <w:tcW w:w="1751" w:type="dxa"/>
            <w:vAlign w:val="center"/>
          </w:tcPr>
          <w:p w14:paraId="067D25F1">
            <w:pPr>
              <w:tabs>
                <w:tab w:val="left" w:pos="2032"/>
              </w:tabs>
              <w:autoSpaceDE w:val="0"/>
              <w:autoSpaceDN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工作成果要求</w:t>
            </w:r>
          </w:p>
        </w:tc>
        <w:tc>
          <w:tcPr>
            <w:tcW w:w="6131" w:type="dxa"/>
            <w:vAlign w:val="center"/>
          </w:tcPr>
          <w:p w14:paraId="0A25301F">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本项目需覆盖“整合”与“转型”双重目标，通过专业咨询服务，完成以下内容，确保两家公司顺利整合、平稳过渡，同时支撑采购单位面向科技公司转型的战略落地。</w:t>
            </w:r>
          </w:p>
          <w:p w14:paraId="4FB3D720">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1.转型专项建议</w:t>
            </w:r>
          </w:p>
          <w:p w14:paraId="4150B380">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结合面向科技公司转型的战略设想，提供关于组织建设、人才发展的总体思考以及薪酬绩效创新突破性改革等方面的专项咨询建议和风险评估，确保转型方向正确、路径可行。需明确转型过程中的关键风险点及应对措施，形成专项建议报告。</w:t>
            </w:r>
          </w:p>
          <w:p w14:paraId="50031D46">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2.现状诊断与分析</w:t>
            </w:r>
          </w:p>
          <w:p w14:paraId="2286F63A">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全面梳理两家公司现有组织架构、岗位体系、职级序列、薪酬结构、绩效管理等现状，开展系统比对与综合分析，识别整合痛点与转型基础。需形成现状诊断报告，明确梳理出的问题清单、数据对比分析结果及核心痛点总结，为后续体系设计提供充分依据。</w:t>
            </w:r>
          </w:p>
          <w:p w14:paraId="2EA0C2D9">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3.职级体系设计</w:t>
            </w:r>
          </w:p>
          <w:p w14:paraId="685FC603">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基于整合后的组织架构，设计统一、规范的职级体系与任职资格标准，打通员工职业发展通道（管理序列、专业技术序列等），确保职级体系明确对应至每个岗位和人员。明确各职级的职责要求、晋升条件及对应岗位范围，实现人员有序融合及清晰发展。</w:t>
            </w:r>
          </w:p>
          <w:p w14:paraId="3D3C505C">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4.薪酬激励体系搭建</w:t>
            </w:r>
          </w:p>
          <w:p w14:paraId="4DE3A925">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设计兼顾内部公平性与外部竞争力的一体化薪酬体系，重点解决整合过程中的薪酬套改与平衡问题，融入科技行业激励理念（如项目奖金、创新奖励等）。需输出薪酬体系方案、薪酬套改细则、各岗位薪酬标准表，确保薪酬结构和标准可落实到每个岗位及员工个人，支持创新与绩效导向。</w:t>
            </w:r>
          </w:p>
          <w:p w14:paraId="31DCD479">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5.绩效管理体系设计</w:t>
            </w:r>
          </w:p>
          <w:p w14:paraId="7FCFEC3C">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构建目标清晰、响应敏捷、激励有效的绩效管理体系，突出对科技创新、项目孵化、客户价值创造等关键指标的牵引。需输出绩效管理方案、绩效考核指标库、考核流程手册，明确各层级、各岗位的考核周期、考核方式及结果应用机制，支撑战略落地与价值提升。</w:t>
            </w:r>
          </w:p>
          <w:p w14:paraId="66A6C889">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6.干部竞聘</w:t>
            </w:r>
          </w:p>
          <w:p w14:paraId="27680AA9">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针对整合后新组织架构中的关键管理岗位，设计公平、公开、公正的干部竞聘实施方案并协助完成实施过程。方案需涵盖竞聘流程、任职标准、评估工具（如笔试题库、面试评分表）、评委组成、纪律监督机制等内容。需协助组织报名、资格审核、测评、面试等环节，输出竞聘结果报告，确保干部选拔工作科学规范、平稳有序，保障组织过渡期稳定与未来领导力。</w:t>
            </w:r>
          </w:p>
          <w:p w14:paraId="5D6DB588">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7.实施辅导与赋能</w:t>
            </w:r>
          </w:p>
          <w:p w14:paraId="54DA0ED4">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提供全套方案、工具与培训，辅导落地实施。重点协助完成职级套接、薪酬核定等个人层面落地方案；开展面向全体员工的专项培训（如体系解读、操作流程培训）；建立方案落地跟踪机制，及时解决实施过程中的问题，推动理念共识与操作顺畅。需输出培训材料、实施辅导手册、问题解决方案汇总，确保新体系顺畅运行并持续优化。</w:t>
            </w:r>
          </w:p>
        </w:tc>
      </w:tr>
      <w:tr w14:paraId="24DD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66DB23A">
            <w:pPr>
              <w:tabs>
                <w:tab w:val="left" w:pos="2000"/>
                <w:tab w:val="left" w:pos="5580"/>
                <w:tab w:val="left" w:pos="6220"/>
                <w:tab w:val="left" w:pos="6840"/>
                <w:tab w:val="left" w:pos="7460"/>
                <w:tab w:val="left" w:pos="8100"/>
              </w:tabs>
              <w:autoSpaceDE w:val="0"/>
              <w:autoSpaceDN w:val="0"/>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9.4</w:t>
            </w:r>
          </w:p>
        </w:tc>
        <w:tc>
          <w:tcPr>
            <w:tcW w:w="1751" w:type="dxa"/>
            <w:vAlign w:val="center"/>
          </w:tcPr>
          <w:p w14:paraId="595B131E">
            <w:pPr>
              <w:tabs>
                <w:tab w:val="left" w:pos="2032"/>
              </w:tabs>
              <w:autoSpaceDE w:val="0"/>
              <w:autoSpaceDN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支付方式</w:t>
            </w:r>
          </w:p>
        </w:tc>
        <w:tc>
          <w:tcPr>
            <w:tcW w:w="6131" w:type="dxa"/>
            <w:vAlign w:val="center"/>
          </w:tcPr>
          <w:p w14:paraId="15F93AA5">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1.合同签订后，中标人向招标人开具合同金额25%的等额增值税专用发票，招标人收到发票后10个工作日内支付合同金额的25%；</w:t>
            </w:r>
          </w:p>
          <w:p w14:paraId="154B9021">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2.中标人完成薪酬体系与绩效体系全部设计并正式实施后，向招标人开具合同金额30%的等额增值税专用发票，招标人收到发票后10个工作日内支付合同金额的30%；</w:t>
            </w:r>
          </w:p>
          <w:p w14:paraId="0EE500B5">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3.中标人完成除干部竞聘外的其余委托内容，并通过验收后，向招标人开具合同金额25%的等额增值税专用发票，招标人收到发票后10个工作日内支付合同金额的25%；</w:t>
            </w:r>
          </w:p>
          <w:p w14:paraId="0258D482">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4.中标人完成干部竞聘全部工作后，向招标人开具合同金额20%的等额增值税专用发票，招标人收到发票后10个工作日内支付合同金额的20%。</w:t>
            </w:r>
          </w:p>
        </w:tc>
      </w:tr>
      <w:tr w14:paraId="73D5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436FD57">
            <w:pPr>
              <w:tabs>
                <w:tab w:val="left" w:pos="2000"/>
                <w:tab w:val="left" w:pos="5580"/>
                <w:tab w:val="left" w:pos="6220"/>
                <w:tab w:val="left" w:pos="6840"/>
                <w:tab w:val="left" w:pos="7460"/>
                <w:tab w:val="left" w:pos="8100"/>
              </w:tabs>
              <w:autoSpaceDE w:val="0"/>
              <w:autoSpaceDN w:val="0"/>
              <w:snapToGrid w:val="0"/>
              <w:spacing w:line="360" w:lineRule="auto"/>
              <w:jc w:val="center"/>
              <w:rPr>
                <w:rFonts w:hint="eastAsia" w:ascii="仿宋" w:hAnsi="仿宋" w:eastAsia="仿宋" w:cs="仿宋"/>
                <w:sz w:val="21"/>
                <w:szCs w:val="21"/>
                <w:highlight w:val="none"/>
              </w:rPr>
            </w:pPr>
            <w:bookmarkStart w:id="39" w:name="_Toc1851"/>
            <w:r>
              <w:rPr>
                <w:rFonts w:hint="eastAsia" w:ascii="仿宋" w:hAnsi="仿宋" w:eastAsia="仿宋" w:cs="仿宋"/>
                <w:sz w:val="21"/>
                <w:szCs w:val="21"/>
                <w:highlight w:val="none"/>
              </w:rPr>
              <w:t>9.5</w:t>
            </w:r>
          </w:p>
        </w:tc>
        <w:tc>
          <w:tcPr>
            <w:tcW w:w="1751" w:type="dxa"/>
            <w:vAlign w:val="center"/>
          </w:tcPr>
          <w:p w14:paraId="5CA1DE33">
            <w:pPr>
              <w:tabs>
                <w:tab w:val="left" w:pos="2032"/>
              </w:tabs>
              <w:autoSpaceDE w:val="0"/>
              <w:autoSpaceDN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保密要求</w:t>
            </w:r>
          </w:p>
        </w:tc>
        <w:tc>
          <w:tcPr>
            <w:tcW w:w="6131" w:type="dxa"/>
            <w:vAlign w:val="center"/>
          </w:tcPr>
          <w:p w14:paraId="48D6446F">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中标人应遵守国家有关保密的法律法规和行业规定，并对招标人提供的资料负有保密义务。未经招标人同意，不得将合同履行过程中获得的政府、公民等各种信息和资料提供给其他单位和个人。如发生以上情况的，中标人须立即采取措施弥补，并向招标人支付违约金人民币5万元或合同服务费总金额的20%（以孰高为准），如造成招标人损失的，中标人须另行全额赔偿。</w:t>
            </w:r>
          </w:p>
          <w:p w14:paraId="5F0C4478">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招标人有义务保护中标人的知识产权，未经中标人同意，不得将中标人交付的具有知识产权性质的成果文件、资料向第三方转让或用于本合同以外的项目。如发生以上情况，中标人有权索赔，但招标人依据相关法定职责对外公开的除外。</w:t>
            </w:r>
          </w:p>
          <w:p w14:paraId="74AB89E1">
            <w:pPr>
              <w:pStyle w:val="54"/>
              <w:ind w:firstLine="420" w:firstLineChars="200"/>
              <w:rPr>
                <w:rFonts w:hint="eastAsia" w:ascii="仿宋" w:hAnsi="仿宋" w:eastAsia="仿宋" w:cs="仿宋"/>
                <w:highlight w:val="none"/>
              </w:rPr>
            </w:pPr>
            <w:r>
              <w:rPr>
                <w:rFonts w:hint="eastAsia" w:ascii="仿宋" w:hAnsi="仿宋" w:eastAsia="仿宋" w:cs="仿宋"/>
                <w:sz w:val="21"/>
                <w:szCs w:val="21"/>
                <w:highlight w:val="none"/>
              </w:rPr>
              <w:t>比选申请单位需对以上保密条款承诺</w:t>
            </w:r>
          </w:p>
        </w:tc>
      </w:tr>
      <w:tr w14:paraId="02C9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F71E35E">
            <w:pPr>
              <w:tabs>
                <w:tab w:val="left" w:pos="2000"/>
                <w:tab w:val="left" w:pos="5580"/>
                <w:tab w:val="left" w:pos="6220"/>
                <w:tab w:val="left" w:pos="6840"/>
                <w:tab w:val="left" w:pos="7460"/>
                <w:tab w:val="left" w:pos="8100"/>
              </w:tabs>
              <w:autoSpaceDE w:val="0"/>
              <w:autoSpaceDN w:val="0"/>
              <w:snapToGrid w:val="0"/>
              <w:spacing w:line="360" w:lineRule="auto"/>
              <w:jc w:val="center"/>
              <w:rPr>
                <w:rFonts w:hint="eastAsia" w:ascii="仿宋" w:hAnsi="仿宋" w:eastAsia="仿宋" w:cs="仿宋"/>
                <w:sz w:val="21"/>
                <w:szCs w:val="21"/>
                <w:highlight w:val="none"/>
              </w:rPr>
            </w:pPr>
            <w:bookmarkStart w:id="40" w:name="_Toc13000"/>
            <w:r>
              <w:rPr>
                <w:rFonts w:hint="eastAsia" w:ascii="仿宋" w:hAnsi="仿宋" w:eastAsia="仿宋" w:cs="仿宋"/>
                <w:sz w:val="21"/>
                <w:szCs w:val="21"/>
                <w:highlight w:val="none"/>
              </w:rPr>
              <w:t>9.6</w:t>
            </w:r>
          </w:p>
        </w:tc>
        <w:tc>
          <w:tcPr>
            <w:tcW w:w="1751" w:type="dxa"/>
            <w:vAlign w:val="center"/>
          </w:tcPr>
          <w:p w14:paraId="2F2C8410">
            <w:pPr>
              <w:tabs>
                <w:tab w:val="left" w:pos="2032"/>
              </w:tabs>
              <w:autoSpaceDE w:val="0"/>
              <w:autoSpaceDN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异议、投诉处理</w:t>
            </w:r>
          </w:p>
        </w:tc>
        <w:tc>
          <w:tcPr>
            <w:tcW w:w="6131" w:type="dxa"/>
            <w:vAlign w:val="center"/>
          </w:tcPr>
          <w:p w14:paraId="59D31767">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 比选申请人或者其他利害关系人就本项目的竞争性比选文件（含澄清修改）、开标情况、评标结果等事项提出异议或投诉的，应当先向比选人提出异议；比选人应当在规定时间内答复；对比选人的答复不满意，可向行政监督部门投诉。</w:t>
            </w:r>
          </w:p>
          <w:p w14:paraId="1235B019">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提出异议或投诉时应当包括下列内容：</w:t>
            </w:r>
          </w:p>
          <w:p w14:paraId="30B17537">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（1）异议人或投诉人的名称、地址及有效联系方式；</w:t>
            </w:r>
          </w:p>
          <w:p w14:paraId="22EA996C">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（2）被异议人或被投诉人的名称、地址及有效联系方式；</w:t>
            </w:r>
          </w:p>
          <w:p w14:paraId="1D0C80EE">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（3）异议或投诉事项的基本事实；</w:t>
            </w:r>
          </w:p>
          <w:p w14:paraId="03BAE2E3">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（4）请求及主张；</w:t>
            </w:r>
          </w:p>
          <w:p w14:paraId="339EC953">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（5）涉及事项的证据、证明材料。</w:t>
            </w:r>
          </w:p>
          <w:p w14:paraId="6D9E4B18">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6CB3BEAB">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 行政监督部门依照《中华人民共和国招标投标法》、《中华人民共和国招标投标法实施条例》、《重庆市招标投标条例》、《工程建设项目招标投标活动投诉处理办法》（七部委令第11号（根据九部门2013年第23号令修正））、《关于印发&lt;重庆市招标投标活动投诉处理实施细则（修订）&gt;的通知》（渝公管发〔2021〕54号）等法律法规文件处理投诉。</w:t>
            </w:r>
          </w:p>
          <w:p w14:paraId="6A33E7B6">
            <w:pPr>
              <w:tabs>
                <w:tab w:val="left" w:pos="2032"/>
              </w:tabs>
              <w:autoSpaceDE w:val="0"/>
              <w:autoSpaceDN w:val="0"/>
              <w:spacing w:line="360" w:lineRule="auto"/>
              <w:ind w:firstLine="420" w:firstLineChars="20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3.异议受理单位：</w:t>
            </w:r>
            <w:r>
              <w:rPr>
                <w:rFonts w:hint="eastAsia" w:ascii="仿宋" w:hAnsi="仿宋" w:eastAsia="仿宋" w:cs="仿宋"/>
                <w:sz w:val="21"/>
                <w:szCs w:val="21"/>
                <w:highlight w:val="none"/>
                <w:lang w:eastAsia="zh-CN"/>
              </w:rPr>
              <w:t>重庆广阳湾生态城投资发展集团有限公司成本合约部</w:t>
            </w:r>
          </w:p>
          <w:p w14:paraId="7FDAABD4">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联系电话：62823880</w:t>
            </w:r>
          </w:p>
          <w:p w14:paraId="02FEF289">
            <w:pPr>
              <w:tabs>
                <w:tab w:val="left" w:pos="2032"/>
              </w:tabs>
              <w:autoSpaceDE w:val="0"/>
              <w:autoSpaceDN w:val="0"/>
              <w:spacing w:line="360" w:lineRule="auto"/>
              <w:ind w:firstLine="420" w:firstLineChars="20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投诉受理单位：重庆广阳湾生态城投资发展集团有限公司</w:t>
            </w:r>
            <w:r>
              <w:rPr>
                <w:rFonts w:hint="eastAsia" w:ascii="仿宋" w:hAnsi="仿宋" w:eastAsia="仿宋" w:cs="仿宋"/>
                <w:sz w:val="21"/>
                <w:szCs w:val="21"/>
                <w:highlight w:val="none"/>
                <w:lang w:eastAsia="zh-CN"/>
              </w:rPr>
              <w:t>成本合约部</w:t>
            </w:r>
          </w:p>
          <w:p w14:paraId="09AB1178">
            <w:pPr>
              <w:tabs>
                <w:tab w:val="left" w:pos="2032"/>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联系电话：62823880</w:t>
            </w:r>
          </w:p>
        </w:tc>
      </w:tr>
    </w:tbl>
    <w:p w14:paraId="14183233">
      <w:pPr>
        <w:pageBreakBefore/>
        <w:spacing w:line="360" w:lineRule="auto"/>
        <w:outlineLvl w:val="1"/>
        <w:rPr>
          <w:rFonts w:hint="eastAsia" w:ascii="仿宋" w:hAnsi="仿宋" w:eastAsia="仿宋" w:cs="仿宋"/>
          <w:b/>
          <w:sz w:val="21"/>
          <w:szCs w:val="21"/>
          <w:highlight w:val="none"/>
        </w:rPr>
      </w:pPr>
      <w:r>
        <w:rPr>
          <w:rFonts w:hint="eastAsia" w:ascii="仿宋" w:hAnsi="仿宋" w:eastAsia="仿宋" w:cs="仿宋"/>
          <w:b/>
          <w:sz w:val="21"/>
          <w:szCs w:val="21"/>
          <w:highlight w:val="none"/>
        </w:rPr>
        <w:t>1.  总则</w:t>
      </w:r>
      <w:bookmarkEnd w:id="35"/>
      <w:bookmarkEnd w:id="36"/>
      <w:bookmarkEnd w:id="37"/>
      <w:bookmarkEnd w:id="38"/>
      <w:bookmarkEnd w:id="39"/>
      <w:bookmarkEnd w:id="40"/>
    </w:p>
    <w:p w14:paraId="7F4A949D">
      <w:pPr>
        <w:spacing w:line="360" w:lineRule="auto"/>
        <w:outlineLvl w:val="2"/>
        <w:rPr>
          <w:rFonts w:hint="eastAsia" w:ascii="仿宋" w:hAnsi="仿宋" w:eastAsia="仿宋" w:cs="仿宋"/>
          <w:b/>
          <w:sz w:val="21"/>
          <w:szCs w:val="21"/>
          <w:highlight w:val="none"/>
        </w:rPr>
      </w:pPr>
      <w:bookmarkStart w:id="41" w:name="_Toc430205969"/>
      <w:bookmarkStart w:id="42" w:name="_Toc326274487"/>
      <w:bookmarkStart w:id="43" w:name="_Toc9441"/>
      <w:bookmarkStart w:id="44" w:name="_Toc287607747"/>
      <w:bookmarkStart w:id="45" w:name="_Toc224103318"/>
      <w:bookmarkStart w:id="46" w:name="_Toc277082553"/>
      <w:bookmarkStart w:id="47" w:name="_Toc200513127"/>
      <w:r>
        <w:rPr>
          <w:rFonts w:hint="eastAsia" w:ascii="仿宋" w:hAnsi="仿宋" w:eastAsia="仿宋" w:cs="仿宋"/>
          <w:b/>
          <w:sz w:val="21"/>
          <w:szCs w:val="21"/>
          <w:highlight w:val="none"/>
        </w:rPr>
        <w:t>1.1  项目概况</w:t>
      </w:r>
      <w:bookmarkEnd w:id="41"/>
      <w:bookmarkEnd w:id="42"/>
      <w:bookmarkEnd w:id="43"/>
      <w:bookmarkEnd w:id="44"/>
      <w:bookmarkEnd w:id="45"/>
      <w:bookmarkEnd w:id="46"/>
      <w:bookmarkEnd w:id="47"/>
    </w:p>
    <w:p w14:paraId="6B343CE8">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1.1.1  根据《中华人民共和国招标投标法》等有关法律、法规和规章的规定，本项目已具备比选条件，现对本项目进行比选。</w:t>
      </w:r>
    </w:p>
    <w:p w14:paraId="4E1175A9">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1.1.2  本比选项目比选人：见比选申请人须知前附表。</w:t>
      </w:r>
    </w:p>
    <w:p w14:paraId="0EDBA518">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1.1.3  本比选项目代理机构：见比选申请人须知前附表。</w:t>
      </w:r>
    </w:p>
    <w:p w14:paraId="1B595540">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1.1.4  本比选项目名称：见比选申请人须知前附表。</w:t>
      </w:r>
    </w:p>
    <w:p w14:paraId="4D282F52">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1.1.5  本比选项目建设地点：见比选申请人须知前附表。</w:t>
      </w:r>
    </w:p>
    <w:p w14:paraId="19AC4A0A">
      <w:pPr>
        <w:pStyle w:val="9"/>
        <w:spacing w:line="360" w:lineRule="auto"/>
        <w:rPr>
          <w:rFonts w:hint="eastAsia" w:ascii="仿宋" w:hAnsi="仿宋" w:eastAsia="仿宋" w:cs="仿宋"/>
          <w:highlight w:val="none"/>
        </w:rPr>
      </w:pPr>
      <w:r>
        <w:rPr>
          <w:rFonts w:hint="eastAsia" w:ascii="仿宋" w:hAnsi="仿宋" w:eastAsia="仿宋" w:cs="仿宋"/>
          <w:sz w:val="21"/>
          <w:szCs w:val="21"/>
          <w:highlight w:val="none"/>
        </w:rPr>
        <w:t xml:space="preserve">    1.1.6  本比选项目建设规模：见比选申请人须知前附表。</w:t>
      </w:r>
    </w:p>
    <w:p w14:paraId="01A10EAB">
      <w:pPr>
        <w:spacing w:line="360" w:lineRule="auto"/>
        <w:outlineLvl w:val="2"/>
        <w:rPr>
          <w:rFonts w:hint="eastAsia" w:ascii="仿宋" w:hAnsi="仿宋" w:eastAsia="仿宋" w:cs="仿宋"/>
          <w:b/>
          <w:sz w:val="21"/>
          <w:szCs w:val="21"/>
          <w:highlight w:val="none"/>
        </w:rPr>
      </w:pPr>
      <w:bookmarkStart w:id="48" w:name="_Toc27954"/>
      <w:bookmarkStart w:id="49" w:name="_Toc277082554"/>
      <w:bookmarkStart w:id="50" w:name="_Toc430205970"/>
      <w:bookmarkStart w:id="51" w:name="_Toc224103319"/>
      <w:bookmarkStart w:id="52" w:name="_Toc287607748"/>
      <w:bookmarkStart w:id="53" w:name="_Toc200513128"/>
      <w:bookmarkStart w:id="54" w:name="_Toc326274488"/>
      <w:r>
        <w:rPr>
          <w:rFonts w:hint="eastAsia" w:ascii="仿宋" w:hAnsi="仿宋" w:eastAsia="仿宋" w:cs="仿宋"/>
          <w:b/>
          <w:sz w:val="21"/>
          <w:szCs w:val="21"/>
          <w:highlight w:val="none"/>
        </w:rPr>
        <w:t>1.2  资金来源和落实情况</w:t>
      </w:r>
      <w:bookmarkEnd w:id="48"/>
      <w:bookmarkEnd w:id="49"/>
      <w:bookmarkEnd w:id="50"/>
      <w:bookmarkEnd w:id="51"/>
      <w:bookmarkEnd w:id="52"/>
      <w:bookmarkEnd w:id="53"/>
      <w:bookmarkEnd w:id="54"/>
    </w:p>
    <w:p w14:paraId="1ABC6FF8">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1.2.1  本比选项目的资金来源：见比选申请人须知前附表。</w:t>
      </w:r>
    </w:p>
    <w:p w14:paraId="4A203943">
      <w:pPr>
        <w:pStyle w:val="9"/>
        <w:spacing w:line="360" w:lineRule="auto"/>
        <w:rPr>
          <w:rFonts w:hint="eastAsia" w:ascii="仿宋" w:hAnsi="仿宋" w:eastAsia="仿宋" w:cs="仿宋"/>
          <w:highlight w:val="none"/>
        </w:rPr>
      </w:pPr>
      <w:r>
        <w:rPr>
          <w:rFonts w:hint="eastAsia" w:ascii="仿宋" w:hAnsi="仿宋" w:eastAsia="仿宋" w:cs="仿宋"/>
          <w:sz w:val="21"/>
          <w:szCs w:val="21"/>
          <w:highlight w:val="none"/>
        </w:rPr>
        <w:t xml:space="preserve">    1.2.2  本比选项目的出资比例：见比选申请人须知前附表</w:t>
      </w:r>
    </w:p>
    <w:p w14:paraId="51419F36">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1.2.3  本比选项目的资金落实情况：见比选申请人须知前附表。</w:t>
      </w:r>
    </w:p>
    <w:p w14:paraId="5D85B0EF">
      <w:pPr>
        <w:spacing w:line="360" w:lineRule="auto"/>
        <w:outlineLvl w:val="2"/>
        <w:rPr>
          <w:rFonts w:hint="eastAsia" w:ascii="仿宋" w:hAnsi="仿宋" w:eastAsia="仿宋" w:cs="仿宋"/>
          <w:b/>
          <w:sz w:val="21"/>
          <w:szCs w:val="21"/>
          <w:highlight w:val="none"/>
        </w:rPr>
      </w:pPr>
      <w:bookmarkStart w:id="55" w:name="_Toc224103320"/>
      <w:bookmarkStart w:id="56" w:name="_Toc2340"/>
      <w:bookmarkStart w:id="57" w:name="_Toc430205971"/>
      <w:bookmarkStart w:id="58" w:name="_Toc277082555"/>
      <w:bookmarkStart w:id="59" w:name="_Toc200513129"/>
      <w:bookmarkStart w:id="60" w:name="_Toc287607749"/>
      <w:bookmarkStart w:id="61" w:name="_Toc326274489"/>
      <w:r>
        <w:rPr>
          <w:rFonts w:hint="eastAsia" w:ascii="仿宋" w:hAnsi="仿宋" w:eastAsia="仿宋" w:cs="仿宋"/>
          <w:b/>
          <w:sz w:val="21"/>
          <w:szCs w:val="21"/>
          <w:highlight w:val="none"/>
        </w:rPr>
        <w:t>1.3  比选范围、计划工期和质量要求</w:t>
      </w:r>
      <w:bookmarkEnd w:id="55"/>
      <w:bookmarkEnd w:id="56"/>
      <w:bookmarkEnd w:id="57"/>
      <w:bookmarkEnd w:id="58"/>
      <w:bookmarkEnd w:id="59"/>
      <w:bookmarkEnd w:id="60"/>
      <w:bookmarkEnd w:id="61"/>
    </w:p>
    <w:p w14:paraId="6CE1A440">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1.3.1  比选范围：见比选申请人须知前附表。</w:t>
      </w:r>
    </w:p>
    <w:p w14:paraId="27672CE1">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1.3.2  计划服务期：见比选申请人须知前附表。</w:t>
      </w:r>
    </w:p>
    <w:p w14:paraId="3C317081">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1.3.3  质量要求：见比选申请人须知前附表。</w:t>
      </w:r>
    </w:p>
    <w:p w14:paraId="4FB5EA9E">
      <w:pPr>
        <w:spacing w:line="360" w:lineRule="auto"/>
        <w:outlineLvl w:val="2"/>
        <w:rPr>
          <w:rFonts w:hint="eastAsia" w:ascii="仿宋" w:hAnsi="仿宋" w:eastAsia="仿宋" w:cs="仿宋"/>
          <w:b/>
          <w:sz w:val="21"/>
          <w:szCs w:val="21"/>
          <w:highlight w:val="none"/>
        </w:rPr>
      </w:pPr>
      <w:bookmarkStart w:id="62" w:name="_Toc326274490"/>
      <w:bookmarkStart w:id="63" w:name="_Toc27658"/>
      <w:bookmarkStart w:id="64" w:name="_Toc430205972"/>
      <w:bookmarkStart w:id="65" w:name="_Toc200513131"/>
      <w:bookmarkStart w:id="66" w:name="_Toc287607751"/>
      <w:bookmarkStart w:id="67" w:name="_Toc224103322"/>
      <w:bookmarkStart w:id="68" w:name="_Toc277082557"/>
      <w:r>
        <w:rPr>
          <w:rFonts w:hint="eastAsia" w:ascii="仿宋" w:hAnsi="仿宋" w:eastAsia="仿宋" w:cs="仿宋"/>
          <w:b/>
          <w:sz w:val="21"/>
          <w:szCs w:val="21"/>
          <w:highlight w:val="none"/>
        </w:rPr>
        <w:t>1.4  比选申请人资格要求</w:t>
      </w:r>
      <w:bookmarkEnd w:id="62"/>
      <w:bookmarkEnd w:id="63"/>
      <w:bookmarkEnd w:id="64"/>
      <w:bookmarkEnd w:id="65"/>
      <w:bookmarkEnd w:id="66"/>
      <w:bookmarkEnd w:id="67"/>
      <w:bookmarkEnd w:id="68"/>
    </w:p>
    <w:p w14:paraId="10F67C81">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1.4.1 比选申请人应具备承担本项目的资质条件、能力和信誉。</w:t>
      </w:r>
    </w:p>
    <w:p w14:paraId="5B1310D1">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（1）资质条件、营业执照及安全生产条件：见比选申请人须知前附表；</w:t>
      </w:r>
    </w:p>
    <w:p w14:paraId="0579055C">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（2）比选申请截止日投标资格情况：见比选申请人须知前附表；</w:t>
      </w:r>
    </w:p>
    <w:p w14:paraId="0ECF4F53">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（3）资格要求：见比选申请人须知前附表；</w:t>
      </w:r>
    </w:p>
    <w:p w14:paraId="4222DFC5">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（4）其他要求：见比选申请人须知前附表。</w:t>
      </w:r>
    </w:p>
    <w:p w14:paraId="4EEF6062">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1.4.2  比选申请人须知前附表规定不接受联合体比选申请。</w:t>
      </w:r>
    </w:p>
    <w:p w14:paraId="505164F2">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1.4.3  比选申请人不得存在下列情形之一：</w:t>
      </w:r>
    </w:p>
    <w:p w14:paraId="5D9A6D7B">
      <w:pPr>
        <w:autoSpaceDE w:val="0"/>
        <w:autoSpaceDN w:val="0"/>
        <w:snapToGrid w:val="0"/>
        <w:spacing w:line="360" w:lineRule="auto"/>
        <w:ind w:firstLine="359" w:firstLineChars="171"/>
        <w:rPr>
          <w:rFonts w:hint="eastAsia" w:ascii="仿宋" w:hAnsi="仿宋" w:eastAsia="仿宋" w:cs="仿宋"/>
          <w:snapToGrid w:val="0"/>
          <w:sz w:val="21"/>
          <w:szCs w:val="21"/>
          <w:highlight w:val="none"/>
        </w:rPr>
      </w:pPr>
      <w:bookmarkStart w:id="69" w:name="_Toc224103323"/>
      <w:bookmarkStart w:id="70" w:name="_Toc287607752"/>
      <w:bookmarkStart w:id="71" w:name="_Toc7893"/>
      <w:bookmarkStart w:id="72" w:name="_Toc277082558"/>
      <w:bookmarkStart w:id="73" w:name="_Toc326274491"/>
      <w:bookmarkStart w:id="74" w:name="_Toc200513132"/>
      <w:bookmarkStart w:id="75" w:name="_Toc430205973"/>
      <w:r>
        <w:rPr>
          <w:rFonts w:hint="eastAsia" w:ascii="仿宋" w:hAnsi="仿宋" w:eastAsia="仿宋" w:cs="仿宋"/>
          <w:snapToGrid w:val="0"/>
          <w:sz w:val="21"/>
          <w:szCs w:val="21"/>
          <w:highlight w:val="none"/>
        </w:rPr>
        <w:t>（1）比选申请人单位负责人为同一人或者存在直接控股、管理关系的，不得参加同一合同项下的采购活动；</w:t>
      </w:r>
    </w:p>
    <w:p w14:paraId="0866F229">
      <w:pPr>
        <w:autoSpaceDE w:val="0"/>
        <w:autoSpaceDN w:val="0"/>
        <w:snapToGrid w:val="0"/>
        <w:spacing w:line="360" w:lineRule="auto"/>
        <w:ind w:firstLine="359" w:firstLineChars="171"/>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（2）为采购项目提供整体设计、规范编制或者项目管理、监理、检测等服务的，不得参加本项目的采购活动；</w:t>
      </w:r>
    </w:p>
    <w:p w14:paraId="7064C6A3">
      <w:pPr>
        <w:autoSpaceDE w:val="0"/>
        <w:autoSpaceDN w:val="0"/>
        <w:snapToGrid w:val="0"/>
        <w:spacing w:line="360" w:lineRule="auto"/>
        <w:ind w:firstLine="359" w:firstLineChars="171"/>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（3）比选申请人被“信用中国”网站（www.creditchina.gov.cn）、“中国政府采购网”(www.ccgp.gov.cn)列入失信被执行人、重大税收违法案件当事人名单、政府采购严重违法失信行为记录名单。</w:t>
      </w:r>
    </w:p>
    <w:p w14:paraId="652560CF">
      <w:pPr>
        <w:spacing w:line="360" w:lineRule="auto"/>
        <w:outlineLvl w:val="2"/>
        <w:rPr>
          <w:rFonts w:hint="eastAsia" w:ascii="仿宋" w:hAnsi="仿宋" w:eastAsia="仿宋" w:cs="仿宋"/>
          <w:b/>
          <w:sz w:val="21"/>
          <w:szCs w:val="21"/>
          <w:highlight w:val="none"/>
        </w:rPr>
      </w:pPr>
      <w:r>
        <w:rPr>
          <w:rFonts w:hint="eastAsia" w:ascii="仿宋" w:hAnsi="仿宋" w:eastAsia="仿宋" w:cs="仿宋"/>
          <w:b/>
          <w:sz w:val="21"/>
          <w:szCs w:val="21"/>
          <w:highlight w:val="none"/>
        </w:rPr>
        <w:t>1.5  费用承担</w:t>
      </w:r>
      <w:bookmarkEnd w:id="69"/>
      <w:bookmarkEnd w:id="70"/>
      <w:bookmarkEnd w:id="71"/>
      <w:bookmarkEnd w:id="72"/>
      <w:bookmarkEnd w:id="73"/>
      <w:bookmarkEnd w:id="74"/>
      <w:bookmarkEnd w:id="75"/>
    </w:p>
    <w:p w14:paraId="65FFE04E">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比选申请人准备和参加比选申请活动发生的费用自理。</w:t>
      </w:r>
    </w:p>
    <w:p w14:paraId="244CFAE3">
      <w:pPr>
        <w:spacing w:line="360" w:lineRule="auto"/>
        <w:outlineLvl w:val="2"/>
        <w:rPr>
          <w:rFonts w:hint="eastAsia" w:ascii="仿宋" w:hAnsi="仿宋" w:eastAsia="仿宋" w:cs="仿宋"/>
          <w:b/>
          <w:sz w:val="21"/>
          <w:szCs w:val="21"/>
          <w:highlight w:val="none"/>
        </w:rPr>
      </w:pPr>
      <w:bookmarkStart w:id="76" w:name="_Toc200513133"/>
      <w:bookmarkStart w:id="77" w:name="_Toc430205974"/>
      <w:bookmarkStart w:id="78" w:name="_Toc287607753"/>
      <w:bookmarkStart w:id="79" w:name="_Toc326274492"/>
      <w:bookmarkStart w:id="80" w:name="_Toc13552"/>
      <w:bookmarkStart w:id="81" w:name="_Toc277082559"/>
      <w:bookmarkStart w:id="82" w:name="_Toc224103324"/>
      <w:r>
        <w:rPr>
          <w:rFonts w:hint="eastAsia" w:ascii="仿宋" w:hAnsi="仿宋" w:eastAsia="仿宋" w:cs="仿宋"/>
          <w:b/>
          <w:sz w:val="21"/>
          <w:szCs w:val="21"/>
          <w:highlight w:val="none"/>
        </w:rPr>
        <w:t>1.6  保密</w:t>
      </w:r>
      <w:bookmarkEnd w:id="76"/>
      <w:bookmarkEnd w:id="77"/>
      <w:bookmarkEnd w:id="78"/>
      <w:bookmarkEnd w:id="79"/>
      <w:bookmarkEnd w:id="80"/>
      <w:bookmarkEnd w:id="81"/>
      <w:bookmarkEnd w:id="82"/>
    </w:p>
    <w:p w14:paraId="3841952E">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参与比选申请活动的各方应对竞争性比选文件和比选申请文件中的商业和技术等秘密保密，违者应对由此造成的后果承担法律责任。</w:t>
      </w:r>
    </w:p>
    <w:p w14:paraId="4704E0D3">
      <w:pPr>
        <w:spacing w:line="360" w:lineRule="auto"/>
        <w:outlineLvl w:val="2"/>
        <w:rPr>
          <w:rFonts w:hint="eastAsia" w:ascii="仿宋" w:hAnsi="仿宋" w:eastAsia="仿宋" w:cs="仿宋"/>
          <w:b/>
          <w:sz w:val="21"/>
          <w:szCs w:val="21"/>
          <w:highlight w:val="none"/>
        </w:rPr>
      </w:pPr>
      <w:bookmarkStart w:id="83" w:name="_Toc326274493"/>
      <w:bookmarkStart w:id="84" w:name="_Toc224103325"/>
      <w:bookmarkStart w:id="85" w:name="_Toc25687"/>
      <w:bookmarkStart w:id="86" w:name="_Toc277082560"/>
      <w:bookmarkStart w:id="87" w:name="_Toc200513134"/>
      <w:bookmarkStart w:id="88" w:name="_Toc430205975"/>
      <w:bookmarkStart w:id="89" w:name="_Toc287607754"/>
      <w:r>
        <w:rPr>
          <w:rFonts w:hint="eastAsia" w:ascii="仿宋" w:hAnsi="仿宋" w:eastAsia="仿宋" w:cs="仿宋"/>
          <w:b/>
          <w:sz w:val="21"/>
          <w:szCs w:val="21"/>
          <w:highlight w:val="none"/>
        </w:rPr>
        <w:t>1.7  语言文字</w:t>
      </w:r>
      <w:bookmarkEnd w:id="83"/>
      <w:bookmarkEnd w:id="84"/>
      <w:bookmarkEnd w:id="85"/>
      <w:bookmarkEnd w:id="86"/>
      <w:bookmarkEnd w:id="87"/>
      <w:bookmarkEnd w:id="88"/>
      <w:bookmarkEnd w:id="89"/>
    </w:p>
    <w:p w14:paraId="2131D3B3">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除专用术语外，与比选申请有关的语言均使用中文。必要时专用术语应附有中文注释。</w:t>
      </w:r>
    </w:p>
    <w:p w14:paraId="0F9333BA">
      <w:pPr>
        <w:spacing w:line="360" w:lineRule="auto"/>
        <w:outlineLvl w:val="2"/>
        <w:rPr>
          <w:rFonts w:hint="eastAsia" w:ascii="仿宋" w:hAnsi="仿宋" w:eastAsia="仿宋" w:cs="仿宋"/>
          <w:b/>
          <w:sz w:val="21"/>
          <w:szCs w:val="21"/>
          <w:highlight w:val="none"/>
        </w:rPr>
      </w:pPr>
      <w:bookmarkStart w:id="90" w:name="_Toc277082561"/>
      <w:bookmarkStart w:id="91" w:name="_Toc224103326"/>
      <w:bookmarkStart w:id="92" w:name="_Toc287607755"/>
      <w:bookmarkStart w:id="93" w:name="_Toc326274494"/>
      <w:bookmarkStart w:id="94" w:name="_Toc200513135"/>
      <w:bookmarkStart w:id="95" w:name="_Toc18797"/>
      <w:bookmarkStart w:id="96" w:name="_Toc430205976"/>
      <w:r>
        <w:rPr>
          <w:rFonts w:hint="eastAsia" w:ascii="仿宋" w:hAnsi="仿宋" w:eastAsia="仿宋" w:cs="仿宋"/>
          <w:b/>
          <w:sz w:val="21"/>
          <w:szCs w:val="21"/>
          <w:highlight w:val="none"/>
        </w:rPr>
        <w:t>1.8  计量单位</w:t>
      </w:r>
      <w:bookmarkEnd w:id="90"/>
      <w:bookmarkEnd w:id="91"/>
      <w:bookmarkEnd w:id="92"/>
      <w:bookmarkEnd w:id="93"/>
      <w:bookmarkEnd w:id="94"/>
      <w:bookmarkEnd w:id="95"/>
      <w:bookmarkEnd w:id="96"/>
    </w:p>
    <w:p w14:paraId="1D3414CE">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所有计量均采用中华人民共和国法定计量单位。</w:t>
      </w:r>
    </w:p>
    <w:p w14:paraId="720ED915">
      <w:pPr>
        <w:spacing w:line="360" w:lineRule="auto"/>
        <w:outlineLvl w:val="2"/>
        <w:rPr>
          <w:rFonts w:hint="eastAsia" w:ascii="仿宋" w:hAnsi="仿宋" w:eastAsia="仿宋" w:cs="仿宋"/>
          <w:b/>
          <w:sz w:val="21"/>
          <w:szCs w:val="21"/>
          <w:highlight w:val="none"/>
        </w:rPr>
      </w:pPr>
      <w:bookmarkStart w:id="97" w:name="_Toc430205977"/>
      <w:bookmarkStart w:id="98" w:name="_Toc277082562"/>
      <w:bookmarkStart w:id="99" w:name="_Toc326274495"/>
      <w:bookmarkStart w:id="100" w:name="_Toc224103327"/>
      <w:bookmarkStart w:id="101" w:name="_Toc9981"/>
      <w:bookmarkStart w:id="102" w:name="_Toc200513136"/>
      <w:bookmarkStart w:id="103" w:name="_Toc287607756"/>
      <w:r>
        <w:rPr>
          <w:rFonts w:hint="eastAsia" w:ascii="仿宋" w:hAnsi="仿宋" w:eastAsia="仿宋" w:cs="仿宋"/>
          <w:b/>
          <w:sz w:val="21"/>
          <w:szCs w:val="21"/>
          <w:highlight w:val="none"/>
        </w:rPr>
        <w:t>1.9  踏勘现场</w:t>
      </w:r>
      <w:bookmarkEnd w:id="97"/>
      <w:bookmarkEnd w:id="98"/>
      <w:bookmarkEnd w:id="99"/>
      <w:bookmarkEnd w:id="100"/>
      <w:bookmarkEnd w:id="101"/>
      <w:bookmarkEnd w:id="102"/>
      <w:bookmarkEnd w:id="103"/>
    </w:p>
    <w:p w14:paraId="3EAAE7F3">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1.9.1  比选申请人须知前附表规定组织踏勘现场的，比选人按比选申请人须知前附表规定的时间、 地点组织比选申请人踏勘项目现场。</w:t>
      </w:r>
    </w:p>
    <w:p w14:paraId="3D912FB7">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1.9.2  比选申请人踏勘现场发生的费用自理。</w:t>
      </w:r>
    </w:p>
    <w:p w14:paraId="05E0628A">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1.9.3  除比选人的原因外，比选申请人自行负责在踏勘现场中所发生的人员伤亡和财产损失。</w:t>
      </w:r>
    </w:p>
    <w:p w14:paraId="0C31008F">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1.9.4  比选人在踏勘现场中介绍的工程场地和相关的周边环境情况，供比选申请人在编制比选申请文件时参考，比选人不对比选申请人据此做出的判断和决策负责。</w:t>
      </w:r>
    </w:p>
    <w:p w14:paraId="4EEF18CF">
      <w:pPr>
        <w:spacing w:line="360" w:lineRule="auto"/>
        <w:outlineLvl w:val="2"/>
        <w:rPr>
          <w:rFonts w:hint="eastAsia" w:ascii="仿宋" w:hAnsi="仿宋" w:eastAsia="仿宋" w:cs="仿宋"/>
          <w:b/>
          <w:sz w:val="21"/>
          <w:szCs w:val="21"/>
          <w:highlight w:val="none"/>
        </w:rPr>
      </w:pPr>
      <w:bookmarkStart w:id="104" w:name="_Toc200513137"/>
      <w:bookmarkStart w:id="105" w:name="_Toc287607757"/>
      <w:bookmarkStart w:id="106" w:name="_Toc224103328"/>
      <w:bookmarkStart w:id="107" w:name="_Toc277082563"/>
      <w:bookmarkStart w:id="108" w:name="_Toc29639"/>
      <w:bookmarkStart w:id="109" w:name="_Toc430205978"/>
      <w:bookmarkStart w:id="110" w:name="_Toc224103331"/>
      <w:bookmarkStart w:id="111" w:name="_Toc200513140"/>
      <w:bookmarkStart w:id="112" w:name="_Toc287607760"/>
      <w:bookmarkStart w:id="113" w:name="_Toc326274499"/>
      <w:bookmarkStart w:id="114" w:name="_Toc277082566"/>
      <w:r>
        <w:rPr>
          <w:rFonts w:hint="eastAsia" w:ascii="仿宋" w:hAnsi="仿宋" w:eastAsia="仿宋" w:cs="仿宋"/>
          <w:b/>
          <w:sz w:val="21"/>
          <w:szCs w:val="21"/>
          <w:highlight w:val="none"/>
        </w:rPr>
        <w:t>1.10  比选申请预备会</w:t>
      </w:r>
      <w:bookmarkEnd w:id="104"/>
      <w:bookmarkEnd w:id="105"/>
      <w:bookmarkEnd w:id="106"/>
      <w:bookmarkEnd w:id="107"/>
      <w:bookmarkEnd w:id="108"/>
      <w:bookmarkEnd w:id="109"/>
    </w:p>
    <w:p w14:paraId="45979324">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不召开。</w:t>
      </w:r>
    </w:p>
    <w:p w14:paraId="62F4B307">
      <w:pPr>
        <w:spacing w:line="360" w:lineRule="auto"/>
        <w:outlineLvl w:val="2"/>
        <w:rPr>
          <w:rFonts w:hint="eastAsia" w:ascii="仿宋" w:hAnsi="仿宋" w:eastAsia="仿宋" w:cs="仿宋"/>
          <w:b/>
          <w:sz w:val="21"/>
          <w:szCs w:val="21"/>
          <w:highlight w:val="none"/>
        </w:rPr>
      </w:pPr>
      <w:bookmarkStart w:id="115" w:name="_Toc287607758"/>
      <w:bookmarkStart w:id="116" w:name="_Toc430205979"/>
      <w:bookmarkStart w:id="117" w:name="_Toc200513138"/>
      <w:bookmarkStart w:id="118" w:name="_Toc277082564"/>
      <w:bookmarkStart w:id="119" w:name="_Toc31020"/>
      <w:bookmarkStart w:id="120" w:name="_Toc224103329"/>
      <w:r>
        <w:rPr>
          <w:rFonts w:hint="eastAsia" w:ascii="仿宋" w:hAnsi="仿宋" w:eastAsia="仿宋" w:cs="仿宋"/>
          <w:b/>
          <w:sz w:val="21"/>
          <w:szCs w:val="21"/>
          <w:highlight w:val="none"/>
        </w:rPr>
        <w:t>1.11  分包</w:t>
      </w:r>
      <w:bookmarkEnd w:id="115"/>
      <w:bookmarkEnd w:id="116"/>
      <w:bookmarkEnd w:id="117"/>
      <w:bookmarkEnd w:id="118"/>
      <w:bookmarkEnd w:id="119"/>
      <w:bookmarkEnd w:id="120"/>
    </w:p>
    <w:p w14:paraId="60850369">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不允许分包。</w:t>
      </w:r>
    </w:p>
    <w:p w14:paraId="69E0B440">
      <w:pPr>
        <w:spacing w:line="360" w:lineRule="auto"/>
        <w:outlineLvl w:val="2"/>
        <w:rPr>
          <w:rFonts w:hint="eastAsia" w:ascii="仿宋" w:hAnsi="仿宋" w:eastAsia="仿宋" w:cs="仿宋"/>
          <w:b/>
          <w:sz w:val="21"/>
          <w:szCs w:val="21"/>
          <w:highlight w:val="none"/>
        </w:rPr>
      </w:pPr>
      <w:bookmarkStart w:id="121" w:name="_Toc224103330"/>
      <w:bookmarkStart w:id="122" w:name="_Toc4386"/>
      <w:bookmarkStart w:id="123" w:name="_Toc287607759"/>
      <w:bookmarkStart w:id="124" w:name="_Toc200513139"/>
      <w:bookmarkStart w:id="125" w:name="_Toc277082565"/>
      <w:bookmarkStart w:id="126" w:name="_Toc430205980"/>
      <w:r>
        <w:rPr>
          <w:rFonts w:hint="eastAsia" w:ascii="仿宋" w:hAnsi="仿宋" w:eastAsia="仿宋" w:cs="仿宋"/>
          <w:b/>
          <w:sz w:val="21"/>
          <w:szCs w:val="21"/>
          <w:highlight w:val="none"/>
        </w:rPr>
        <w:t>1.12  偏离</w:t>
      </w:r>
      <w:bookmarkEnd w:id="121"/>
      <w:bookmarkEnd w:id="122"/>
      <w:bookmarkEnd w:id="123"/>
      <w:bookmarkEnd w:id="124"/>
      <w:bookmarkEnd w:id="125"/>
      <w:bookmarkEnd w:id="126"/>
    </w:p>
    <w:p w14:paraId="6C6FE4AC">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不允许</w:t>
      </w:r>
    </w:p>
    <w:p w14:paraId="1BA48A21">
      <w:pPr>
        <w:spacing w:line="360" w:lineRule="auto"/>
        <w:outlineLvl w:val="1"/>
        <w:rPr>
          <w:rFonts w:hint="eastAsia" w:ascii="仿宋" w:hAnsi="仿宋" w:eastAsia="仿宋" w:cs="仿宋"/>
          <w:b/>
          <w:sz w:val="21"/>
          <w:szCs w:val="21"/>
          <w:highlight w:val="none"/>
        </w:rPr>
      </w:pPr>
      <w:bookmarkStart w:id="127" w:name="_Toc20100"/>
      <w:bookmarkStart w:id="128" w:name="_Toc13483"/>
      <w:bookmarkStart w:id="129" w:name="_Toc430205981"/>
      <w:bookmarkStart w:id="130" w:name="_Toc30067"/>
      <w:bookmarkStart w:id="131" w:name="_Toc13314"/>
      <w:bookmarkStart w:id="132" w:name="_Toc492244445"/>
      <w:r>
        <w:rPr>
          <w:rFonts w:hint="eastAsia" w:ascii="仿宋" w:hAnsi="仿宋" w:eastAsia="仿宋" w:cs="仿宋"/>
          <w:b/>
          <w:sz w:val="21"/>
          <w:szCs w:val="21"/>
          <w:highlight w:val="none"/>
        </w:rPr>
        <w:t>2.  竞争性比选文件</w:t>
      </w:r>
      <w:bookmarkEnd w:id="110"/>
      <w:bookmarkEnd w:id="111"/>
      <w:bookmarkEnd w:id="112"/>
      <w:bookmarkEnd w:id="113"/>
      <w:bookmarkEnd w:id="114"/>
      <w:bookmarkEnd w:id="127"/>
      <w:bookmarkEnd w:id="128"/>
      <w:bookmarkEnd w:id="129"/>
      <w:bookmarkEnd w:id="130"/>
      <w:bookmarkEnd w:id="131"/>
      <w:bookmarkEnd w:id="132"/>
    </w:p>
    <w:p w14:paraId="1253E058">
      <w:pPr>
        <w:spacing w:line="360" w:lineRule="auto"/>
        <w:outlineLvl w:val="2"/>
        <w:rPr>
          <w:rFonts w:hint="eastAsia" w:ascii="仿宋" w:hAnsi="仿宋" w:eastAsia="仿宋" w:cs="仿宋"/>
          <w:b/>
          <w:sz w:val="21"/>
          <w:szCs w:val="21"/>
          <w:highlight w:val="none"/>
        </w:rPr>
      </w:pPr>
      <w:bookmarkStart w:id="133" w:name="_Toc19838"/>
      <w:bookmarkStart w:id="134" w:name="_Toc277082567"/>
      <w:bookmarkStart w:id="135" w:name="_Toc200513141"/>
      <w:bookmarkStart w:id="136" w:name="_Toc430205982"/>
      <w:bookmarkStart w:id="137" w:name="_Toc326274500"/>
      <w:bookmarkStart w:id="138" w:name="_Toc224103332"/>
      <w:bookmarkStart w:id="139" w:name="_Toc287607761"/>
      <w:r>
        <w:rPr>
          <w:rFonts w:hint="eastAsia" w:ascii="仿宋" w:hAnsi="仿宋" w:eastAsia="仿宋" w:cs="仿宋"/>
          <w:b/>
          <w:sz w:val="21"/>
          <w:szCs w:val="21"/>
          <w:highlight w:val="none"/>
        </w:rPr>
        <w:t>2.1  竞争性比选文件的组成</w:t>
      </w:r>
      <w:bookmarkEnd w:id="133"/>
      <w:bookmarkEnd w:id="134"/>
      <w:bookmarkEnd w:id="135"/>
      <w:bookmarkEnd w:id="136"/>
      <w:bookmarkEnd w:id="137"/>
      <w:bookmarkEnd w:id="138"/>
      <w:bookmarkEnd w:id="139"/>
    </w:p>
    <w:p w14:paraId="36D246F8">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本竞争性比选文件包括：</w:t>
      </w:r>
    </w:p>
    <w:p w14:paraId="3BF95802">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（1）竞争性比选公告</w:t>
      </w:r>
    </w:p>
    <w:p w14:paraId="67B21C3E">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（2）比选申请人须知；</w:t>
      </w:r>
    </w:p>
    <w:p w14:paraId="36F2565C">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（3）评审办法；</w:t>
      </w:r>
    </w:p>
    <w:p w14:paraId="09E7C71D">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（4）合同条款及格式；</w:t>
      </w:r>
    </w:p>
    <w:p w14:paraId="1BCE6626">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（5）技术标准和要求；</w:t>
      </w:r>
    </w:p>
    <w:p w14:paraId="583185A3">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（6）比选申请文件格式；</w:t>
      </w:r>
    </w:p>
    <w:p w14:paraId="7EE0A324">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（7）比选申请人须知前附表规定的其他材料。</w:t>
      </w:r>
    </w:p>
    <w:p w14:paraId="0ADF8F9F">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根据本章第1.10款款对竞争性比选文件所作的澄清、修改，构成竞争性比选文件的组成部分。</w:t>
      </w:r>
    </w:p>
    <w:p w14:paraId="3D957DD6">
      <w:pPr>
        <w:spacing w:line="360" w:lineRule="auto"/>
        <w:outlineLvl w:val="2"/>
        <w:rPr>
          <w:rFonts w:hint="eastAsia" w:ascii="仿宋" w:hAnsi="仿宋" w:eastAsia="仿宋" w:cs="仿宋"/>
          <w:b/>
          <w:sz w:val="21"/>
          <w:szCs w:val="21"/>
          <w:highlight w:val="none"/>
        </w:rPr>
      </w:pPr>
      <w:bookmarkStart w:id="140" w:name="_Toc430530451"/>
      <w:bookmarkStart w:id="141" w:name="_Toc7097"/>
      <w:bookmarkStart w:id="142" w:name="_Toc509218726"/>
      <w:bookmarkStart w:id="143" w:name="_Toc23750"/>
      <w:bookmarkStart w:id="144" w:name="_Toc489"/>
      <w:bookmarkStart w:id="145" w:name="_Toc287607764"/>
      <w:bookmarkStart w:id="146" w:name="_Toc12056"/>
      <w:bookmarkStart w:id="147" w:name="_Toc430205985"/>
      <w:bookmarkStart w:id="148" w:name="_Toc326274503"/>
      <w:bookmarkStart w:id="149" w:name="_Toc224103335"/>
      <w:bookmarkStart w:id="150" w:name="_Toc492244446"/>
      <w:bookmarkStart w:id="151" w:name="_Toc200513144"/>
      <w:bookmarkStart w:id="152" w:name="_Toc277082570"/>
      <w:bookmarkStart w:id="153" w:name="_Toc14684"/>
      <w:r>
        <w:rPr>
          <w:rFonts w:hint="eastAsia" w:ascii="仿宋" w:hAnsi="仿宋" w:eastAsia="仿宋" w:cs="仿宋"/>
          <w:b/>
          <w:sz w:val="21"/>
          <w:szCs w:val="21"/>
          <w:highlight w:val="none"/>
        </w:rPr>
        <w:t>2.2  竞争性比选文件的澄清</w:t>
      </w:r>
      <w:bookmarkEnd w:id="140"/>
      <w:bookmarkEnd w:id="141"/>
      <w:bookmarkEnd w:id="142"/>
      <w:bookmarkEnd w:id="143"/>
      <w:bookmarkEnd w:id="144"/>
    </w:p>
    <w:p w14:paraId="2B0941A0">
      <w:pPr>
        <w:spacing w:line="360" w:lineRule="auto"/>
        <w:ind w:firstLine="420" w:firstLineChars="200"/>
        <w:rPr>
          <w:rFonts w:hint="eastAsia" w:ascii="仿宋" w:hAnsi="仿宋" w:eastAsia="仿宋" w:cs="仿宋"/>
          <w:sz w:val="21"/>
          <w:szCs w:val="21"/>
          <w:highlight w:val="none"/>
        </w:rPr>
      </w:pPr>
      <w:bookmarkStart w:id="154" w:name="_Toc430530452"/>
      <w:bookmarkStart w:id="155" w:name="_Toc509218727"/>
      <w:bookmarkStart w:id="156" w:name="_Toc277082569"/>
      <w:bookmarkStart w:id="157" w:name="_Toc224103334"/>
      <w:bookmarkStart w:id="158" w:name="_Toc287620702"/>
      <w:bookmarkStart w:id="159" w:name="_Toc200513143"/>
      <w:bookmarkStart w:id="160" w:name="_Toc27922"/>
      <w:bookmarkStart w:id="161" w:name="_Toc287607763"/>
      <w:r>
        <w:rPr>
          <w:rFonts w:hint="eastAsia" w:ascii="仿宋" w:hAnsi="仿宋" w:eastAsia="仿宋" w:cs="仿宋"/>
          <w:sz w:val="21"/>
          <w:szCs w:val="21"/>
          <w:highlight w:val="none"/>
        </w:rPr>
        <w:t>详见比选申请人须知前附表。</w:t>
      </w:r>
    </w:p>
    <w:p w14:paraId="1D276A86">
      <w:pPr>
        <w:spacing w:line="360" w:lineRule="auto"/>
        <w:outlineLvl w:val="2"/>
        <w:rPr>
          <w:rFonts w:hint="eastAsia" w:ascii="仿宋" w:hAnsi="仿宋" w:eastAsia="仿宋" w:cs="仿宋"/>
          <w:b/>
          <w:sz w:val="21"/>
          <w:szCs w:val="21"/>
          <w:highlight w:val="none"/>
        </w:rPr>
      </w:pPr>
      <w:r>
        <w:rPr>
          <w:rFonts w:hint="eastAsia" w:ascii="仿宋" w:hAnsi="仿宋" w:eastAsia="仿宋" w:cs="仿宋"/>
          <w:b/>
          <w:sz w:val="21"/>
          <w:szCs w:val="21"/>
          <w:highlight w:val="none"/>
        </w:rPr>
        <w:t>2.3  竞争性比选文件的修改</w:t>
      </w:r>
      <w:bookmarkEnd w:id="154"/>
      <w:bookmarkEnd w:id="155"/>
      <w:bookmarkEnd w:id="156"/>
      <w:bookmarkEnd w:id="157"/>
      <w:bookmarkEnd w:id="158"/>
      <w:bookmarkEnd w:id="159"/>
      <w:bookmarkEnd w:id="160"/>
      <w:bookmarkEnd w:id="161"/>
    </w:p>
    <w:p w14:paraId="0C2E5087">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详见比选申请人须知前附表。</w:t>
      </w:r>
    </w:p>
    <w:p w14:paraId="67D40735">
      <w:pPr>
        <w:spacing w:line="360" w:lineRule="auto"/>
        <w:outlineLvl w:val="1"/>
        <w:rPr>
          <w:rFonts w:hint="eastAsia" w:ascii="仿宋" w:hAnsi="仿宋" w:eastAsia="仿宋" w:cs="仿宋"/>
          <w:b/>
          <w:sz w:val="21"/>
          <w:szCs w:val="21"/>
          <w:highlight w:val="none"/>
        </w:rPr>
      </w:pPr>
      <w:bookmarkStart w:id="162" w:name="_Toc17616"/>
      <w:bookmarkStart w:id="163" w:name="_Toc11844"/>
      <w:r>
        <w:rPr>
          <w:rFonts w:hint="eastAsia" w:ascii="仿宋" w:hAnsi="仿宋" w:eastAsia="仿宋" w:cs="仿宋"/>
          <w:b/>
          <w:sz w:val="21"/>
          <w:szCs w:val="21"/>
          <w:highlight w:val="none"/>
        </w:rPr>
        <w:t>3.  比选申请文件</w:t>
      </w:r>
      <w:bookmarkEnd w:id="145"/>
      <w:bookmarkEnd w:id="146"/>
      <w:bookmarkEnd w:id="147"/>
      <w:bookmarkEnd w:id="148"/>
      <w:bookmarkEnd w:id="149"/>
      <w:bookmarkEnd w:id="150"/>
      <w:bookmarkEnd w:id="151"/>
      <w:bookmarkEnd w:id="152"/>
      <w:bookmarkEnd w:id="153"/>
      <w:bookmarkEnd w:id="162"/>
      <w:bookmarkEnd w:id="163"/>
    </w:p>
    <w:p w14:paraId="4C2576FC">
      <w:pPr>
        <w:spacing w:line="360" w:lineRule="auto"/>
        <w:outlineLvl w:val="2"/>
        <w:rPr>
          <w:rFonts w:hint="eastAsia" w:ascii="仿宋" w:hAnsi="仿宋" w:eastAsia="仿宋" w:cs="仿宋"/>
          <w:b/>
          <w:sz w:val="21"/>
          <w:szCs w:val="21"/>
          <w:highlight w:val="none"/>
        </w:rPr>
      </w:pPr>
      <w:bookmarkStart w:id="164" w:name="_Toc277082571"/>
      <w:bookmarkStart w:id="165" w:name="_Toc287607765"/>
      <w:bookmarkStart w:id="166" w:name="_Toc5474"/>
      <w:bookmarkStart w:id="167" w:name="_Toc224103336"/>
      <w:bookmarkStart w:id="168" w:name="_Toc430205986"/>
      <w:bookmarkStart w:id="169" w:name="_Toc326274504"/>
      <w:bookmarkStart w:id="170" w:name="_Toc200513145"/>
      <w:r>
        <w:rPr>
          <w:rFonts w:hint="eastAsia" w:ascii="仿宋" w:hAnsi="仿宋" w:eastAsia="仿宋" w:cs="仿宋"/>
          <w:b/>
          <w:sz w:val="21"/>
          <w:szCs w:val="21"/>
          <w:highlight w:val="none"/>
        </w:rPr>
        <w:t>3.1  比选申请文件的组成</w:t>
      </w:r>
      <w:bookmarkEnd w:id="164"/>
      <w:bookmarkEnd w:id="165"/>
      <w:bookmarkEnd w:id="166"/>
      <w:bookmarkEnd w:id="167"/>
      <w:bookmarkEnd w:id="168"/>
      <w:bookmarkEnd w:id="169"/>
      <w:bookmarkEnd w:id="170"/>
    </w:p>
    <w:p w14:paraId="54528F9E">
      <w:pPr>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比选申请文件应包括下列内容：</w:t>
      </w:r>
      <w:bookmarkStart w:id="171" w:name="_Toc277082572"/>
      <w:bookmarkStart w:id="172" w:name="_Toc8470"/>
      <w:bookmarkStart w:id="173" w:name="_Toc287607766"/>
      <w:bookmarkStart w:id="174" w:name="_Toc224103337"/>
      <w:bookmarkStart w:id="175" w:name="_Toc430205987"/>
      <w:bookmarkStart w:id="176" w:name="_Toc200513146"/>
      <w:bookmarkStart w:id="177" w:name="_Toc326274505"/>
    </w:p>
    <w:p w14:paraId="7E5C73B7">
      <w:pPr>
        <w:autoSpaceDE w:val="0"/>
        <w:autoSpaceDN w:val="0"/>
        <w:snapToGrid w:val="0"/>
        <w:spacing w:line="360" w:lineRule="auto"/>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3.1.1比选申请函部分</w:t>
      </w:r>
    </w:p>
    <w:p w14:paraId="3BD03315">
      <w:pPr>
        <w:autoSpaceDE w:val="0"/>
        <w:autoSpaceDN w:val="0"/>
        <w:spacing w:line="360" w:lineRule="auto"/>
        <w:ind w:right="-2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（1）比选申请函</w:t>
      </w:r>
    </w:p>
    <w:p w14:paraId="3D44935B">
      <w:pPr>
        <w:autoSpaceDE w:val="0"/>
        <w:autoSpaceDN w:val="0"/>
        <w:spacing w:line="360" w:lineRule="auto"/>
        <w:ind w:right="-20"/>
        <w:jc w:val="left"/>
        <w:rPr>
          <w:rFonts w:hint="eastAsia" w:ascii="仿宋" w:hAnsi="仿宋" w:eastAsia="仿宋" w:cs="仿宋"/>
          <w:sz w:val="21"/>
          <w:szCs w:val="21"/>
          <w:highlight w:val="none"/>
          <w:lang w:val="ru-RU"/>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ru-RU"/>
        </w:rPr>
        <w:t>法定代表人身份证明或附有法定代表人身份证明的授权委托书</w:t>
      </w:r>
    </w:p>
    <w:p w14:paraId="0AD5E506">
      <w:pPr>
        <w:autoSpaceDE w:val="0"/>
        <w:autoSpaceDN w:val="0"/>
        <w:snapToGrid w:val="0"/>
        <w:spacing w:line="360" w:lineRule="auto"/>
        <w:jc w:val="left"/>
        <w:rPr>
          <w:rFonts w:hint="eastAsia" w:ascii="仿宋" w:hAnsi="仿宋" w:eastAsia="仿宋" w:cs="仿宋"/>
          <w:bCs/>
          <w:sz w:val="21"/>
          <w:szCs w:val="21"/>
          <w:highlight w:val="none"/>
          <w:lang w:val="ru-RU"/>
        </w:rPr>
      </w:pPr>
      <w:r>
        <w:rPr>
          <w:rFonts w:hint="eastAsia" w:ascii="仿宋" w:hAnsi="仿宋" w:eastAsia="仿宋" w:cs="仿宋"/>
          <w:bCs/>
          <w:sz w:val="21"/>
          <w:szCs w:val="21"/>
          <w:highlight w:val="none"/>
        </w:rPr>
        <w:t>3.1.2商务</w:t>
      </w:r>
      <w:r>
        <w:rPr>
          <w:rFonts w:hint="eastAsia" w:ascii="仿宋" w:hAnsi="仿宋" w:eastAsia="仿宋" w:cs="仿宋"/>
          <w:bCs/>
          <w:sz w:val="21"/>
          <w:szCs w:val="21"/>
          <w:highlight w:val="none"/>
          <w:lang w:val="ru-RU"/>
        </w:rPr>
        <w:t>部分</w:t>
      </w:r>
    </w:p>
    <w:p w14:paraId="4ABFDE49">
      <w:pPr>
        <w:autoSpaceDE w:val="0"/>
        <w:autoSpaceDN w:val="0"/>
        <w:spacing w:line="360" w:lineRule="auto"/>
        <w:ind w:right="-20"/>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ru-RU"/>
        </w:rPr>
        <w:t>（</w:t>
      </w:r>
      <w:r>
        <w:rPr>
          <w:rFonts w:hint="eastAsia" w:ascii="仿宋" w:hAnsi="仿宋" w:eastAsia="仿宋" w:cs="仿宋"/>
          <w:bCs/>
          <w:sz w:val="21"/>
          <w:szCs w:val="21"/>
          <w:highlight w:val="none"/>
        </w:rPr>
        <w:t>1</w:t>
      </w:r>
      <w:r>
        <w:rPr>
          <w:rFonts w:hint="eastAsia" w:ascii="仿宋" w:hAnsi="仿宋" w:eastAsia="仿宋" w:cs="仿宋"/>
          <w:bCs/>
          <w:sz w:val="21"/>
          <w:szCs w:val="21"/>
          <w:highlight w:val="none"/>
          <w:lang w:val="ru-RU"/>
        </w:rPr>
        <w:t>）</w:t>
      </w:r>
      <w:r>
        <w:rPr>
          <w:rFonts w:hint="eastAsia" w:ascii="仿宋" w:hAnsi="仿宋" w:eastAsia="仿宋" w:cs="仿宋"/>
          <w:bCs/>
          <w:sz w:val="21"/>
          <w:szCs w:val="21"/>
          <w:highlight w:val="none"/>
        </w:rPr>
        <w:t>商务部分内容</w:t>
      </w:r>
    </w:p>
    <w:p w14:paraId="3DBF7ED2">
      <w:pPr>
        <w:autoSpaceDE w:val="0"/>
        <w:autoSpaceDN w:val="0"/>
        <w:snapToGrid w:val="0"/>
        <w:spacing w:line="360" w:lineRule="auto"/>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ru-RU"/>
        </w:rPr>
        <w:t>3.1.</w:t>
      </w:r>
      <w:r>
        <w:rPr>
          <w:rFonts w:hint="eastAsia" w:ascii="仿宋" w:hAnsi="仿宋" w:eastAsia="仿宋" w:cs="仿宋"/>
          <w:bCs/>
          <w:sz w:val="21"/>
          <w:szCs w:val="21"/>
          <w:highlight w:val="none"/>
        </w:rPr>
        <w:t>3</w:t>
      </w:r>
      <w:r>
        <w:rPr>
          <w:rFonts w:hint="eastAsia" w:ascii="仿宋" w:hAnsi="仿宋" w:eastAsia="仿宋" w:cs="仿宋"/>
          <w:bCs/>
          <w:sz w:val="21"/>
          <w:szCs w:val="21"/>
          <w:highlight w:val="none"/>
          <w:lang w:val="ru-RU"/>
        </w:rPr>
        <w:t>技术部分</w:t>
      </w:r>
    </w:p>
    <w:p w14:paraId="76711221">
      <w:pPr>
        <w:autoSpaceDE w:val="0"/>
        <w:autoSpaceDN w:val="0"/>
        <w:snapToGrid w:val="0"/>
        <w:spacing w:line="360" w:lineRule="auto"/>
        <w:jc w:val="left"/>
        <w:rPr>
          <w:rFonts w:hint="eastAsia" w:ascii="仿宋" w:hAnsi="仿宋" w:eastAsia="仿宋" w:cs="仿宋"/>
          <w:bCs/>
          <w:sz w:val="21"/>
          <w:szCs w:val="21"/>
          <w:highlight w:val="none"/>
        </w:rPr>
      </w:pPr>
      <w:r>
        <w:rPr>
          <w:rFonts w:hint="eastAsia" w:ascii="仿宋" w:hAnsi="仿宋" w:eastAsia="仿宋" w:cs="仿宋"/>
          <w:bCs/>
          <w:sz w:val="21"/>
          <w:szCs w:val="21"/>
          <w:highlight w:val="none"/>
        </w:rPr>
        <w:t>3.1.4资格审查资料</w:t>
      </w:r>
    </w:p>
    <w:p w14:paraId="6AD18601">
      <w:pPr>
        <w:autoSpaceDE w:val="0"/>
        <w:autoSpaceDN w:val="0"/>
        <w:snapToGrid w:val="0"/>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（1）比选申请人基本情况表；</w:t>
      </w:r>
    </w:p>
    <w:p w14:paraId="030EC4AF">
      <w:pPr>
        <w:autoSpaceDE w:val="0"/>
        <w:autoSpaceDN w:val="0"/>
        <w:snapToGrid w:val="0"/>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（2）项目管理机构组成表；</w:t>
      </w:r>
    </w:p>
    <w:p w14:paraId="689C2BD6">
      <w:pPr>
        <w:autoSpaceDE w:val="0"/>
        <w:autoSpaceDN w:val="0"/>
        <w:snapToGrid w:val="0"/>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（3）项目主要管理人员简历表；</w:t>
      </w:r>
    </w:p>
    <w:p w14:paraId="4A4AAEC6">
      <w:pPr>
        <w:autoSpaceDE w:val="0"/>
        <w:autoSpaceDN w:val="0"/>
        <w:snapToGrid w:val="0"/>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（4）承诺</w:t>
      </w:r>
    </w:p>
    <w:p w14:paraId="2E1FC057">
      <w:pPr>
        <w:autoSpaceDE w:val="0"/>
        <w:autoSpaceDN w:val="0"/>
        <w:snapToGrid w:val="0"/>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（5）其他资料</w:t>
      </w:r>
    </w:p>
    <w:p w14:paraId="13229E5A">
      <w:pPr>
        <w:spacing w:line="360" w:lineRule="auto"/>
        <w:outlineLvl w:val="2"/>
        <w:rPr>
          <w:rFonts w:hint="eastAsia" w:ascii="仿宋" w:hAnsi="仿宋" w:eastAsia="仿宋" w:cs="仿宋"/>
          <w:b/>
          <w:sz w:val="21"/>
          <w:szCs w:val="21"/>
          <w:highlight w:val="none"/>
        </w:rPr>
      </w:pPr>
      <w:r>
        <w:rPr>
          <w:rFonts w:hint="eastAsia" w:ascii="仿宋" w:hAnsi="仿宋" w:eastAsia="仿宋" w:cs="仿宋"/>
          <w:b/>
          <w:sz w:val="21"/>
          <w:szCs w:val="21"/>
          <w:highlight w:val="none"/>
        </w:rPr>
        <w:t>3.2  比选申请报价</w:t>
      </w:r>
      <w:bookmarkEnd w:id="171"/>
      <w:bookmarkEnd w:id="172"/>
      <w:bookmarkEnd w:id="173"/>
      <w:bookmarkEnd w:id="174"/>
      <w:bookmarkEnd w:id="175"/>
      <w:bookmarkEnd w:id="176"/>
      <w:bookmarkEnd w:id="177"/>
    </w:p>
    <w:p w14:paraId="3221A6E2">
      <w:pPr>
        <w:spacing w:line="360" w:lineRule="auto"/>
        <w:ind w:firstLine="420" w:firstLineChars="200"/>
        <w:rPr>
          <w:rFonts w:hint="eastAsia" w:ascii="仿宋" w:hAnsi="仿宋" w:eastAsia="仿宋" w:cs="仿宋"/>
          <w:sz w:val="21"/>
          <w:szCs w:val="21"/>
          <w:highlight w:val="none"/>
        </w:rPr>
      </w:pPr>
      <w:bookmarkStart w:id="178" w:name="_Toc277082573"/>
      <w:bookmarkStart w:id="179" w:name="_Toc200513147"/>
      <w:bookmarkStart w:id="180" w:name="_Toc287607767"/>
      <w:bookmarkStart w:id="181" w:name="_Toc224103338"/>
      <w:r>
        <w:rPr>
          <w:rFonts w:hint="eastAsia" w:ascii="仿宋" w:hAnsi="仿宋" w:eastAsia="仿宋" w:cs="仿宋"/>
          <w:sz w:val="21"/>
          <w:szCs w:val="21"/>
          <w:highlight w:val="none"/>
        </w:rPr>
        <w:t>3.2.1  比选申请人应按要求填写相应表格。</w:t>
      </w:r>
    </w:p>
    <w:p w14:paraId="500BEAD1">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3.2.2  比选申请人在比选申请截止时间前修改比选申请函中的比选申请总报价，此修改须符合本章第 4.3 款的有关要求。</w:t>
      </w:r>
    </w:p>
    <w:p w14:paraId="743C2F09">
      <w:pPr>
        <w:spacing w:line="360" w:lineRule="auto"/>
        <w:outlineLvl w:val="2"/>
        <w:rPr>
          <w:rFonts w:hint="eastAsia" w:ascii="仿宋" w:hAnsi="仿宋" w:eastAsia="仿宋" w:cs="仿宋"/>
          <w:b/>
          <w:sz w:val="21"/>
          <w:szCs w:val="21"/>
          <w:highlight w:val="none"/>
        </w:rPr>
      </w:pPr>
      <w:bookmarkStart w:id="182" w:name="_Toc326274506"/>
      <w:bookmarkStart w:id="183" w:name="_Toc430205988"/>
      <w:bookmarkStart w:id="184" w:name="_Toc17333"/>
      <w:r>
        <w:rPr>
          <w:rFonts w:hint="eastAsia" w:ascii="仿宋" w:hAnsi="仿宋" w:eastAsia="仿宋" w:cs="仿宋"/>
          <w:b/>
          <w:sz w:val="21"/>
          <w:szCs w:val="21"/>
          <w:highlight w:val="none"/>
        </w:rPr>
        <w:t>3.3  比选申请有效期</w:t>
      </w:r>
      <w:bookmarkEnd w:id="178"/>
      <w:bookmarkEnd w:id="179"/>
      <w:bookmarkEnd w:id="180"/>
      <w:bookmarkEnd w:id="181"/>
      <w:bookmarkEnd w:id="182"/>
      <w:bookmarkEnd w:id="183"/>
      <w:bookmarkEnd w:id="184"/>
    </w:p>
    <w:p w14:paraId="43E567AD">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3.3.1  在比选申请人须知前附表规定的比选申请有效期内，比选申请人不得要求撤销或修改其比选申请文件。</w:t>
      </w:r>
    </w:p>
    <w:p w14:paraId="52C737FB">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3.3.2  出现特殊情况需要延长比选申请有效期的，比选人以书面形式通知所有比选申请人延长比选申请有效期。比选申请人同意延长的，应相应延长其投标保函的有效期，但不得要求或被允许修改或撤销其比选申请文件；比选申请人拒绝延长的，其投标失效，但比选申请人有权收回其投标保函。（适用于比选申请保证金采用投标保函形式的）</w:t>
      </w:r>
    </w:p>
    <w:p w14:paraId="3FBB73BF">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出现特殊情况需要延长比选申请有效期的，比选人以书面形式通知所有比选申请人延长比选申请有效期。比选申请人同意延长的，应相应延长其比选申请保证金的有效期，但不得要求或被允许修改或撤销其比选申请文件；比选申请人拒绝延长的，其投标失效，但比选申请人有权收回其比选申请保证金。（适用于比选申请保证金采用银行转账形式的）</w:t>
      </w:r>
    </w:p>
    <w:p w14:paraId="15543EE1">
      <w:pPr>
        <w:spacing w:line="360" w:lineRule="auto"/>
        <w:outlineLvl w:val="2"/>
        <w:rPr>
          <w:rFonts w:hint="eastAsia" w:ascii="仿宋" w:hAnsi="仿宋" w:eastAsia="仿宋" w:cs="仿宋"/>
          <w:b/>
          <w:sz w:val="21"/>
          <w:szCs w:val="21"/>
          <w:highlight w:val="none"/>
        </w:rPr>
      </w:pPr>
      <w:bookmarkStart w:id="185" w:name="_Toc277082574"/>
      <w:bookmarkStart w:id="186" w:name="_Toc18006"/>
      <w:bookmarkStart w:id="187" w:name="_Toc287607768"/>
      <w:bookmarkStart w:id="188" w:name="_Toc326274507"/>
      <w:bookmarkStart w:id="189" w:name="_Toc430205989"/>
      <w:bookmarkStart w:id="190" w:name="_Toc200513148"/>
      <w:bookmarkStart w:id="191" w:name="_Toc224103339"/>
      <w:r>
        <w:rPr>
          <w:rFonts w:hint="eastAsia" w:ascii="仿宋" w:hAnsi="仿宋" w:eastAsia="仿宋" w:cs="仿宋"/>
          <w:b/>
          <w:sz w:val="21"/>
          <w:szCs w:val="21"/>
          <w:highlight w:val="none"/>
        </w:rPr>
        <w:t>3.4  比选申请保证金</w:t>
      </w:r>
      <w:bookmarkEnd w:id="185"/>
      <w:bookmarkEnd w:id="186"/>
      <w:bookmarkEnd w:id="187"/>
      <w:bookmarkEnd w:id="188"/>
      <w:bookmarkEnd w:id="189"/>
      <w:bookmarkEnd w:id="190"/>
      <w:bookmarkEnd w:id="191"/>
    </w:p>
    <w:p w14:paraId="5BFD0512">
      <w:pPr>
        <w:spacing w:line="360" w:lineRule="auto"/>
        <w:ind w:firstLine="420" w:firstLineChars="200"/>
        <w:rPr>
          <w:rFonts w:hint="eastAsia" w:ascii="仿宋" w:hAnsi="仿宋" w:eastAsia="仿宋" w:cs="仿宋"/>
          <w:sz w:val="21"/>
          <w:szCs w:val="21"/>
          <w:highlight w:val="none"/>
        </w:rPr>
      </w:pPr>
      <w:bookmarkStart w:id="192" w:name="_Toc3048"/>
      <w:bookmarkStart w:id="193" w:name="_Toc277082576"/>
      <w:bookmarkStart w:id="194" w:name="_Toc287607770"/>
      <w:bookmarkStart w:id="195" w:name="_Toc224103341"/>
      <w:bookmarkStart w:id="196" w:name="_Toc326274508"/>
      <w:bookmarkStart w:id="197" w:name="_Toc200513150"/>
      <w:bookmarkStart w:id="198" w:name="_Toc430205990"/>
      <w:r>
        <w:rPr>
          <w:rFonts w:hint="eastAsia" w:ascii="仿宋" w:hAnsi="仿宋" w:eastAsia="仿宋" w:cs="仿宋"/>
          <w:sz w:val="21"/>
          <w:szCs w:val="21"/>
          <w:highlight w:val="none"/>
        </w:rPr>
        <w:t>3.4.1  比选申请人在递交比选申请文件的同时，应按比选申请人须知前附表的规定递交比选申请保证金，并作为其比选申请文件的组成部分。联合体投标的，其比选申请保证金由牵头人递交，并应符合比选申请人须知前附表的规定。</w:t>
      </w:r>
    </w:p>
    <w:p w14:paraId="14B85A62">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3.4.2  比选申请人不按本章第 3.4.1 项要求提交比选申请保证金的，其比选申请文件作否决比选申请处理。</w:t>
      </w:r>
    </w:p>
    <w:p w14:paraId="7F702914">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3.4.3  比选申请保证金（投标保函）退还：见比选申请人须知前附表。</w:t>
      </w:r>
    </w:p>
    <w:p w14:paraId="0CE4EF69">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3.4.4  有下列情形之一的，比选申请保证金将不予退还：</w:t>
      </w:r>
    </w:p>
    <w:p w14:paraId="45C14E75">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（1）比选申请人在规定的比选申请有效期内撤销或修改其比选申请文件；</w:t>
      </w:r>
    </w:p>
    <w:p w14:paraId="23EBCB01">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（2）中选人在收到中选通知书后，无正当理由不与比选人订立合同，在签订合同时向比选人提出附加条件，或者不按照竞争性比选文件要求提交履约保证金；</w:t>
      </w:r>
    </w:p>
    <w:p w14:paraId="27D79971">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（3）中选人（或拟中选人）拒不提供或者不按时提供低价风险担保（适用于经评审的最低投标价法）；</w:t>
      </w:r>
    </w:p>
    <w:p w14:paraId="152640BF">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（4）违反本章第9.2款对比选申请人的纪律要求的；</w:t>
      </w:r>
    </w:p>
    <w:p w14:paraId="778E97CE">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（5）法律法规规定的其他情形。</w:t>
      </w:r>
    </w:p>
    <w:p w14:paraId="3462B16C">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3.4.5（1）比选申请保证金为无条件担保；</w:t>
      </w:r>
    </w:p>
    <w:p w14:paraId="493D522D">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（2）比选申请保证金的受益人为比选人,并在比选函其他说明中注明。</w:t>
      </w:r>
    </w:p>
    <w:p w14:paraId="50866F4C">
      <w:pPr>
        <w:spacing w:line="360" w:lineRule="auto"/>
        <w:outlineLvl w:val="2"/>
        <w:rPr>
          <w:rFonts w:hint="eastAsia" w:ascii="仿宋" w:hAnsi="仿宋" w:eastAsia="仿宋" w:cs="仿宋"/>
          <w:b/>
          <w:sz w:val="21"/>
          <w:szCs w:val="21"/>
          <w:highlight w:val="none"/>
        </w:rPr>
      </w:pPr>
      <w:r>
        <w:rPr>
          <w:rFonts w:hint="eastAsia" w:ascii="仿宋" w:hAnsi="仿宋" w:eastAsia="仿宋" w:cs="仿宋"/>
          <w:b/>
          <w:sz w:val="21"/>
          <w:szCs w:val="21"/>
          <w:highlight w:val="none"/>
        </w:rPr>
        <w:t>3.5  资格审查资料</w:t>
      </w:r>
      <w:bookmarkEnd w:id="192"/>
      <w:bookmarkEnd w:id="193"/>
      <w:bookmarkEnd w:id="194"/>
      <w:bookmarkEnd w:id="195"/>
      <w:bookmarkEnd w:id="196"/>
      <w:bookmarkEnd w:id="197"/>
      <w:bookmarkEnd w:id="198"/>
    </w:p>
    <w:p w14:paraId="5068A67A">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比选申请人应附比选申请人须知前附表第1.4.1项中要求的相关证明材料。</w:t>
      </w:r>
    </w:p>
    <w:p w14:paraId="59C7776D">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比选申请人须知前附表规定接受联合体投标的，详见比选申请人须知前附表联合体投标相关内容</w:t>
      </w:r>
    </w:p>
    <w:p w14:paraId="543D7A05">
      <w:pPr>
        <w:spacing w:line="360" w:lineRule="auto"/>
        <w:outlineLvl w:val="2"/>
        <w:rPr>
          <w:rFonts w:hint="eastAsia" w:ascii="仿宋" w:hAnsi="仿宋" w:eastAsia="仿宋" w:cs="仿宋"/>
          <w:b/>
          <w:sz w:val="21"/>
          <w:szCs w:val="21"/>
          <w:highlight w:val="none"/>
        </w:rPr>
      </w:pPr>
      <w:bookmarkStart w:id="199" w:name="_Toc430205991"/>
      <w:bookmarkStart w:id="200" w:name="_Toc224103342"/>
      <w:bookmarkStart w:id="201" w:name="_Toc200513151"/>
      <w:bookmarkStart w:id="202" w:name="_Toc287607771"/>
      <w:bookmarkStart w:id="203" w:name="_Toc326274509"/>
      <w:bookmarkStart w:id="204" w:name="_Toc277082577"/>
      <w:bookmarkStart w:id="205" w:name="_Toc27652"/>
      <w:r>
        <w:rPr>
          <w:rFonts w:hint="eastAsia" w:ascii="仿宋" w:hAnsi="仿宋" w:eastAsia="仿宋" w:cs="仿宋"/>
          <w:b/>
          <w:sz w:val="21"/>
          <w:szCs w:val="21"/>
          <w:highlight w:val="none"/>
        </w:rPr>
        <w:t>3.6  备选比选申请方案</w:t>
      </w:r>
      <w:bookmarkEnd w:id="199"/>
      <w:bookmarkEnd w:id="200"/>
      <w:bookmarkEnd w:id="201"/>
      <w:bookmarkEnd w:id="202"/>
      <w:bookmarkEnd w:id="203"/>
      <w:bookmarkEnd w:id="204"/>
      <w:bookmarkEnd w:id="205"/>
    </w:p>
    <w:p w14:paraId="557F0175">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除比选申请须知前附表另有规定外，比选申请人不得递交备选比选申请方案。允许比选申请人递交备选比选申请方案的，只有中选人所递交的备选比选申请方案方可予以考虑。评选委员会认为中选人的备选比选申请方案优于其按照竞争性比选文件要求编制的比选申请方案的，比选人可以接受该备选比选申请方案。</w:t>
      </w:r>
    </w:p>
    <w:p w14:paraId="0467D813">
      <w:pPr>
        <w:spacing w:line="360" w:lineRule="auto"/>
        <w:outlineLvl w:val="2"/>
        <w:rPr>
          <w:rFonts w:hint="eastAsia" w:ascii="仿宋" w:hAnsi="仿宋" w:eastAsia="仿宋" w:cs="仿宋"/>
          <w:b/>
          <w:sz w:val="21"/>
          <w:szCs w:val="21"/>
          <w:highlight w:val="none"/>
        </w:rPr>
      </w:pPr>
      <w:bookmarkStart w:id="206" w:name="_Toc224103343"/>
      <w:bookmarkStart w:id="207" w:name="_Toc11688"/>
      <w:bookmarkStart w:id="208" w:name="_Toc277082578"/>
      <w:bookmarkStart w:id="209" w:name="_Toc326274510"/>
      <w:bookmarkStart w:id="210" w:name="_Toc287607772"/>
      <w:bookmarkStart w:id="211" w:name="_Toc200513152"/>
      <w:bookmarkStart w:id="212" w:name="_Toc430205992"/>
      <w:r>
        <w:rPr>
          <w:rFonts w:hint="eastAsia" w:ascii="仿宋" w:hAnsi="仿宋" w:eastAsia="仿宋" w:cs="仿宋"/>
          <w:b/>
          <w:sz w:val="21"/>
          <w:szCs w:val="21"/>
          <w:highlight w:val="none"/>
        </w:rPr>
        <w:t>3.7  比选申请文件的编制</w:t>
      </w:r>
      <w:bookmarkEnd w:id="206"/>
      <w:bookmarkEnd w:id="207"/>
      <w:bookmarkEnd w:id="208"/>
      <w:bookmarkEnd w:id="209"/>
      <w:bookmarkEnd w:id="210"/>
      <w:bookmarkEnd w:id="211"/>
      <w:bookmarkEnd w:id="212"/>
    </w:p>
    <w:p w14:paraId="1ED8F9F7">
      <w:pPr>
        <w:autoSpaceDE w:val="0"/>
        <w:autoSpaceDN w:val="0"/>
        <w:snapToGrid w:val="0"/>
        <w:spacing w:line="360" w:lineRule="auto"/>
        <w:ind w:right="-109" w:firstLine="420" w:firstLineChars="200"/>
        <w:rPr>
          <w:rFonts w:hint="eastAsia" w:ascii="仿宋" w:hAnsi="仿宋" w:eastAsia="仿宋" w:cs="仿宋"/>
          <w:snapToGrid w:val="0"/>
          <w:sz w:val="21"/>
          <w:szCs w:val="21"/>
          <w:highlight w:val="none"/>
        </w:rPr>
      </w:pPr>
      <w:bookmarkStart w:id="213" w:name="_Toc287607773"/>
      <w:bookmarkStart w:id="214" w:name="_Toc492244447"/>
      <w:bookmarkStart w:id="215" w:name="_Toc224103344"/>
      <w:bookmarkStart w:id="216" w:name="_Toc9602"/>
      <w:bookmarkStart w:id="217" w:name="_Toc200513153"/>
      <w:bookmarkStart w:id="218" w:name="_Toc326274511"/>
      <w:bookmarkStart w:id="219" w:name="_Toc430205993"/>
      <w:bookmarkStart w:id="220" w:name="_Toc277082579"/>
      <w:r>
        <w:rPr>
          <w:rFonts w:hint="eastAsia" w:ascii="仿宋" w:hAnsi="仿宋" w:eastAsia="仿宋" w:cs="仿宋"/>
          <w:snapToGrid w:val="0"/>
          <w:sz w:val="21"/>
          <w:szCs w:val="21"/>
          <w:highlight w:val="none"/>
        </w:rPr>
        <w:t>3.7.1  比选申请文件应按第六章“比选申请文件格式”进行编写，如有必要，可以增加附页，作为比选申请文件的组成部分。其中，比选申请函附录在满足竞争性比选文件实质性要求的基础上，可以提出比竞争性比选文件要求更有利于比选人的承诺。</w:t>
      </w:r>
    </w:p>
    <w:p w14:paraId="04FA40E4">
      <w:pPr>
        <w:autoSpaceDE w:val="0"/>
        <w:autoSpaceDN w:val="0"/>
        <w:snapToGrid w:val="0"/>
        <w:spacing w:line="360" w:lineRule="auto"/>
        <w:ind w:right="-109"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3.7.2  比选申请文件应当对竞争性比选文件有关工期、比选申请有效期、质量要求、技术标准和要求、招标范围等实质性内容做出响应。</w:t>
      </w:r>
    </w:p>
    <w:p w14:paraId="0F981B3C">
      <w:pPr>
        <w:autoSpaceDE w:val="0"/>
        <w:autoSpaceDN w:val="0"/>
        <w:snapToGrid w:val="0"/>
        <w:spacing w:line="360" w:lineRule="auto"/>
        <w:ind w:right="-109"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3.7.3  比选申请文件的签名盖章要求：按本章比选申请人须知前附表第3.7.3项执行。</w:t>
      </w:r>
    </w:p>
    <w:p w14:paraId="59598D4F">
      <w:pPr>
        <w:autoSpaceDE w:val="0"/>
        <w:autoSpaceDN w:val="0"/>
        <w:snapToGrid w:val="0"/>
        <w:spacing w:line="360" w:lineRule="auto"/>
        <w:ind w:right="-109"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3.7.4  比选申请文件的份数：见比选申请人须知前附表，当副本和正本不一致时，以正本为准。</w:t>
      </w:r>
    </w:p>
    <w:p w14:paraId="5B8EF899">
      <w:pPr>
        <w:autoSpaceDE w:val="0"/>
        <w:autoSpaceDN w:val="0"/>
        <w:snapToGrid w:val="0"/>
        <w:spacing w:line="360" w:lineRule="auto"/>
        <w:ind w:right="-109"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3.7.5  比选申请文件的正本与副本应分别装订成册，并编制目录，具体装订要求见比选申请人须知前附表规定。</w:t>
      </w:r>
    </w:p>
    <w:p w14:paraId="16E3EAD0">
      <w:pPr>
        <w:spacing w:line="360" w:lineRule="auto"/>
        <w:outlineLvl w:val="1"/>
        <w:rPr>
          <w:rFonts w:hint="eastAsia" w:ascii="仿宋" w:hAnsi="仿宋" w:eastAsia="仿宋" w:cs="仿宋"/>
          <w:b/>
          <w:sz w:val="21"/>
          <w:szCs w:val="21"/>
          <w:highlight w:val="none"/>
        </w:rPr>
      </w:pPr>
      <w:bookmarkStart w:id="221" w:name="_Toc6605"/>
      <w:bookmarkStart w:id="222" w:name="_Toc13484"/>
      <w:bookmarkStart w:id="223" w:name="_Toc15569"/>
      <w:r>
        <w:rPr>
          <w:rFonts w:hint="eastAsia" w:ascii="仿宋" w:hAnsi="仿宋" w:eastAsia="仿宋" w:cs="仿宋"/>
          <w:b/>
          <w:sz w:val="21"/>
          <w:szCs w:val="21"/>
          <w:highlight w:val="none"/>
        </w:rPr>
        <w:t xml:space="preserve">4.  </w:t>
      </w:r>
      <w:bookmarkEnd w:id="213"/>
      <w:bookmarkEnd w:id="214"/>
      <w:bookmarkEnd w:id="215"/>
      <w:bookmarkEnd w:id="216"/>
      <w:bookmarkEnd w:id="217"/>
      <w:bookmarkEnd w:id="218"/>
      <w:bookmarkEnd w:id="219"/>
      <w:bookmarkEnd w:id="220"/>
      <w:r>
        <w:rPr>
          <w:rFonts w:hint="eastAsia" w:ascii="仿宋" w:hAnsi="仿宋" w:eastAsia="仿宋" w:cs="仿宋"/>
          <w:b/>
          <w:sz w:val="21"/>
          <w:szCs w:val="21"/>
          <w:highlight w:val="none"/>
        </w:rPr>
        <w:t>比选申请</w:t>
      </w:r>
      <w:bookmarkEnd w:id="221"/>
      <w:bookmarkEnd w:id="222"/>
      <w:bookmarkEnd w:id="223"/>
    </w:p>
    <w:p w14:paraId="40B3F040">
      <w:pPr>
        <w:spacing w:line="360" w:lineRule="auto"/>
        <w:rPr>
          <w:rFonts w:hint="eastAsia" w:ascii="仿宋" w:hAnsi="仿宋" w:eastAsia="仿宋" w:cs="仿宋"/>
          <w:sz w:val="21"/>
          <w:szCs w:val="21"/>
          <w:highlight w:val="none"/>
        </w:rPr>
      </w:pPr>
      <w:bookmarkStart w:id="224" w:name="_Toc224103345"/>
      <w:bookmarkStart w:id="225" w:name="_Toc277082580"/>
      <w:bookmarkStart w:id="226" w:name="_Toc287620713"/>
      <w:bookmarkStart w:id="227" w:name="_Toc200513154"/>
      <w:bookmarkStart w:id="228" w:name="_Toc287607774"/>
      <w:bookmarkStart w:id="229" w:name="_Toc509218738"/>
      <w:bookmarkStart w:id="230" w:name="_Toc57905858"/>
      <w:bookmarkStart w:id="231" w:name="_Toc430530463"/>
      <w:bookmarkStart w:id="232" w:name="_Toc18995"/>
      <w:bookmarkStart w:id="233" w:name="_Toc224103348"/>
      <w:bookmarkStart w:id="234" w:name="_Toc287607777"/>
      <w:bookmarkStart w:id="235" w:name="_Toc200513157"/>
      <w:bookmarkStart w:id="236" w:name="_Toc326274515"/>
      <w:bookmarkStart w:id="237" w:name="_Toc277082583"/>
      <w:r>
        <w:rPr>
          <w:rFonts w:hint="eastAsia" w:ascii="仿宋" w:hAnsi="仿宋" w:eastAsia="仿宋" w:cs="仿宋"/>
          <w:sz w:val="21"/>
          <w:szCs w:val="21"/>
          <w:highlight w:val="none"/>
        </w:rPr>
        <w:t>4.1  比选申请文件的密封和标记</w:t>
      </w:r>
      <w:bookmarkEnd w:id="224"/>
      <w:bookmarkEnd w:id="225"/>
      <w:bookmarkEnd w:id="226"/>
      <w:bookmarkEnd w:id="227"/>
      <w:bookmarkEnd w:id="228"/>
      <w:bookmarkEnd w:id="229"/>
      <w:bookmarkEnd w:id="230"/>
      <w:bookmarkEnd w:id="231"/>
      <w:bookmarkEnd w:id="232"/>
    </w:p>
    <w:p w14:paraId="5214940D">
      <w:pPr>
        <w:spacing w:line="360" w:lineRule="auto"/>
        <w:ind w:firstLine="420" w:firstLineChars="200"/>
        <w:rPr>
          <w:rFonts w:hint="eastAsia" w:ascii="仿宋" w:hAnsi="仿宋" w:eastAsia="仿宋" w:cs="仿宋"/>
          <w:sz w:val="21"/>
          <w:szCs w:val="21"/>
          <w:highlight w:val="none"/>
        </w:rPr>
      </w:pPr>
      <w:bookmarkStart w:id="238" w:name="_Toc200513155"/>
      <w:r>
        <w:rPr>
          <w:rFonts w:hint="eastAsia" w:ascii="仿宋" w:hAnsi="仿宋" w:eastAsia="仿宋" w:cs="仿宋"/>
          <w:sz w:val="21"/>
          <w:szCs w:val="21"/>
          <w:highlight w:val="none"/>
        </w:rPr>
        <w:t>4.1.1  比选申请文件的正本与副本密封：见比选申请人须知前附表。</w:t>
      </w:r>
    </w:p>
    <w:p w14:paraId="7A809787">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4.1.2  比选申请文件的封套上应写明的内容：见比选申请人须知前附表。</w:t>
      </w:r>
    </w:p>
    <w:p w14:paraId="324209F5">
      <w:pPr>
        <w:spacing w:line="360" w:lineRule="auto"/>
        <w:rPr>
          <w:rFonts w:hint="eastAsia" w:ascii="仿宋" w:hAnsi="仿宋" w:eastAsia="仿宋" w:cs="仿宋"/>
          <w:sz w:val="21"/>
          <w:szCs w:val="21"/>
          <w:highlight w:val="none"/>
        </w:rPr>
      </w:pPr>
      <w:bookmarkStart w:id="239" w:name="_Toc57905859"/>
      <w:bookmarkStart w:id="240" w:name="_Toc287620714"/>
      <w:bookmarkStart w:id="241" w:name="_Toc287607775"/>
      <w:bookmarkStart w:id="242" w:name="_Toc224103346"/>
      <w:bookmarkStart w:id="243" w:name="_Toc430530464"/>
      <w:bookmarkStart w:id="244" w:name="_Toc277082581"/>
      <w:bookmarkStart w:id="245" w:name="_Toc509218739"/>
      <w:bookmarkStart w:id="246" w:name="_Toc25809"/>
      <w:r>
        <w:rPr>
          <w:rFonts w:hint="eastAsia" w:ascii="仿宋" w:hAnsi="仿宋" w:eastAsia="仿宋" w:cs="仿宋"/>
          <w:sz w:val="21"/>
          <w:szCs w:val="21"/>
          <w:highlight w:val="none"/>
        </w:rPr>
        <w:t>4.2  比选申请文件的递交</w:t>
      </w:r>
      <w:bookmarkEnd w:id="238"/>
      <w:bookmarkEnd w:id="239"/>
      <w:bookmarkEnd w:id="240"/>
      <w:bookmarkEnd w:id="241"/>
      <w:bookmarkEnd w:id="242"/>
      <w:bookmarkEnd w:id="243"/>
      <w:bookmarkEnd w:id="244"/>
      <w:bookmarkEnd w:id="245"/>
      <w:bookmarkEnd w:id="246"/>
    </w:p>
    <w:p w14:paraId="2A84D5D8">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4.2.1  比选申请人应在比选申请人须知前附表第 2.2.2 项规定的比选申请截止时间前递交比选申请文件。</w:t>
      </w:r>
    </w:p>
    <w:p w14:paraId="450C9124">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4.2.2  比选申请人递交比选申请文件的地点：见比选申请人须知前附表。</w:t>
      </w:r>
    </w:p>
    <w:p w14:paraId="0E28EB79">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4.2.3  除比选申请人须知前附表另有规定外，比选申请人所递交的比选申请文件不予退还。</w:t>
      </w:r>
    </w:p>
    <w:p w14:paraId="52DE28D1">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4.2.4  比选人收到比选申请文件后，向比选申请人出具签收凭证。</w:t>
      </w:r>
    </w:p>
    <w:p w14:paraId="2FD0CC0B">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4.2.5  逾期送达的或者未送达指定地点的比选申请文件，比选人不予受理。</w:t>
      </w:r>
    </w:p>
    <w:p w14:paraId="78308DF8">
      <w:pPr>
        <w:spacing w:line="360" w:lineRule="auto"/>
        <w:rPr>
          <w:rFonts w:hint="eastAsia" w:ascii="仿宋" w:hAnsi="仿宋" w:eastAsia="仿宋" w:cs="仿宋"/>
          <w:sz w:val="21"/>
          <w:szCs w:val="21"/>
          <w:highlight w:val="none"/>
        </w:rPr>
      </w:pPr>
      <w:bookmarkStart w:id="247" w:name="_Toc509218740"/>
      <w:bookmarkStart w:id="248" w:name="_Toc57905860"/>
      <w:bookmarkStart w:id="249" w:name="_Toc287607776"/>
      <w:bookmarkStart w:id="250" w:name="_Toc23986"/>
      <w:bookmarkStart w:id="251" w:name="_Toc200513156"/>
      <w:bookmarkStart w:id="252" w:name="_Toc287620715"/>
      <w:bookmarkStart w:id="253" w:name="_Toc224103347"/>
      <w:bookmarkStart w:id="254" w:name="_Toc277082582"/>
      <w:bookmarkStart w:id="255" w:name="_Toc430530465"/>
      <w:r>
        <w:rPr>
          <w:rFonts w:hint="eastAsia" w:ascii="仿宋" w:hAnsi="仿宋" w:eastAsia="仿宋" w:cs="仿宋"/>
          <w:sz w:val="21"/>
          <w:szCs w:val="21"/>
          <w:highlight w:val="none"/>
        </w:rPr>
        <w:t>4.3  比选申请文件的修改与撤回</w:t>
      </w:r>
      <w:bookmarkEnd w:id="247"/>
      <w:bookmarkEnd w:id="248"/>
      <w:bookmarkEnd w:id="249"/>
      <w:bookmarkEnd w:id="250"/>
      <w:bookmarkEnd w:id="251"/>
      <w:bookmarkEnd w:id="252"/>
      <w:bookmarkEnd w:id="253"/>
      <w:bookmarkEnd w:id="254"/>
      <w:bookmarkEnd w:id="255"/>
    </w:p>
    <w:p w14:paraId="79C36A56">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4.3.1  在比选申请人须知前附表第2.2.2项规定的比选申请截止时间前，比选申请人可以修改或撤回已递交的比选申请文件，但应以书面形式通知比选人。</w:t>
      </w:r>
    </w:p>
    <w:p w14:paraId="58D36033">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4.3.2  比选申请人修改或撤回已递交比选申请文件的书面通知应按照本章第3.7.3项的要求签名或盖章。比选人收到书面通知后，向比选申请人出具签收凭证。</w:t>
      </w:r>
    </w:p>
    <w:p w14:paraId="401E6137">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4.3.3  修改的内容为比选申请文件的组成部分。修改的比选申请文件应按照本章第3条、第4条规定进行编制、密封、标记和递交，并标明“修改”字样。</w:t>
      </w:r>
    </w:p>
    <w:p w14:paraId="688448E7">
      <w:pPr>
        <w:spacing w:line="360" w:lineRule="auto"/>
        <w:outlineLvl w:val="1"/>
        <w:rPr>
          <w:rFonts w:hint="eastAsia" w:ascii="仿宋" w:hAnsi="仿宋" w:eastAsia="仿宋" w:cs="仿宋"/>
          <w:b/>
          <w:sz w:val="21"/>
          <w:szCs w:val="21"/>
          <w:highlight w:val="none"/>
        </w:rPr>
      </w:pPr>
      <w:bookmarkStart w:id="256" w:name="_Toc492244448"/>
      <w:bookmarkStart w:id="257" w:name="_Toc430205997"/>
      <w:bookmarkStart w:id="258" w:name="_Toc18812"/>
      <w:bookmarkStart w:id="259" w:name="_Toc7434"/>
      <w:bookmarkStart w:id="260" w:name="_Toc24054"/>
      <w:bookmarkStart w:id="261" w:name="_Toc30000"/>
      <w:r>
        <w:rPr>
          <w:rFonts w:hint="eastAsia" w:ascii="仿宋" w:hAnsi="仿宋" w:eastAsia="仿宋" w:cs="仿宋"/>
          <w:b/>
          <w:sz w:val="21"/>
          <w:szCs w:val="21"/>
          <w:highlight w:val="none"/>
        </w:rPr>
        <w:t xml:space="preserve">5. </w:t>
      </w:r>
      <w:bookmarkEnd w:id="233"/>
      <w:bookmarkEnd w:id="234"/>
      <w:bookmarkEnd w:id="235"/>
      <w:bookmarkEnd w:id="236"/>
      <w:bookmarkEnd w:id="237"/>
      <w:bookmarkEnd w:id="256"/>
      <w:bookmarkEnd w:id="257"/>
      <w:bookmarkEnd w:id="258"/>
      <w:r>
        <w:rPr>
          <w:rFonts w:hint="eastAsia" w:ascii="仿宋" w:hAnsi="仿宋" w:eastAsia="仿宋" w:cs="仿宋"/>
          <w:b/>
          <w:sz w:val="21"/>
          <w:szCs w:val="21"/>
          <w:highlight w:val="none"/>
        </w:rPr>
        <w:t>比选</w:t>
      </w:r>
      <w:bookmarkEnd w:id="259"/>
      <w:bookmarkEnd w:id="260"/>
      <w:bookmarkEnd w:id="261"/>
    </w:p>
    <w:p w14:paraId="35EDC286">
      <w:pPr>
        <w:spacing w:line="360" w:lineRule="auto"/>
        <w:rPr>
          <w:rFonts w:hint="eastAsia" w:ascii="仿宋" w:hAnsi="仿宋" w:eastAsia="仿宋" w:cs="仿宋"/>
          <w:sz w:val="21"/>
          <w:szCs w:val="21"/>
          <w:highlight w:val="none"/>
        </w:rPr>
      </w:pPr>
      <w:bookmarkStart w:id="262" w:name="_Toc509218742"/>
      <w:bookmarkStart w:id="263" w:name="_Toc200513158"/>
      <w:bookmarkStart w:id="264" w:name="_Toc224103349"/>
      <w:bookmarkStart w:id="265" w:name="_Toc287607778"/>
      <w:bookmarkStart w:id="266" w:name="_Toc430530467"/>
      <w:bookmarkStart w:id="267" w:name="_Toc20593"/>
      <w:bookmarkStart w:id="268" w:name="_Toc57905862"/>
      <w:bookmarkStart w:id="269" w:name="_Toc277082584"/>
      <w:bookmarkStart w:id="270" w:name="_Toc287620717"/>
      <w:bookmarkStart w:id="271" w:name="_Toc287607780"/>
      <w:bookmarkStart w:id="272" w:name="_Toc224103351"/>
      <w:bookmarkStart w:id="273" w:name="_Toc200513160"/>
      <w:bookmarkStart w:id="274" w:name="_Toc277082586"/>
      <w:r>
        <w:rPr>
          <w:rFonts w:hint="eastAsia" w:ascii="仿宋" w:hAnsi="仿宋" w:eastAsia="仿宋" w:cs="仿宋"/>
          <w:sz w:val="21"/>
          <w:szCs w:val="21"/>
          <w:highlight w:val="none"/>
        </w:rPr>
        <w:t>5.1  比选时间和地点</w:t>
      </w:r>
      <w:bookmarkEnd w:id="262"/>
      <w:bookmarkEnd w:id="263"/>
      <w:bookmarkEnd w:id="264"/>
      <w:bookmarkEnd w:id="265"/>
      <w:bookmarkEnd w:id="266"/>
      <w:bookmarkEnd w:id="267"/>
      <w:bookmarkEnd w:id="268"/>
      <w:bookmarkEnd w:id="269"/>
      <w:bookmarkEnd w:id="270"/>
    </w:p>
    <w:p w14:paraId="7D4C6B23">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比选人在比选申请人须知前附表第 2.2.2 项规定的比选申请截止时间（比选时间）和比选申请人须知前附表规定的地点公开比选，并邀请所有比选申请人的法定代表人或其委托代理人准时参加。</w:t>
      </w:r>
    </w:p>
    <w:p w14:paraId="77B72375">
      <w:pPr>
        <w:spacing w:line="360" w:lineRule="auto"/>
        <w:rPr>
          <w:rFonts w:hint="eastAsia" w:ascii="仿宋" w:hAnsi="仿宋" w:eastAsia="仿宋" w:cs="仿宋"/>
          <w:sz w:val="21"/>
          <w:szCs w:val="21"/>
          <w:highlight w:val="none"/>
        </w:rPr>
      </w:pPr>
      <w:bookmarkStart w:id="275" w:name="_Toc200513159"/>
      <w:bookmarkStart w:id="276" w:name="_Toc287620718"/>
      <w:bookmarkStart w:id="277" w:name="_Toc509218743"/>
      <w:bookmarkStart w:id="278" w:name="_Toc287607779"/>
      <w:bookmarkStart w:id="279" w:name="_Toc277082585"/>
      <w:bookmarkStart w:id="280" w:name="_Toc14994"/>
      <w:bookmarkStart w:id="281" w:name="_Toc430530468"/>
      <w:bookmarkStart w:id="282" w:name="_Toc224103350"/>
      <w:bookmarkStart w:id="283" w:name="_Toc57905863"/>
      <w:r>
        <w:rPr>
          <w:rFonts w:hint="eastAsia" w:ascii="仿宋" w:hAnsi="仿宋" w:eastAsia="仿宋" w:cs="仿宋"/>
          <w:sz w:val="21"/>
          <w:szCs w:val="21"/>
          <w:highlight w:val="none"/>
        </w:rPr>
        <w:t>5.2  比选程序</w:t>
      </w:r>
      <w:bookmarkEnd w:id="275"/>
      <w:bookmarkEnd w:id="276"/>
      <w:bookmarkEnd w:id="277"/>
      <w:bookmarkEnd w:id="278"/>
      <w:bookmarkEnd w:id="279"/>
      <w:bookmarkEnd w:id="280"/>
      <w:bookmarkEnd w:id="281"/>
      <w:bookmarkEnd w:id="282"/>
      <w:bookmarkEnd w:id="283"/>
    </w:p>
    <w:p w14:paraId="47D8488C">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详见比选申请人须知前附表第5.2款比选程序。</w:t>
      </w:r>
    </w:p>
    <w:p w14:paraId="4F64053D">
      <w:pPr>
        <w:spacing w:line="360" w:lineRule="auto"/>
        <w:rPr>
          <w:rFonts w:hint="eastAsia" w:ascii="仿宋" w:hAnsi="仿宋" w:eastAsia="仿宋" w:cs="仿宋"/>
          <w:sz w:val="21"/>
          <w:szCs w:val="21"/>
          <w:highlight w:val="none"/>
        </w:rPr>
      </w:pPr>
      <w:bookmarkStart w:id="284" w:name="_Toc57820594"/>
      <w:bookmarkStart w:id="285" w:name="_Toc57905864"/>
      <w:r>
        <w:rPr>
          <w:rFonts w:hint="eastAsia" w:ascii="仿宋" w:hAnsi="仿宋" w:eastAsia="仿宋" w:cs="仿宋"/>
          <w:sz w:val="21"/>
          <w:szCs w:val="21"/>
          <w:highlight w:val="none"/>
        </w:rPr>
        <w:t>5.3  比选异议</w:t>
      </w:r>
      <w:bookmarkEnd w:id="284"/>
      <w:bookmarkEnd w:id="285"/>
    </w:p>
    <w:p w14:paraId="4B29E1F5">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对比选有异议的，应在比选现场提出，同时应出示法定代表人身份证明或附有法定代表人身份证明的授权委托书。比选人当场作出答复，并制作记录，有异议的比选申请人代表、比选人代表、主持人、记录人等有关人员在记录上签名确认。</w:t>
      </w:r>
    </w:p>
    <w:bookmarkEnd w:id="271"/>
    <w:bookmarkEnd w:id="272"/>
    <w:bookmarkEnd w:id="273"/>
    <w:bookmarkEnd w:id="274"/>
    <w:p w14:paraId="20CE43F4">
      <w:pPr>
        <w:spacing w:line="360" w:lineRule="auto"/>
        <w:outlineLvl w:val="1"/>
        <w:rPr>
          <w:rFonts w:hint="eastAsia" w:ascii="仿宋" w:hAnsi="仿宋" w:eastAsia="仿宋" w:cs="仿宋"/>
          <w:b/>
          <w:sz w:val="21"/>
          <w:szCs w:val="21"/>
          <w:highlight w:val="none"/>
        </w:rPr>
      </w:pPr>
      <w:bookmarkStart w:id="286" w:name="_Toc492244449"/>
      <w:bookmarkStart w:id="287" w:name="_Toc430206000"/>
      <w:bookmarkStart w:id="288" w:name="_Toc16979"/>
      <w:bookmarkStart w:id="289" w:name="_Toc12704"/>
      <w:bookmarkStart w:id="290" w:name="_Toc27840"/>
      <w:bookmarkStart w:id="291" w:name="_Toc24361"/>
      <w:bookmarkStart w:id="292" w:name="_Toc200513169"/>
      <w:bookmarkStart w:id="293" w:name="_Toc287607789"/>
      <w:bookmarkStart w:id="294" w:name="_Toc224103360"/>
      <w:bookmarkStart w:id="295" w:name="_Toc277082595"/>
      <w:bookmarkStart w:id="296" w:name="_Toc326274527"/>
      <w:r>
        <w:rPr>
          <w:rFonts w:hint="eastAsia" w:ascii="仿宋" w:hAnsi="仿宋" w:eastAsia="仿宋" w:cs="仿宋"/>
          <w:b/>
          <w:sz w:val="21"/>
          <w:szCs w:val="21"/>
          <w:highlight w:val="none"/>
        </w:rPr>
        <w:t xml:space="preserve">6.  </w:t>
      </w:r>
      <w:bookmarkEnd w:id="286"/>
      <w:bookmarkEnd w:id="287"/>
      <w:r>
        <w:rPr>
          <w:rFonts w:hint="eastAsia" w:ascii="仿宋" w:hAnsi="仿宋" w:eastAsia="仿宋" w:cs="仿宋"/>
          <w:b/>
          <w:sz w:val="21"/>
          <w:szCs w:val="21"/>
          <w:highlight w:val="none"/>
        </w:rPr>
        <w:t>评审</w:t>
      </w:r>
      <w:bookmarkEnd w:id="288"/>
      <w:bookmarkEnd w:id="289"/>
      <w:bookmarkEnd w:id="290"/>
    </w:p>
    <w:p w14:paraId="2411BA37">
      <w:pPr>
        <w:autoSpaceDE w:val="0"/>
        <w:autoSpaceDN w:val="0"/>
        <w:snapToGrid w:val="0"/>
        <w:spacing w:line="360" w:lineRule="auto"/>
        <w:jc w:val="left"/>
        <w:rPr>
          <w:rFonts w:hint="eastAsia" w:ascii="仿宋" w:hAnsi="仿宋" w:eastAsia="仿宋" w:cs="仿宋"/>
          <w:snapToGrid w:val="0"/>
          <w:sz w:val="21"/>
          <w:szCs w:val="21"/>
          <w:highlight w:val="none"/>
        </w:rPr>
      </w:pPr>
      <w:bookmarkStart w:id="297" w:name="_Toc430530470"/>
      <w:bookmarkStart w:id="298" w:name="_Toc57905866"/>
      <w:bookmarkStart w:id="299" w:name="_Toc224103352"/>
      <w:bookmarkStart w:id="300" w:name="_Toc200513161"/>
      <w:bookmarkStart w:id="301" w:name="_Toc28100"/>
      <w:bookmarkStart w:id="302" w:name="_Toc287607781"/>
      <w:bookmarkStart w:id="303" w:name="_Toc277082587"/>
      <w:bookmarkStart w:id="304" w:name="_Toc509218745"/>
      <w:bookmarkStart w:id="305" w:name="_Toc287620720"/>
      <w:r>
        <w:rPr>
          <w:rFonts w:hint="eastAsia" w:ascii="仿宋" w:hAnsi="仿宋" w:eastAsia="仿宋" w:cs="仿宋"/>
          <w:snapToGrid w:val="0"/>
          <w:sz w:val="21"/>
          <w:szCs w:val="21"/>
          <w:highlight w:val="none"/>
        </w:rPr>
        <w:t xml:space="preserve">6.1  </w:t>
      </w:r>
      <w:bookmarkEnd w:id="297"/>
      <w:bookmarkEnd w:id="298"/>
      <w:bookmarkEnd w:id="299"/>
      <w:bookmarkEnd w:id="300"/>
      <w:bookmarkEnd w:id="301"/>
      <w:bookmarkEnd w:id="302"/>
      <w:bookmarkEnd w:id="303"/>
      <w:bookmarkEnd w:id="304"/>
      <w:bookmarkEnd w:id="305"/>
      <w:r>
        <w:rPr>
          <w:rFonts w:hint="eastAsia" w:ascii="仿宋" w:hAnsi="仿宋" w:eastAsia="仿宋" w:cs="仿宋"/>
          <w:snapToGrid w:val="0"/>
          <w:sz w:val="21"/>
          <w:szCs w:val="21"/>
          <w:highlight w:val="none"/>
        </w:rPr>
        <w:t>评选委员会</w:t>
      </w:r>
    </w:p>
    <w:p w14:paraId="572189E6">
      <w:pPr>
        <w:autoSpaceDE w:val="0"/>
        <w:autoSpaceDN w:val="0"/>
        <w:snapToGrid w:val="0"/>
        <w:spacing w:line="360" w:lineRule="auto"/>
        <w:ind w:firstLine="42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6.1.1  评选由比选人依据法律法规和相关规范性文件组建的评选委员会负责。</w:t>
      </w:r>
    </w:p>
    <w:p w14:paraId="3CB4260E">
      <w:pPr>
        <w:autoSpaceDE w:val="0"/>
        <w:autoSpaceDN w:val="0"/>
        <w:snapToGrid w:val="0"/>
        <w:spacing w:line="360" w:lineRule="auto"/>
        <w:ind w:firstLine="42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6.1.2  评选委员会成员有下列情形之一的，应当回避：</w:t>
      </w:r>
    </w:p>
    <w:p w14:paraId="6624B755">
      <w:pPr>
        <w:autoSpaceDE w:val="0"/>
        <w:autoSpaceDN w:val="0"/>
        <w:snapToGrid w:val="0"/>
        <w:spacing w:line="360" w:lineRule="auto"/>
        <w:ind w:firstLine="42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（1）比选申请人或比选申请人的主要负责人的近亲属；</w:t>
      </w:r>
    </w:p>
    <w:p w14:paraId="299A2653">
      <w:pPr>
        <w:autoSpaceDE w:val="0"/>
        <w:autoSpaceDN w:val="0"/>
        <w:snapToGrid w:val="0"/>
        <w:spacing w:line="360" w:lineRule="auto"/>
        <w:ind w:firstLine="42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（2）项目主管部门或者项目行政监督部门的人员；</w:t>
      </w:r>
    </w:p>
    <w:p w14:paraId="19BD0DF4">
      <w:pPr>
        <w:autoSpaceDE w:val="0"/>
        <w:autoSpaceDN w:val="0"/>
        <w:snapToGrid w:val="0"/>
        <w:spacing w:line="360" w:lineRule="auto"/>
        <w:ind w:firstLine="42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（3）与比选申请人有利害关系，可能影响对投标公正评审的；</w:t>
      </w:r>
    </w:p>
    <w:p w14:paraId="04CD0E47">
      <w:pPr>
        <w:autoSpaceDE w:val="0"/>
        <w:autoSpaceDN w:val="0"/>
        <w:snapToGrid w:val="0"/>
        <w:spacing w:line="360" w:lineRule="auto"/>
        <w:ind w:firstLine="42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（4）曾因在招标、评标以及其他与招标投标有关活动中从事违法行为而受过行政处罚或刑事处罚的；</w:t>
      </w:r>
    </w:p>
    <w:p w14:paraId="49A97BF4">
      <w:pPr>
        <w:autoSpaceDE w:val="0"/>
        <w:autoSpaceDN w:val="0"/>
        <w:snapToGrid w:val="0"/>
        <w:spacing w:line="360" w:lineRule="auto"/>
        <w:ind w:firstLine="42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（5）法律法规规定的其他情形。</w:t>
      </w:r>
    </w:p>
    <w:p w14:paraId="06052865">
      <w:pPr>
        <w:autoSpaceDE w:val="0"/>
        <w:autoSpaceDN w:val="0"/>
        <w:snapToGrid w:val="0"/>
        <w:spacing w:line="360" w:lineRule="auto"/>
        <w:ind w:firstLine="42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6.1.3  评选过程中，评选委员会成员有回避事由、擅离职守或者因健康等原因不能继续评选的，应当及时更换。被更换的评选委员会成员作出的评审结论无效，由更换后的评选委员会成员重新进行评审。</w:t>
      </w:r>
    </w:p>
    <w:p w14:paraId="0EEB5B9F">
      <w:pPr>
        <w:autoSpaceDE w:val="0"/>
        <w:autoSpaceDN w:val="0"/>
        <w:snapToGrid w:val="0"/>
        <w:spacing w:line="360" w:lineRule="auto"/>
        <w:jc w:val="left"/>
        <w:rPr>
          <w:rFonts w:hint="eastAsia" w:ascii="仿宋" w:hAnsi="仿宋" w:eastAsia="仿宋" w:cs="仿宋"/>
          <w:snapToGrid w:val="0"/>
          <w:sz w:val="21"/>
          <w:szCs w:val="21"/>
          <w:highlight w:val="none"/>
        </w:rPr>
      </w:pPr>
      <w:bookmarkStart w:id="306" w:name="_Toc277082588"/>
      <w:bookmarkStart w:id="307" w:name="_Toc287607782"/>
      <w:bookmarkStart w:id="308" w:name="_Toc287620721"/>
      <w:bookmarkStart w:id="309" w:name="_Toc224103353"/>
      <w:bookmarkStart w:id="310" w:name="_Toc509218746"/>
      <w:bookmarkStart w:id="311" w:name="_Toc200513162"/>
      <w:bookmarkStart w:id="312" w:name="_Toc12166"/>
      <w:bookmarkStart w:id="313" w:name="_Toc430530471"/>
      <w:bookmarkStart w:id="314" w:name="_Toc57905867"/>
      <w:r>
        <w:rPr>
          <w:rFonts w:hint="eastAsia" w:ascii="仿宋" w:hAnsi="仿宋" w:eastAsia="仿宋" w:cs="仿宋"/>
          <w:snapToGrid w:val="0"/>
          <w:sz w:val="21"/>
          <w:szCs w:val="21"/>
          <w:highlight w:val="none"/>
        </w:rPr>
        <w:t>6.2  评标原则</w:t>
      </w:r>
      <w:bookmarkEnd w:id="306"/>
      <w:bookmarkEnd w:id="307"/>
      <w:bookmarkEnd w:id="308"/>
      <w:bookmarkEnd w:id="309"/>
      <w:bookmarkEnd w:id="310"/>
      <w:bookmarkEnd w:id="311"/>
      <w:bookmarkEnd w:id="312"/>
      <w:bookmarkEnd w:id="313"/>
      <w:bookmarkEnd w:id="314"/>
    </w:p>
    <w:p w14:paraId="7626ADB0">
      <w:pPr>
        <w:autoSpaceDE w:val="0"/>
        <w:autoSpaceDN w:val="0"/>
        <w:snapToGrid w:val="0"/>
        <w:spacing w:line="360" w:lineRule="auto"/>
        <w:ind w:firstLine="42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评标活动遵循公平、公正、科学和择优的原则。</w:t>
      </w:r>
    </w:p>
    <w:p w14:paraId="44E22B5A">
      <w:pPr>
        <w:autoSpaceDE w:val="0"/>
        <w:autoSpaceDN w:val="0"/>
        <w:snapToGrid w:val="0"/>
        <w:spacing w:line="360" w:lineRule="auto"/>
        <w:jc w:val="left"/>
        <w:rPr>
          <w:rFonts w:hint="eastAsia" w:ascii="仿宋" w:hAnsi="仿宋" w:eastAsia="仿宋" w:cs="仿宋"/>
          <w:snapToGrid w:val="0"/>
          <w:sz w:val="21"/>
          <w:szCs w:val="21"/>
          <w:highlight w:val="none"/>
        </w:rPr>
      </w:pPr>
      <w:bookmarkStart w:id="315" w:name="_Toc57905868"/>
      <w:bookmarkStart w:id="316" w:name="_Toc287607783"/>
      <w:bookmarkStart w:id="317" w:name="_Toc277082589"/>
      <w:bookmarkStart w:id="318" w:name="_Toc200513163"/>
      <w:bookmarkStart w:id="319" w:name="_Toc224103354"/>
      <w:bookmarkStart w:id="320" w:name="_Toc430530472"/>
      <w:bookmarkStart w:id="321" w:name="_Toc287620722"/>
      <w:bookmarkStart w:id="322" w:name="_Toc509218747"/>
      <w:bookmarkStart w:id="323" w:name="_Toc14701"/>
      <w:r>
        <w:rPr>
          <w:rFonts w:hint="eastAsia" w:ascii="仿宋" w:hAnsi="仿宋" w:eastAsia="仿宋" w:cs="仿宋"/>
          <w:snapToGrid w:val="0"/>
          <w:sz w:val="21"/>
          <w:szCs w:val="21"/>
          <w:highlight w:val="none"/>
        </w:rPr>
        <w:t>6.3  评标</w:t>
      </w:r>
      <w:bookmarkEnd w:id="315"/>
      <w:bookmarkEnd w:id="316"/>
      <w:bookmarkEnd w:id="317"/>
      <w:bookmarkEnd w:id="318"/>
      <w:bookmarkEnd w:id="319"/>
      <w:bookmarkEnd w:id="320"/>
      <w:bookmarkEnd w:id="321"/>
      <w:bookmarkEnd w:id="322"/>
      <w:bookmarkEnd w:id="323"/>
    </w:p>
    <w:p w14:paraId="33A6039F">
      <w:pPr>
        <w:autoSpaceDE w:val="0"/>
        <w:autoSpaceDN w:val="0"/>
        <w:snapToGrid w:val="0"/>
        <w:spacing w:line="360" w:lineRule="auto"/>
        <w:ind w:firstLine="420"/>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评选委员会按照第三章“评审办法”规定的方法、评审因素、标准和程序对比选申请文件进行评审。第三章“评标办法”没有规定的方法、评审因素和标准，不得作为评选依据。</w:t>
      </w:r>
    </w:p>
    <w:p w14:paraId="02E5C222">
      <w:pPr>
        <w:spacing w:line="360" w:lineRule="auto"/>
        <w:outlineLvl w:val="1"/>
        <w:rPr>
          <w:rFonts w:hint="eastAsia" w:ascii="仿宋" w:hAnsi="仿宋" w:eastAsia="仿宋" w:cs="仿宋"/>
          <w:b/>
          <w:sz w:val="21"/>
          <w:szCs w:val="21"/>
          <w:highlight w:val="none"/>
        </w:rPr>
      </w:pPr>
      <w:bookmarkStart w:id="324" w:name="_Toc430206002"/>
      <w:bookmarkStart w:id="325" w:name="_Toc2430"/>
      <w:bookmarkStart w:id="326" w:name="_Toc492244451"/>
      <w:bookmarkStart w:id="327" w:name="_Toc31926"/>
      <w:bookmarkStart w:id="328" w:name="_Toc166"/>
      <w:r>
        <w:rPr>
          <w:rFonts w:hint="eastAsia" w:ascii="仿宋" w:hAnsi="仿宋" w:eastAsia="仿宋" w:cs="仿宋"/>
          <w:b/>
          <w:sz w:val="21"/>
          <w:szCs w:val="21"/>
          <w:highlight w:val="none"/>
        </w:rPr>
        <w:t>7.  合同授予</w:t>
      </w:r>
      <w:bookmarkEnd w:id="291"/>
      <w:bookmarkEnd w:id="324"/>
      <w:bookmarkEnd w:id="325"/>
      <w:bookmarkEnd w:id="326"/>
      <w:bookmarkEnd w:id="327"/>
      <w:bookmarkEnd w:id="328"/>
    </w:p>
    <w:p w14:paraId="43553DE3">
      <w:pPr>
        <w:spacing w:line="360" w:lineRule="auto"/>
        <w:ind w:firstLine="420" w:firstLineChars="200"/>
        <w:rPr>
          <w:rFonts w:hint="eastAsia" w:ascii="仿宋" w:hAnsi="仿宋" w:eastAsia="仿宋" w:cs="仿宋"/>
          <w:sz w:val="21"/>
          <w:szCs w:val="21"/>
          <w:highlight w:val="none"/>
        </w:rPr>
      </w:pPr>
      <w:bookmarkStart w:id="329" w:name="_Toc224103356"/>
      <w:bookmarkStart w:id="330" w:name="_Toc509218749"/>
      <w:bookmarkStart w:id="331" w:name="_Toc57905870"/>
      <w:bookmarkStart w:id="332" w:name="_Toc287620724"/>
      <w:bookmarkStart w:id="333" w:name="_Toc29937"/>
      <w:bookmarkStart w:id="334" w:name="_Toc200513165"/>
      <w:bookmarkStart w:id="335" w:name="_Toc430530474"/>
      <w:bookmarkStart w:id="336" w:name="_Toc277082591"/>
      <w:bookmarkStart w:id="337" w:name="_Toc287607785"/>
      <w:r>
        <w:rPr>
          <w:rFonts w:hint="eastAsia" w:ascii="仿宋" w:hAnsi="仿宋" w:eastAsia="仿宋" w:cs="仿宋"/>
          <w:sz w:val="21"/>
          <w:szCs w:val="21"/>
          <w:highlight w:val="none"/>
        </w:rPr>
        <w:t>7.1  定标方式</w:t>
      </w:r>
      <w:bookmarkEnd w:id="329"/>
      <w:bookmarkEnd w:id="330"/>
      <w:bookmarkEnd w:id="331"/>
      <w:bookmarkEnd w:id="332"/>
      <w:bookmarkEnd w:id="333"/>
      <w:bookmarkEnd w:id="334"/>
      <w:bookmarkEnd w:id="335"/>
      <w:bookmarkEnd w:id="336"/>
      <w:bookmarkEnd w:id="337"/>
    </w:p>
    <w:p w14:paraId="3833F566">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国有资金占控股或者主导地位的依法必须进行招标的项目，比选人应当确定排名第一的中选候选人为中选人。排名第一的中选候选人放弃中选、因不可抗力不能履行合同或者被查实存在影响中选结果的违法行为等情形，不符合中选条件的，比选人可以按照评选委员会提出的中选候选人名单排序依次确定其他中选候选人为中选人，也可以重新招标。</w:t>
      </w:r>
    </w:p>
    <w:p w14:paraId="3C5A22EC">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评选委员会推荐中选候选人的人数：见比选申请人须知前附表。</w:t>
      </w:r>
    </w:p>
    <w:p w14:paraId="68FA7B8B">
      <w:pPr>
        <w:spacing w:line="360" w:lineRule="auto"/>
        <w:ind w:firstLine="420" w:firstLineChars="200"/>
        <w:rPr>
          <w:rFonts w:hint="eastAsia" w:ascii="仿宋" w:hAnsi="仿宋" w:eastAsia="仿宋" w:cs="仿宋"/>
          <w:sz w:val="21"/>
          <w:szCs w:val="21"/>
          <w:highlight w:val="none"/>
        </w:rPr>
      </w:pPr>
      <w:bookmarkStart w:id="338" w:name="_Toc57905871"/>
      <w:bookmarkStart w:id="339" w:name="_Toc430530475"/>
      <w:bookmarkStart w:id="340" w:name="_Toc23594"/>
      <w:bookmarkStart w:id="341" w:name="_Toc509218750"/>
      <w:r>
        <w:rPr>
          <w:rFonts w:hint="eastAsia" w:ascii="仿宋" w:hAnsi="仿宋" w:eastAsia="仿宋" w:cs="仿宋"/>
          <w:sz w:val="21"/>
          <w:szCs w:val="21"/>
          <w:highlight w:val="none"/>
        </w:rPr>
        <w:t>7.2  中选公示及中选通知</w:t>
      </w:r>
      <w:bookmarkEnd w:id="338"/>
      <w:bookmarkEnd w:id="339"/>
      <w:bookmarkEnd w:id="340"/>
      <w:bookmarkEnd w:id="341"/>
    </w:p>
    <w:p w14:paraId="6C626C18">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比选人在收到评标报告之日起3日内公示中选候选人，公示期为1日。</w:t>
      </w:r>
    </w:p>
    <w:p w14:paraId="16D9C471">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在本章第 3.3 款规定的比选申请有效期内，且未有比选申请人的异议与投诉，比选人以书面形式向中选人发出中选通知书。</w:t>
      </w:r>
    </w:p>
    <w:p w14:paraId="3B51CFEF">
      <w:pPr>
        <w:spacing w:line="360" w:lineRule="auto"/>
        <w:ind w:firstLine="420" w:firstLineChars="200"/>
        <w:rPr>
          <w:rFonts w:hint="eastAsia" w:ascii="仿宋" w:hAnsi="仿宋" w:eastAsia="仿宋" w:cs="仿宋"/>
          <w:sz w:val="21"/>
          <w:szCs w:val="21"/>
          <w:highlight w:val="none"/>
        </w:rPr>
      </w:pPr>
      <w:bookmarkStart w:id="342" w:name="_Toc287607787"/>
      <w:bookmarkStart w:id="343" w:name="_Toc509218751"/>
      <w:bookmarkStart w:id="344" w:name="_Toc430530476"/>
      <w:bookmarkStart w:id="345" w:name="_Toc224103358"/>
      <w:bookmarkStart w:id="346" w:name="_Toc200513167"/>
      <w:bookmarkStart w:id="347" w:name="_Toc13383"/>
      <w:bookmarkStart w:id="348" w:name="_Toc57905872"/>
      <w:bookmarkStart w:id="349" w:name="_Toc287620726"/>
      <w:bookmarkStart w:id="350" w:name="_Toc277082593"/>
      <w:r>
        <w:rPr>
          <w:rFonts w:hint="eastAsia" w:ascii="仿宋" w:hAnsi="仿宋" w:eastAsia="仿宋" w:cs="仿宋"/>
          <w:sz w:val="21"/>
          <w:szCs w:val="21"/>
          <w:highlight w:val="none"/>
        </w:rPr>
        <w:t>7.3  履约担保</w:t>
      </w:r>
      <w:bookmarkEnd w:id="342"/>
      <w:bookmarkEnd w:id="343"/>
      <w:bookmarkEnd w:id="344"/>
      <w:bookmarkEnd w:id="345"/>
      <w:bookmarkEnd w:id="346"/>
      <w:bookmarkEnd w:id="347"/>
      <w:bookmarkEnd w:id="348"/>
      <w:bookmarkEnd w:id="349"/>
      <w:bookmarkEnd w:id="350"/>
      <w:r>
        <w:rPr>
          <w:rFonts w:hint="eastAsia" w:ascii="仿宋" w:hAnsi="仿宋" w:eastAsia="仿宋" w:cs="仿宋"/>
          <w:sz w:val="21"/>
          <w:szCs w:val="21"/>
          <w:highlight w:val="none"/>
        </w:rPr>
        <w:t>：详见比选申请人须知前附表第7.3.1项规定。</w:t>
      </w:r>
    </w:p>
    <w:p w14:paraId="4CA2D618">
      <w:pPr>
        <w:spacing w:line="360" w:lineRule="auto"/>
        <w:ind w:firstLine="420" w:firstLineChars="200"/>
        <w:rPr>
          <w:rFonts w:hint="eastAsia" w:ascii="仿宋" w:hAnsi="仿宋" w:eastAsia="仿宋" w:cs="仿宋"/>
          <w:sz w:val="21"/>
          <w:szCs w:val="21"/>
          <w:highlight w:val="none"/>
        </w:rPr>
      </w:pPr>
      <w:bookmarkStart w:id="351" w:name="_Toc57905873"/>
      <w:bookmarkStart w:id="352" w:name="_Toc509218752"/>
      <w:bookmarkStart w:id="353" w:name="_Toc277082594"/>
      <w:bookmarkStart w:id="354" w:name="_Toc224103359"/>
      <w:bookmarkStart w:id="355" w:name="_Toc287620727"/>
      <w:bookmarkStart w:id="356" w:name="_Toc287607788"/>
      <w:bookmarkStart w:id="357" w:name="_Toc430530477"/>
      <w:bookmarkStart w:id="358" w:name="_Toc200513168"/>
      <w:bookmarkStart w:id="359" w:name="_Toc16900"/>
      <w:r>
        <w:rPr>
          <w:rFonts w:hint="eastAsia" w:ascii="仿宋" w:hAnsi="仿宋" w:eastAsia="仿宋" w:cs="仿宋"/>
          <w:sz w:val="21"/>
          <w:szCs w:val="21"/>
          <w:highlight w:val="none"/>
        </w:rPr>
        <w:t>7.4  签订合同</w:t>
      </w:r>
      <w:bookmarkEnd w:id="351"/>
      <w:bookmarkEnd w:id="352"/>
      <w:bookmarkEnd w:id="353"/>
      <w:bookmarkEnd w:id="354"/>
      <w:bookmarkEnd w:id="355"/>
      <w:bookmarkEnd w:id="356"/>
      <w:bookmarkEnd w:id="357"/>
      <w:bookmarkEnd w:id="358"/>
      <w:bookmarkEnd w:id="359"/>
    </w:p>
    <w:p w14:paraId="1DFC417E">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7.4.1 比选人和中选人应当自中选通知书发出之日起 30天内，根据竞争性比选文件和中选人的比选申请文件订立书面合同。中选人放弃中选项目，无正当理由不与比选人签订合同，在签订合同时向比选人提出附加条件或者更改合同实质性内容的，或不按照竞争性比选文件要求提交履约保证金的，比选人取消其中选资格，其比选申请保证金不予退还；给比选人造成的损失超过比选申请保证金数额的，中选人还应当对超过部分予以赔偿。</w:t>
      </w:r>
    </w:p>
    <w:p w14:paraId="71695264">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7.4.2  发出中选通知书后，比选人无正当理由拒签合同的，比选人向中选人退还比选申请保证金；给中选人造成损失的，还应当赔偿损失。</w:t>
      </w:r>
    </w:p>
    <w:bookmarkEnd w:id="292"/>
    <w:bookmarkEnd w:id="293"/>
    <w:bookmarkEnd w:id="294"/>
    <w:bookmarkEnd w:id="295"/>
    <w:bookmarkEnd w:id="296"/>
    <w:p w14:paraId="708ABB70">
      <w:pPr>
        <w:spacing w:line="360" w:lineRule="auto"/>
        <w:outlineLvl w:val="1"/>
        <w:rPr>
          <w:rFonts w:hint="eastAsia" w:ascii="仿宋" w:hAnsi="仿宋" w:eastAsia="仿宋" w:cs="仿宋"/>
          <w:b/>
          <w:sz w:val="21"/>
          <w:szCs w:val="21"/>
          <w:highlight w:val="none"/>
        </w:rPr>
      </w:pPr>
      <w:bookmarkStart w:id="360" w:name="_Toc430206007"/>
      <w:bookmarkStart w:id="361" w:name="_Toc12023"/>
      <w:bookmarkStart w:id="362" w:name="_Toc492244452"/>
      <w:bookmarkStart w:id="363" w:name="_Toc1267"/>
      <w:bookmarkStart w:id="364" w:name="_Toc32597"/>
      <w:bookmarkStart w:id="365" w:name="_Toc26905"/>
      <w:r>
        <w:rPr>
          <w:rFonts w:hint="eastAsia" w:ascii="仿宋" w:hAnsi="仿宋" w:eastAsia="仿宋" w:cs="仿宋"/>
          <w:b/>
          <w:sz w:val="21"/>
          <w:szCs w:val="21"/>
          <w:highlight w:val="none"/>
        </w:rPr>
        <w:t>8.  重新竞争性比选和不再</w:t>
      </w:r>
      <w:bookmarkEnd w:id="360"/>
      <w:bookmarkEnd w:id="361"/>
      <w:bookmarkEnd w:id="362"/>
      <w:r>
        <w:rPr>
          <w:rFonts w:hint="eastAsia" w:ascii="仿宋" w:hAnsi="仿宋" w:eastAsia="仿宋" w:cs="仿宋"/>
          <w:b/>
          <w:sz w:val="21"/>
          <w:szCs w:val="21"/>
          <w:highlight w:val="none"/>
        </w:rPr>
        <w:t>竞争性比选</w:t>
      </w:r>
      <w:bookmarkEnd w:id="363"/>
      <w:bookmarkEnd w:id="364"/>
      <w:bookmarkEnd w:id="365"/>
    </w:p>
    <w:p w14:paraId="1545B44C">
      <w:pPr>
        <w:spacing w:line="360" w:lineRule="auto"/>
        <w:ind w:firstLine="420" w:firstLineChars="200"/>
        <w:rPr>
          <w:rFonts w:hint="eastAsia" w:ascii="仿宋" w:hAnsi="仿宋" w:eastAsia="仿宋" w:cs="仿宋"/>
          <w:sz w:val="21"/>
          <w:szCs w:val="21"/>
          <w:highlight w:val="none"/>
        </w:rPr>
      </w:pPr>
      <w:bookmarkStart w:id="366" w:name="_Toc224103361"/>
      <w:bookmarkStart w:id="367" w:name="_Toc287607790"/>
      <w:bookmarkStart w:id="368" w:name="_Toc287620729"/>
      <w:bookmarkStart w:id="369" w:name="_Toc277082596"/>
      <w:bookmarkStart w:id="370" w:name="_Toc4647"/>
      <w:bookmarkStart w:id="371" w:name="_Toc57905875"/>
      <w:bookmarkStart w:id="372" w:name="_Toc200513170"/>
      <w:bookmarkStart w:id="373" w:name="_Toc509218754"/>
      <w:bookmarkStart w:id="374" w:name="_Toc430530479"/>
      <w:bookmarkStart w:id="375" w:name="_Toc25144"/>
      <w:bookmarkStart w:id="376" w:name="_Toc200513171"/>
      <w:bookmarkStart w:id="377" w:name="_Toc430206009"/>
      <w:bookmarkStart w:id="378" w:name="_Toc224103362"/>
      <w:bookmarkStart w:id="379" w:name="_Toc277082597"/>
      <w:bookmarkStart w:id="380" w:name="_Toc287607791"/>
      <w:r>
        <w:rPr>
          <w:rFonts w:hint="eastAsia" w:ascii="仿宋" w:hAnsi="仿宋" w:eastAsia="仿宋" w:cs="仿宋"/>
          <w:sz w:val="21"/>
          <w:szCs w:val="21"/>
          <w:highlight w:val="none"/>
        </w:rPr>
        <w:t>8.1  重新</w:t>
      </w:r>
      <w:bookmarkEnd w:id="366"/>
      <w:bookmarkEnd w:id="367"/>
      <w:bookmarkEnd w:id="368"/>
      <w:bookmarkEnd w:id="369"/>
      <w:bookmarkEnd w:id="370"/>
      <w:bookmarkEnd w:id="371"/>
      <w:bookmarkEnd w:id="372"/>
      <w:bookmarkEnd w:id="373"/>
      <w:bookmarkEnd w:id="374"/>
      <w:r>
        <w:rPr>
          <w:rFonts w:hint="eastAsia" w:ascii="仿宋" w:hAnsi="仿宋" w:eastAsia="仿宋" w:cs="仿宋"/>
          <w:sz w:val="21"/>
          <w:szCs w:val="21"/>
          <w:highlight w:val="none"/>
        </w:rPr>
        <w:t>竞争性比选的情形</w:t>
      </w:r>
    </w:p>
    <w:p w14:paraId="2E227DC9">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有下列情形之一的，比选人将重新竞争性比选：</w:t>
      </w:r>
    </w:p>
    <w:p w14:paraId="7C404801">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（1）比选截止时间止，比选申请人少于 3 个的；</w:t>
      </w:r>
    </w:p>
    <w:p w14:paraId="49175336">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（2）经评选委员会评审后否决所有比选申请的；</w:t>
      </w:r>
    </w:p>
    <w:p w14:paraId="1EE01A68">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经评选委员会评审后部分比选申请被否决，导致有效比选申请人不足三个的，评选委员会应当否决所有比选申请。但是有效比选申请人的经济、技术等指标仍然具有市场竞争力，能够满足竞争性比选文件要求的，评选委员会可以继续评标并确定中选候选人；</w:t>
      </w:r>
    </w:p>
    <w:p w14:paraId="1661CED1">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（4）法律法规规定的其他情形。</w:t>
      </w:r>
    </w:p>
    <w:p w14:paraId="4147E2E5">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8.2  </w:t>
      </w:r>
      <w:bookmarkEnd w:id="375"/>
      <w:bookmarkEnd w:id="376"/>
      <w:bookmarkEnd w:id="377"/>
      <w:bookmarkEnd w:id="378"/>
      <w:bookmarkEnd w:id="379"/>
      <w:bookmarkEnd w:id="380"/>
      <w:r>
        <w:rPr>
          <w:rFonts w:hint="eastAsia" w:ascii="仿宋" w:hAnsi="仿宋" w:eastAsia="仿宋" w:cs="仿宋"/>
          <w:sz w:val="21"/>
          <w:szCs w:val="21"/>
          <w:highlight w:val="none"/>
        </w:rPr>
        <w:t>二次竞争性比选和不再竞争性比选</w:t>
      </w:r>
    </w:p>
    <w:p w14:paraId="7DD84327">
      <w:pPr>
        <w:spacing w:line="360" w:lineRule="auto"/>
        <w:ind w:firstLine="420" w:firstLineChars="200"/>
        <w:rPr>
          <w:rFonts w:hint="eastAsia" w:ascii="仿宋" w:hAnsi="仿宋" w:eastAsia="仿宋" w:cs="仿宋"/>
          <w:sz w:val="21"/>
          <w:szCs w:val="21"/>
          <w:highlight w:val="none"/>
        </w:rPr>
      </w:pPr>
      <w:bookmarkStart w:id="381" w:name="_Toc492244453"/>
      <w:bookmarkStart w:id="382" w:name="_Toc287607792"/>
      <w:bookmarkStart w:id="383" w:name="_Toc200513172"/>
      <w:bookmarkStart w:id="384" w:name="_Toc224103363"/>
      <w:bookmarkStart w:id="385" w:name="_Toc22298"/>
      <w:bookmarkStart w:id="386" w:name="_Toc430206010"/>
      <w:bookmarkStart w:id="387" w:name="_Toc277082598"/>
      <w:r>
        <w:rPr>
          <w:rFonts w:hint="eastAsia" w:ascii="仿宋" w:hAnsi="仿宋" w:eastAsia="仿宋" w:cs="仿宋"/>
          <w:sz w:val="21"/>
          <w:szCs w:val="21"/>
          <w:highlight w:val="none"/>
        </w:rPr>
        <w:t>重新公开竞争性比选后比选申请人仍少于3人，按法定程序比选和评审，确定中选人。经评审无合格比选申请人，报经原审批部门批准可以不再比选。</w:t>
      </w:r>
    </w:p>
    <w:p w14:paraId="6C9538CF">
      <w:pPr>
        <w:spacing w:line="360" w:lineRule="auto"/>
        <w:outlineLvl w:val="1"/>
        <w:rPr>
          <w:rFonts w:hint="eastAsia" w:ascii="仿宋" w:hAnsi="仿宋" w:eastAsia="仿宋" w:cs="仿宋"/>
          <w:b/>
          <w:sz w:val="21"/>
          <w:szCs w:val="21"/>
          <w:highlight w:val="none"/>
        </w:rPr>
      </w:pPr>
      <w:bookmarkStart w:id="388" w:name="_Toc3704"/>
      <w:bookmarkStart w:id="389" w:name="_Toc32150"/>
      <w:bookmarkStart w:id="390" w:name="_Toc8854"/>
      <w:r>
        <w:rPr>
          <w:rFonts w:hint="eastAsia" w:ascii="仿宋" w:hAnsi="仿宋" w:eastAsia="仿宋" w:cs="仿宋"/>
          <w:b/>
          <w:sz w:val="21"/>
          <w:szCs w:val="21"/>
          <w:highlight w:val="none"/>
        </w:rPr>
        <w:t>9.  纪律和监督</w:t>
      </w:r>
      <w:bookmarkEnd w:id="381"/>
      <w:bookmarkEnd w:id="382"/>
      <w:bookmarkEnd w:id="383"/>
      <w:bookmarkEnd w:id="384"/>
      <w:bookmarkEnd w:id="385"/>
      <w:bookmarkEnd w:id="386"/>
      <w:bookmarkEnd w:id="387"/>
      <w:bookmarkEnd w:id="388"/>
      <w:bookmarkEnd w:id="389"/>
      <w:bookmarkEnd w:id="390"/>
    </w:p>
    <w:p w14:paraId="33B150F7">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bookmarkStart w:id="391" w:name="_Toc509218757"/>
      <w:bookmarkStart w:id="392" w:name="_Toc277082599"/>
      <w:bookmarkStart w:id="393" w:name="_Toc11532"/>
      <w:bookmarkStart w:id="394" w:name="_Toc224103364"/>
      <w:bookmarkStart w:id="395" w:name="_Toc430530482"/>
      <w:bookmarkStart w:id="396" w:name="_Toc57905878"/>
      <w:bookmarkStart w:id="397" w:name="_Toc200513173"/>
      <w:bookmarkStart w:id="398" w:name="_Toc287607793"/>
      <w:bookmarkStart w:id="399" w:name="_Toc287620732"/>
      <w:bookmarkStart w:id="400" w:name="_Toc200513178"/>
      <w:bookmarkStart w:id="401" w:name="_Toc430206013"/>
      <w:bookmarkStart w:id="402" w:name="_Toc224103369"/>
      <w:bookmarkStart w:id="403" w:name="_Toc492244454"/>
      <w:bookmarkStart w:id="404" w:name="_Toc11976"/>
      <w:bookmarkStart w:id="405" w:name="_Toc287620737"/>
      <w:bookmarkStart w:id="406" w:name="_Toc287607798"/>
      <w:bookmarkStart w:id="407" w:name="_Toc277082604"/>
      <w:r>
        <w:rPr>
          <w:rFonts w:hint="eastAsia" w:ascii="仿宋" w:hAnsi="仿宋" w:eastAsia="仿宋" w:cs="仿宋"/>
          <w:snapToGrid w:val="0"/>
          <w:sz w:val="21"/>
          <w:szCs w:val="21"/>
          <w:highlight w:val="none"/>
        </w:rPr>
        <w:t>9.1  对比选人的纪律要求</w:t>
      </w:r>
      <w:bookmarkEnd w:id="391"/>
      <w:bookmarkEnd w:id="392"/>
      <w:bookmarkEnd w:id="393"/>
      <w:bookmarkEnd w:id="394"/>
      <w:bookmarkEnd w:id="395"/>
      <w:bookmarkEnd w:id="396"/>
      <w:bookmarkEnd w:id="397"/>
      <w:bookmarkEnd w:id="398"/>
      <w:bookmarkEnd w:id="399"/>
    </w:p>
    <w:p w14:paraId="347BDFA2">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比选人不得泄漏招标投标活动中应当保密的情况和资料，不得与比选申请人串通损害国家利 益、社会公共利益或者他人合法权益，禁止比选人与比选申请人串通投标。</w:t>
      </w:r>
    </w:p>
    <w:p w14:paraId="0F3F23C5">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有下列情形之一的，属于比选人与比选申请人串通投标：</w:t>
      </w:r>
    </w:p>
    <w:p w14:paraId="044BEED9">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（1）比选人在开标前开启比选申请文件并将有关信息泄露给其他比选申请人；</w:t>
      </w:r>
    </w:p>
    <w:p w14:paraId="7016A9BC">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（2）比选人直接或者间接向比选申请人泄露标底、评选委员会成员等信息；</w:t>
      </w:r>
    </w:p>
    <w:p w14:paraId="307A8643">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（3）比选人明示或者暗示比选申请人压低或者抬高比选申请报价；</w:t>
      </w:r>
    </w:p>
    <w:p w14:paraId="677D80A5">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（4）比选人授意比选申请人撤换、修改比选申请文件；</w:t>
      </w:r>
    </w:p>
    <w:p w14:paraId="54BD1EA5">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（5）比选人明示或者暗示比选申请人为特定比选申请人中选提供方便；</w:t>
      </w:r>
    </w:p>
    <w:p w14:paraId="764D7E93">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（6）比选人与比选申请人为谋求特定比选申请人中选而采取的其他串通行为。</w:t>
      </w:r>
    </w:p>
    <w:p w14:paraId="15FDB70E">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bookmarkStart w:id="408" w:name="_Toc11710"/>
      <w:bookmarkStart w:id="409" w:name="_Toc277082600"/>
      <w:bookmarkStart w:id="410" w:name="_Toc200513174"/>
      <w:bookmarkStart w:id="411" w:name="_Toc509218758"/>
      <w:bookmarkStart w:id="412" w:name="_Toc57905879"/>
      <w:bookmarkStart w:id="413" w:name="_Toc224103365"/>
      <w:bookmarkStart w:id="414" w:name="_Toc287620733"/>
      <w:bookmarkStart w:id="415" w:name="_Toc287607794"/>
      <w:bookmarkStart w:id="416" w:name="_Toc430530483"/>
      <w:r>
        <w:rPr>
          <w:rFonts w:hint="eastAsia" w:ascii="仿宋" w:hAnsi="仿宋" w:eastAsia="仿宋" w:cs="仿宋"/>
          <w:snapToGrid w:val="0"/>
          <w:sz w:val="21"/>
          <w:szCs w:val="21"/>
          <w:highlight w:val="none"/>
        </w:rPr>
        <w:t>9.2  对比选申请人的纪律要求</w:t>
      </w:r>
      <w:bookmarkEnd w:id="408"/>
      <w:bookmarkEnd w:id="409"/>
      <w:bookmarkEnd w:id="410"/>
      <w:bookmarkEnd w:id="411"/>
      <w:bookmarkEnd w:id="412"/>
      <w:bookmarkEnd w:id="413"/>
      <w:bookmarkEnd w:id="414"/>
      <w:bookmarkEnd w:id="415"/>
      <w:bookmarkEnd w:id="416"/>
    </w:p>
    <w:p w14:paraId="41644C0F">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比选申请人不得相互串通投标或者与比选人串通投标，不得向比选人或者评选委员会成员行贿谋取中选，不得以他人名义投标或者以其他方式弄虚作假骗取中选；比选申请人不得以任何方式干扰、影响评标工作；并在资格审查文件中承诺，否则视为不响应竞争性比选文件。</w:t>
      </w:r>
    </w:p>
    <w:p w14:paraId="3FC6A93A">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9.2.1  有下列情形之一的，属于比选申请人相互串通投标：</w:t>
      </w:r>
    </w:p>
    <w:p w14:paraId="4356DE60">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（1）比选申请人之间协商比选申请报价等比选申请文件的实质性内容；</w:t>
      </w:r>
    </w:p>
    <w:p w14:paraId="769DED93">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（2）比选申请人之间约定中选人；</w:t>
      </w:r>
    </w:p>
    <w:p w14:paraId="23B02567">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（3）比选申请人之间约定部分比选申请人放弃投标或者中选；</w:t>
      </w:r>
    </w:p>
    <w:p w14:paraId="3797A3C8">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（4）属于同一集团、协会、商会等组织成员的比选申请人按照该组织要求协同投标；</w:t>
      </w:r>
    </w:p>
    <w:p w14:paraId="4F72EE72">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（5）比选申请人之间为谋取中选或者排斥特定比选申请人而采取的其他联合行动。</w:t>
      </w:r>
    </w:p>
    <w:p w14:paraId="07326D80">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9.2.2  有下列情形之一的，视为比选申请人相互串通投标：</w:t>
      </w:r>
    </w:p>
    <w:p w14:paraId="349F720F">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（1）不同比选申请人的比选申请文件由同一单位或者个人编制；</w:t>
      </w:r>
    </w:p>
    <w:p w14:paraId="63E789E1">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（2）不同比选申请人委托同一单位或者个人办理投标事宜；</w:t>
      </w:r>
    </w:p>
    <w:p w14:paraId="44A1742D">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（3）不同比选申请人的比选申请文件载明的项目管理成员为同一人；</w:t>
      </w:r>
    </w:p>
    <w:p w14:paraId="00F2AA5C">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（4）不同比选申请人的比选申请文件异常一致或者比选申请报价呈规律性差异；</w:t>
      </w:r>
    </w:p>
    <w:p w14:paraId="787E2DE3">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（5）不同比选申请人的比选申请文件相互混装；</w:t>
      </w:r>
    </w:p>
    <w:p w14:paraId="1BB34C96">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（6）不同比选申请人的比选申请保证金从同一单位或者个人的账户转出。</w:t>
      </w:r>
    </w:p>
    <w:p w14:paraId="488DE3E5">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9.2.3  使用通过受让或者租借等方式获取的资格、资质证书投标的，属于以他人名义投标。</w:t>
      </w:r>
    </w:p>
    <w:p w14:paraId="066C9406">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9.2.4  比选申请人有下列情形之一的，属于以其他方式弄虚作假的行为：</w:t>
      </w:r>
    </w:p>
    <w:p w14:paraId="0E7756C4">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（1）使用伪造、变造的许可证件；</w:t>
      </w:r>
    </w:p>
    <w:p w14:paraId="1348539B">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（2）提供虚假的财务状况或者业绩；</w:t>
      </w:r>
    </w:p>
    <w:p w14:paraId="58BC0FD6">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（3）提供虚假的项目负责人或者主要技术人员简历、劳动关系证明；</w:t>
      </w:r>
    </w:p>
    <w:p w14:paraId="41B87D3A">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（4）提供虚假的信用状况；</w:t>
      </w:r>
    </w:p>
    <w:p w14:paraId="5DA8F6E8">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（5）其他弄虚作假的行为。</w:t>
      </w:r>
    </w:p>
    <w:p w14:paraId="3614FE25">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bookmarkStart w:id="417" w:name="_Toc27742"/>
      <w:bookmarkStart w:id="418" w:name="_Toc287607795"/>
      <w:bookmarkStart w:id="419" w:name="_Toc277082601"/>
      <w:bookmarkStart w:id="420" w:name="_Toc509218759"/>
      <w:bookmarkStart w:id="421" w:name="_Toc57905880"/>
      <w:bookmarkStart w:id="422" w:name="_Toc287620734"/>
      <w:bookmarkStart w:id="423" w:name="_Toc224103366"/>
      <w:bookmarkStart w:id="424" w:name="_Toc430530484"/>
      <w:bookmarkStart w:id="425" w:name="_Toc200513175"/>
      <w:r>
        <w:rPr>
          <w:rFonts w:hint="eastAsia" w:ascii="仿宋" w:hAnsi="仿宋" w:eastAsia="仿宋" w:cs="仿宋"/>
          <w:snapToGrid w:val="0"/>
          <w:sz w:val="21"/>
          <w:szCs w:val="21"/>
          <w:highlight w:val="none"/>
        </w:rPr>
        <w:t>9.3  对评选委员会成员的纪律要求</w:t>
      </w:r>
      <w:bookmarkEnd w:id="417"/>
      <w:bookmarkEnd w:id="418"/>
      <w:bookmarkEnd w:id="419"/>
      <w:bookmarkEnd w:id="420"/>
      <w:bookmarkEnd w:id="421"/>
      <w:bookmarkEnd w:id="422"/>
      <w:bookmarkEnd w:id="423"/>
      <w:bookmarkEnd w:id="424"/>
      <w:bookmarkEnd w:id="425"/>
    </w:p>
    <w:p w14:paraId="5E669F71">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评选委员会成员不得收受他人的财物或者其他好处，不得向他人透漏对比选申请文件的评审和比较、中选候选人的推荐情况以及评标有关的其他情况。在评标活动中，评选委员会成员不得擅离职守，影响评标程序正常进行，不得使用第三章“评标办法”没有规定的评审因素和标准进行评标，不得对竞争性比选文件中《否决投标情况一览表》以外的内容予以否决投标，否则对评选委员会成员按《重庆市综合评标专家库和评标专家管理暂行办法》进行处理。</w:t>
      </w:r>
    </w:p>
    <w:p w14:paraId="21FF8F44">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bookmarkStart w:id="426" w:name="_Toc200513176"/>
      <w:bookmarkStart w:id="427" w:name="_Toc17353"/>
      <w:bookmarkStart w:id="428" w:name="_Toc224103367"/>
      <w:bookmarkStart w:id="429" w:name="_Toc287620735"/>
      <w:bookmarkStart w:id="430" w:name="_Toc430530485"/>
      <w:bookmarkStart w:id="431" w:name="_Toc509218760"/>
      <w:bookmarkStart w:id="432" w:name="_Toc287607796"/>
      <w:bookmarkStart w:id="433" w:name="_Toc57905881"/>
      <w:bookmarkStart w:id="434" w:name="_Toc277082602"/>
      <w:r>
        <w:rPr>
          <w:rFonts w:hint="eastAsia" w:ascii="仿宋" w:hAnsi="仿宋" w:eastAsia="仿宋" w:cs="仿宋"/>
          <w:snapToGrid w:val="0"/>
          <w:sz w:val="21"/>
          <w:szCs w:val="21"/>
          <w:highlight w:val="none"/>
        </w:rPr>
        <w:t>9.4  对与评标活动有关的工作人员的纪律要求</w:t>
      </w:r>
      <w:bookmarkEnd w:id="426"/>
      <w:bookmarkEnd w:id="427"/>
      <w:bookmarkEnd w:id="428"/>
      <w:bookmarkEnd w:id="429"/>
      <w:bookmarkEnd w:id="430"/>
      <w:bookmarkEnd w:id="431"/>
      <w:bookmarkEnd w:id="432"/>
      <w:bookmarkEnd w:id="433"/>
      <w:bookmarkEnd w:id="434"/>
    </w:p>
    <w:p w14:paraId="6427D5AE">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与评标活动有关的工作人员不得收受他人的财物或者其他好处，不得向他人透漏对比选申请文件的评审和比较、中选候选人的推荐情况以及与评标有关的其他情况。在评标活动中，与评标活动有关的工作人员不得擅离职守，影响评标程序正常进行。</w:t>
      </w:r>
    </w:p>
    <w:p w14:paraId="673D53F8">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bookmarkStart w:id="435" w:name="_Toc57905882"/>
      <w:bookmarkStart w:id="436" w:name="_Toc287620736"/>
      <w:bookmarkStart w:id="437" w:name="_Toc277082603"/>
      <w:bookmarkStart w:id="438" w:name="_Toc287607797"/>
      <w:bookmarkStart w:id="439" w:name="_Toc430530486"/>
      <w:bookmarkStart w:id="440" w:name="_Toc224103368"/>
      <w:bookmarkStart w:id="441" w:name="_Toc17234"/>
      <w:bookmarkStart w:id="442" w:name="_Toc200513177"/>
      <w:bookmarkStart w:id="443" w:name="_Toc509218761"/>
      <w:r>
        <w:rPr>
          <w:rFonts w:hint="eastAsia" w:ascii="仿宋" w:hAnsi="仿宋" w:eastAsia="仿宋" w:cs="仿宋"/>
          <w:snapToGrid w:val="0"/>
          <w:sz w:val="21"/>
          <w:szCs w:val="21"/>
          <w:highlight w:val="none"/>
        </w:rPr>
        <w:t>9.5  投诉</w:t>
      </w:r>
      <w:bookmarkEnd w:id="435"/>
      <w:bookmarkEnd w:id="436"/>
      <w:bookmarkEnd w:id="437"/>
      <w:bookmarkEnd w:id="438"/>
      <w:bookmarkEnd w:id="439"/>
      <w:bookmarkEnd w:id="440"/>
      <w:bookmarkEnd w:id="441"/>
      <w:bookmarkEnd w:id="442"/>
      <w:bookmarkEnd w:id="443"/>
    </w:p>
    <w:p w14:paraId="36CB302E">
      <w:pPr>
        <w:autoSpaceDE w:val="0"/>
        <w:autoSpaceDN w:val="0"/>
        <w:snapToGrid w:val="0"/>
        <w:spacing w:line="360" w:lineRule="auto"/>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比选申请人和其他利害关系人认为本次招标活动违反法律、法规和规章规定的，有权向有关行政监督部门投诉。</w:t>
      </w:r>
    </w:p>
    <w:p w14:paraId="2C041B72">
      <w:pPr>
        <w:spacing w:line="360" w:lineRule="auto"/>
        <w:outlineLvl w:val="1"/>
        <w:rPr>
          <w:rFonts w:hint="eastAsia" w:ascii="仿宋" w:hAnsi="仿宋" w:eastAsia="仿宋" w:cs="仿宋"/>
          <w:b/>
          <w:sz w:val="21"/>
          <w:szCs w:val="21"/>
          <w:highlight w:val="none"/>
        </w:rPr>
      </w:pPr>
      <w:bookmarkStart w:id="444" w:name="_Toc12186"/>
      <w:bookmarkStart w:id="445" w:name="_Toc26422"/>
      <w:bookmarkStart w:id="446" w:name="_Toc13848"/>
      <w:r>
        <w:rPr>
          <w:rFonts w:hint="eastAsia" w:ascii="仿宋" w:hAnsi="仿宋" w:eastAsia="仿宋" w:cs="仿宋"/>
          <w:b/>
          <w:sz w:val="21"/>
          <w:szCs w:val="21"/>
          <w:highlight w:val="none"/>
        </w:rPr>
        <w:t>10. 需要补充的其他内容</w:t>
      </w:r>
      <w:bookmarkEnd w:id="400"/>
      <w:bookmarkEnd w:id="401"/>
      <w:bookmarkEnd w:id="402"/>
      <w:bookmarkEnd w:id="403"/>
      <w:bookmarkEnd w:id="404"/>
      <w:bookmarkEnd w:id="405"/>
      <w:bookmarkEnd w:id="406"/>
      <w:bookmarkEnd w:id="407"/>
      <w:bookmarkEnd w:id="444"/>
      <w:bookmarkEnd w:id="445"/>
      <w:bookmarkEnd w:id="446"/>
    </w:p>
    <w:p w14:paraId="349DA9E0">
      <w:pPr>
        <w:spacing w:line="360" w:lineRule="auto"/>
        <w:ind w:firstLine="420" w:firstLineChars="200"/>
        <w:rPr>
          <w:rFonts w:hint="eastAsia" w:ascii="仿宋" w:hAnsi="仿宋" w:eastAsia="仿宋" w:cs="仿宋"/>
          <w:sz w:val="21"/>
          <w:szCs w:val="21"/>
          <w:highlight w:val="none"/>
        </w:rPr>
        <w:sectPr>
          <w:footerReference r:id="rId7" w:type="default"/>
          <w:pgSz w:w="11906" w:h="16838"/>
          <w:pgMar w:top="935" w:right="1616" w:bottom="936" w:left="1576" w:header="851" w:footer="992" w:gutter="0"/>
          <w:pgNumType w:start="1"/>
          <w:cols w:space="720" w:num="1"/>
          <w:docGrid w:linePitch="312" w:charSpace="0"/>
        </w:sectPr>
      </w:pPr>
      <w:r>
        <w:rPr>
          <w:rFonts w:hint="eastAsia" w:ascii="仿宋" w:hAnsi="仿宋" w:eastAsia="仿宋" w:cs="仿宋"/>
          <w:sz w:val="21"/>
          <w:szCs w:val="21"/>
          <w:highlight w:val="none"/>
        </w:rPr>
        <w:t>需要补充的其他内容：见比选申请人须知前附表。</w:t>
      </w:r>
    </w:p>
    <w:p w14:paraId="1F8AB877">
      <w:pPr>
        <w:autoSpaceDE w:val="0"/>
        <w:autoSpaceDN w:val="0"/>
        <w:snapToGrid w:val="0"/>
        <w:spacing w:line="360" w:lineRule="auto"/>
        <w:jc w:val="left"/>
        <w:rPr>
          <w:rFonts w:hint="eastAsia" w:ascii="仿宋" w:hAnsi="仿宋" w:eastAsia="仿宋" w:cs="仿宋"/>
          <w:b/>
          <w:snapToGrid w:val="0"/>
          <w:sz w:val="21"/>
          <w:szCs w:val="24"/>
          <w:highlight w:val="none"/>
        </w:rPr>
      </w:pPr>
      <w:r>
        <w:rPr>
          <w:rFonts w:hint="eastAsia" w:ascii="仿宋" w:hAnsi="仿宋" w:eastAsia="仿宋" w:cs="仿宋"/>
          <w:b/>
          <w:snapToGrid w:val="0"/>
          <w:sz w:val="21"/>
          <w:szCs w:val="24"/>
          <w:highlight w:val="none"/>
        </w:rPr>
        <w:t>附表一：开标记录表</w:t>
      </w:r>
    </w:p>
    <w:p w14:paraId="27D368A7">
      <w:pPr>
        <w:autoSpaceDE w:val="0"/>
        <w:autoSpaceDN w:val="0"/>
        <w:snapToGrid w:val="0"/>
        <w:spacing w:line="360" w:lineRule="auto"/>
        <w:jc w:val="left"/>
        <w:rPr>
          <w:rFonts w:hint="eastAsia" w:ascii="仿宋" w:hAnsi="仿宋" w:eastAsia="仿宋" w:cs="仿宋"/>
          <w:b/>
          <w:snapToGrid w:val="0"/>
          <w:sz w:val="21"/>
          <w:szCs w:val="24"/>
          <w:highlight w:val="none"/>
        </w:rPr>
      </w:pPr>
    </w:p>
    <w:p w14:paraId="746283B7">
      <w:pPr>
        <w:tabs>
          <w:tab w:val="left" w:pos="3529"/>
          <w:tab w:val="left" w:pos="5060"/>
        </w:tabs>
        <w:autoSpaceDE w:val="0"/>
        <w:autoSpaceDN w:val="0"/>
        <w:snapToGrid w:val="0"/>
        <w:spacing w:line="360" w:lineRule="auto"/>
        <w:ind w:firstLine="3324" w:firstLineChars="600"/>
        <w:jc w:val="left"/>
        <w:rPr>
          <w:rFonts w:hint="eastAsia" w:ascii="仿宋" w:hAnsi="仿宋" w:eastAsia="仿宋" w:cs="仿宋"/>
          <w:b/>
          <w:snapToGrid w:val="0"/>
          <w:sz w:val="28"/>
          <w:szCs w:val="28"/>
          <w:highlight w:val="none"/>
        </w:rPr>
      </w:pPr>
      <w:r>
        <w:rPr>
          <w:rFonts w:hint="eastAsia" w:ascii="仿宋" w:hAnsi="仿宋" w:eastAsia="仿宋" w:cs="仿宋"/>
          <w:snapToGrid w:val="0"/>
          <w:w w:val="198"/>
          <w:sz w:val="28"/>
          <w:szCs w:val="28"/>
          <w:highlight w:val="none"/>
          <w:u w:val="single"/>
        </w:rPr>
        <w:t xml:space="preserve">              </w:t>
      </w:r>
      <w:r>
        <w:rPr>
          <w:rFonts w:hint="eastAsia" w:ascii="仿宋" w:hAnsi="仿宋" w:eastAsia="仿宋" w:cs="仿宋"/>
          <w:snapToGrid w:val="0"/>
          <w:sz w:val="28"/>
          <w:szCs w:val="28"/>
          <w:highlight w:val="none"/>
          <w:u w:val="single"/>
        </w:rPr>
        <w:t xml:space="preserve"> </w:t>
      </w:r>
      <w:r>
        <w:rPr>
          <w:rFonts w:hint="eastAsia" w:ascii="仿宋" w:hAnsi="仿宋" w:eastAsia="仿宋" w:cs="仿宋"/>
          <w:b/>
          <w:snapToGrid w:val="0"/>
          <w:w w:val="99"/>
          <w:sz w:val="28"/>
          <w:szCs w:val="28"/>
          <w:highlight w:val="none"/>
          <w:u w:val="single"/>
        </w:rPr>
        <w:t>（项目名称）</w:t>
      </w:r>
      <w:r>
        <w:rPr>
          <w:rFonts w:hint="eastAsia" w:ascii="仿宋" w:hAnsi="仿宋" w:eastAsia="仿宋" w:cs="仿宋"/>
          <w:b/>
          <w:snapToGrid w:val="0"/>
          <w:w w:val="99"/>
          <w:sz w:val="28"/>
          <w:szCs w:val="28"/>
          <w:highlight w:val="none"/>
        </w:rPr>
        <w:t>开标记录表</w:t>
      </w:r>
    </w:p>
    <w:p w14:paraId="0263F467">
      <w:pPr>
        <w:tabs>
          <w:tab w:val="left" w:pos="2260"/>
          <w:tab w:val="left" w:pos="5060"/>
        </w:tabs>
        <w:autoSpaceDE w:val="0"/>
        <w:autoSpaceDN w:val="0"/>
        <w:snapToGrid w:val="0"/>
        <w:spacing w:line="360" w:lineRule="auto"/>
        <w:jc w:val="right"/>
        <w:rPr>
          <w:rFonts w:hint="eastAsia" w:ascii="仿宋" w:hAnsi="仿宋" w:eastAsia="仿宋" w:cs="仿宋"/>
          <w:snapToGrid w:val="0"/>
          <w:sz w:val="21"/>
          <w:szCs w:val="21"/>
          <w:highlight w:val="none"/>
        </w:rPr>
      </w:pPr>
      <w:r>
        <w:rPr>
          <w:rFonts w:hint="eastAsia" w:ascii="仿宋" w:hAnsi="仿宋" w:eastAsia="仿宋" w:cs="仿宋"/>
          <w:b/>
          <w:snapToGrid w:val="0"/>
          <w:sz w:val="28"/>
          <w:szCs w:val="28"/>
          <w:highlight w:val="none"/>
        </w:rPr>
        <w:t xml:space="preserve">                             </w:t>
      </w:r>
      <w:r>
        <w:rPr>
          <w:rFonts w:hint="eastAsia" w:ascii="仿宋" w:hAnsi="仿宋" w:eastAsia="仿宋" w:cs="仿宋"/>
          <w:snapToGrid w:val="0"/>
          <w:sz w:val="21"/>
          <w:szCs w:val="21"/>
          <w:highlight w:val="none"/>
        </w:rPr>
        <w:t>开标时间：</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sz w:val="21"/>
          <w:szCs w:val="21"/>
          <w:highlight w:val="none"/>
        </w:rPr>
        <w:t>年</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月</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日</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时</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分</w:t>
      </w:r>
    </w:p>
    <w:tbl>
      <w:tblPr>
        <w:tblStyle w:val="24"/>
        <w:tblW w:w="1248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3119"/>
        <w:gridCol w:w="993"/>
        <w:gridCol w:w="1285"/>
        <w:gridCol w:w="947"/>
        <w:gridCol w:w="1311"/>
      </w:tblGrid>
      <w:tr w14:paraId="3D016D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4FA3BCB4">
            <w:pPr>
              <w:autoSpaceDE w:val="0"/>
              <w:autoSpaceDN w:val="0"/>
              <w:snapToGrid w:val="0"/>
              <w:spacing w:line="240" w:lineRule="auto"/>
              <w:jc w:val="center"/>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序号</w:t>
            </w:r>
          </w:p>
        </w:tc>
        <w:tc>
          <w:tcPr>
            <w:tcW w:w="3260" w:type="dxa"/>
            <w:vAlign w:val="center"/>
          </w:tcPr>
          <w:p w14:paraId="578B2274">
            <w:pPr>
              <w:autoSpaceDE w:val="0"/>
              <w:autoSpaceDN w:val="0"/>
              <w:snapToGrid w:val="0"/>
              <w:spacing w:line="240" w:lineRule="auto"/>
              <w:jc w:val="center"/>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比选申请人</w:t>
            </w:r>
          </w:p>
        </w:tc>
        <w:tc>
          <w:tcPr>
            <w:tcW w:w="1134" w:type="dxa"/>
            <w:vAlign w:val="center"/>
          </w:tcPr>
          <w:p w14:paraId="0FB59D8D">
            <w:pPr>
              <w:autoSpaceDE w:val="0"/>
              <w:autoSpaceDN w:val="0"/>
              <w:snapToGrid w:val="0"/>
              <w:spacing w:line="240" w:lineRule="auto"/>
              <w:jc w:val="center"/>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密封情况</w:t>
            </w:r>
          </w:p>
        </w:tc>
        <w:tc>
          <w:tcPr>
            <w:tcW w:w="3119" w:type="dxa"/>
            <w:vAlign w:val="center"/>
          </w:tcPr>
          <w:p w14:paraId="4569E2CB">
            <w:pPr>
              <w:autoSpaceDE w:val="0"/>
              <w:autoSpaceDN w:val="0"/>
              <w:snapToGrid w:val="0"/>
              <w:spacing w:line="240" w:lineRule="auto"/>
              <w:jc w:val="center"/>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比选申请总报价</w:t>
            </w:r>
          </w:p>
        </w:tc>
        <w:tc>
          <w:tcPr>
            <w:tcW w:w="993" w:type="dxa"/>
            <w:vAlign w:val="center"/>
          </w:tcPr>
          <w:p w14:paraId="0A2E64E9">
            <w:pPr>
              <w:autoSpaceDE w:val="0"/>
              <w:autoSpaceDN w:val="0"/>
              <w:snapToGrid w:val="0"/>
              <w:spacing w:line="240" w:lineRule="auto"/>
              <w:jc w:val="center"/>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服务期</w:t>
            </w:r>
          </w:p>
        </w:tc>
        <w:tc>
          <w:tcPr>
            <w:tcW w:w="1285" w:type="dxa"/>
            <w:vAlign w:val="center"/>
          </w:tcPr>
          <w:p w14:paraId="30E1E5FC">
            <w:pPr>
              <w:autoSpaceDE w:val="0"/>
              <w:autoSpaceDN w:val="0"/>
              <w:snapToGrid w:val="0"/>
              <w:spacing w:line="240" w:lineRule="auto"/>
              <w:jc w:val="center"/>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项目负责人</w:t>
            </w:r>
          </w:p>
        </w:tc>
        <w:tc>
          <w:tcPr>
            <w:tcW w:w="947" w:type="dxa"/>
            <w:vAlign w:val="center"/>
          </w:tcPr>
          <w:p w14:paraId="6540B5E2">
            <w:pPr>
              <w:autoSpaceDE w:val="0"/>
              <w:autoSpaceDN w:val="0"/>
              <w:snapToGrid w:val="0"/>
              <w:spacing w:line="240" w:lineRule="auto"/>
              <w:jc w:val="center"/>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备注</w:t>
            </w:r>
          </w:p>
        </w:tc>
        <w:tc>
          <w:tcPr>
            <w:tcW w:w="1311" w:type="dxa"/>
            <w:vAlign w:val="center"/>
          </w:tcPr>
          <w:p w14:paraId="7E8E87EC">
            <w:pPr>
              <w:autoSpaceDE w:val="0"/>
              <w:autoSpaceDN w:val="0"/>
              <w:snapToGrid w:val="0"/>
              <w:spacing w:line="240" w:lineRule="auto"/>
              <w:jc w:val="center"/>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签名</w:t>
            </w:r>
          </w:p>
        </w:tc>
      </w:tr>
      <w:tr w14:paraId="6C3A3A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ACD2960">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260" w:type="dxa"/>
            <w:vAlign w:val="center"/>
          </w:tcPr>
          <w:p w14:paraId="2BB9489A">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134" w:type="dxa"/>
            <w:vAlign w:val="center"/>
          </w:tcPr>
          <w:p w14:paraId="7E23182E">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119" w:type="dxa"/>
            <w:vAlign w:val="center"/>
          </w:tcPr>
          <w:p w14:paraId="23638D8E">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93" w:type="dxa"/>
            <w:vAlign w:val="center"/>
          </w:tcPr>
          <w:p w14:paraId="3D3A4958">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285" w:type="dxa"/>
            <w:vAlign w:val="center"/>
          </w:tcPr>
          <w:p w14:paraId="001C76C3">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47" w:type="dxa"/>
            <w:vAlign w:val="center"/>
          </w:tcPr>
          <w:p w14:paraId="5F04B662">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311" w:type="dxa"/>
            <w:vAlign w:val="center"/>
          </w:tcPr>
          <w:p w14:paraId="52D5B980">
            <w:pPr>
              <w:autoSpaceDE w:val="0"/>
              <w:autoSpaceDN w:val="0"/>
              <w:snapToGrid w:val="0"/>
              <w:spacing w:line="240" w:lineRule="auto"/>
              <w:jc w:val="left"/>
              <w:rPr>
                <w:rFonts w:hint="eastAsia" w:ascii="仿宋" w:hAnsi="仿宋" w:eastAsia="仿宋" w:cs="仿宋"/>
                <w:snapToGrid w:val="0"/>
                <w:sz w:val="28"/>
                <w:szCs w:val="28"/>
                <w:highlight w:val="none"/>
              </w:rPr>
            </w:pPr>
          </w:p>
        </w:tc>
      </w:tr>
      <w:tr w14:paraId="5001E1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0F4086B">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260" w:type="dxa"/>
            <w:vAlign w:val="center"/>
          </w:tcPr>
          <w:p w14:paraId="7CF3B4D4">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134" w:type="dxa"/>
            <w:vAlign w:val="center"/>
          </w:tcPr>
          <w:p w14:paraId="2C6D1F8E">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119" w:type="dxa"/>
            <w:vAlign w:val="center"/>
          </w:tcPr>
          <w:p w14:paraId="71604BD9">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93" w:type="dxa"/>
            <w:vAlign w:val="center"/>
          </w:tcPr>
          <w:p w14:paraId="164AA5B1">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285" w:type="dxa"/>
            <w:vAlign w:val="center"/>
          </w:tcPr>
          <w:p w14:paraId="48C33378">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47" w:type="dxa"/>
            <w:vAlign w:val="center"/>
          </w:tcPr>
          <w:p w14:paraId="039A56F8">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311" w:type="dxa"/>
            <w:vAlign w:val="center"/>
          </w:tcPr>
          <w:p w14:paraId="53070970">
            <w:pPr>
              <w:autoSpaceDE w:val="0"/>
              <w:autoSpaceDN w:val="0"/>
              <w:snapToGrid w:val="0"/>
              <w:spacing w:line="240" w:lineRule="auto"/>
              <w:jc w:val="left"/>
              <w:rPr>
                <w:rFonts w:hint="eastAsia" w:ascii="仿宋" w:hAnsi="仿宋" w:eastAsia="仿宋" w:cs="仿宋"/>
                <w:snapToGrid w:val="0"/>
                <w:sz w:val="28"/>
                <w:szCs w:val="28"/>
                <w:highlight w:val="none"/>
              </w:rPr>
            </w:pPr>
          </w:p>
        </w:tc>
      </w:tr>
      <w:tr w14:paraId="1D0FA6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321E2F7">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260" w:type="dxa"/>
            <w:vAlign w:val="center"/>
          </w:tcPr>
          <w:p w14:paraId="760D0461">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134" w:type="dxa"/>
            <w:vAlign w:val="center"/>
          </w:tcPr>
          <w:p w14:paraId="6C6DF7BE">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119" w:type="dxa"/>
            <w:vAlign w:val="center"/>
          </w:tcPr>
          <w:p w14:paraId="51C633A0">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93" w:type="dxa"/>
            <w:vAlign w:val="center"/>
          </w:tcPr>
          <w:p w14:paraId="3BB767DA">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285" w:type="dxa"/>
            <w:vAlign w:val="center"/>
          </w:tcPr>
          <w:p w14:paraId="0617F12A">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47" w:type="dxa"/>
            <w:vAlign w:val="center"/>
          </w:tcPr>
          <w:p w14:paraId="5F8B7900">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311" w:type="dxa"/>
            <w:vAlign w:val="center"/>
          </w:tcPr>
          <w:p w14:paraId="04ADDD4E">
            <w:pPr>
              <w:autoSpaceDE w:val="0"/>
              <w:autoSpaceDN w:val="0"/>
              <w:snapToGrid w:val="0"/>
              <w:spacing w:line="240" w:lineRule="auto"/>
              <w:jc w:val="left"/>
              <w:rPr>
                <w:rFonts w:hint="eastAsia" w:ascii="仿宋" w:hAnsi="仿宋" w:eastAsia="仿宋" w:cs="仿宋"/>
                <w:snapToGrid w:val="0"/>
                <w:sz w:val="28"/>
                <w:szCs w:val="28"/>
                <w:highlight w:val="none"/>
              </w:rPr>
            </w:pPr>
          </w:p>
        </w:tc>
      </w:tr>
      <w:tr w14:paraId="4CB610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C7F8394">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260" w:type="dxa"/>
            <w:vAlign w:val="center"/>
          </w:tcPr>
          <w:p w14:paraId="42E7B4EF">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134" w:type="dxa"/>
            <w:vAlign w:val="center"/>
          </w:tcPr>
          <w:p w14:paraId="4E150B84">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119" w:type="dxa"/>
            <w:vAlign w:val="center"/>
          </w:tcPr>
          <w:p w14:paraId="1867A6DD">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93" w:type="dxa"/>
            <w:vAlign w:val="center"/>
          </w:tcPr>
          <w:p w14:paraId="5B7932F1">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285" w:type="dxa"/>
            <w:vAlign w:val="center"/>
          </w:tcPr>
          <w:p w14:paraId="53A42C67">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47" w:type="dxa"/>
            <w:vAlign w:val="center"/>
          </w:tcPr>
          <w:p w14:paraId="5C4857FD">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311" w:type="dxa"/>
            <w:vAlign w:val="center"/>
          </w:tcPr>
          <w:p w14:paraId="5E646651">
            <w:pPr>
              <w:autoSpaceDE w:val="0"/>
              <w:autoSpaceDN w:val="0"/>
              <w:snapToGrid w:val="0"/>
              <w:spacing w:line="240" w:lineRule="auto"/>
              <w:jc w:val="left"/>
              <w:rPr>
                <w:rFonts w:hint="eastAsia" w:ascii="仿宋" w:hAnsi="仿宋" w:eastAsia="仿宋" w:cs="仿宋"/>
                <w:snapToGrid w:val="0"/>
                <w:sz w:val="28"/>
                <w:szCs w:val="28"/>
                <w:highlight w:val="none"/>
              </w:rPr>
            </w:pPr>
          </w:p>
        </w:tc>
      </w:tr>
      <w:tr w14:paraId="167B88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F9E7894">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260" w:type="dxa"/>
            <w:vAlign w:val="center"/>
          </w:tcPr>
          <w:p w14:paraId="7D84B9D3">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134" w:type="dxa"/>
            <w:vAlign w:val="center"/>
          </w:tcPr>
          <w:p w14:paraId="67D9E1CA">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119" w:type="dxa"/>
            <w:vAlign w:val="center"/>
          </w:tcPr>
          <w:p w14:paraId="2CB7F241">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93" w:type="dxa"/>
            <w:vAlign w:val="center"/>
          </w:tcPr>
          <w:p w14:paraId="27D5625C">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285" w:type="dxa"/>
            <w:vAlign w:val="center"/>
          </w:tcPr>
          <w:p w14:paraId="402B267C">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47" w:type="dxa"/>
            <w:vAlign w:val="center"/>
          </w:tcPr>
          <w:p w14:paraId="52702C53">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311" w:type="dxa"/>
            <w:vAlign w:val="center"/>
          </w:tcPr>
          <w:p w14:paraId="34615EB8">
            <w:pPr>
              <w:autoSpaceDE w:val="0"/>
              <w:autoSpaceDN w:val="0"/>
              <w:snapToGrid w:val="0"/>
              <w:spacing w:line="240" w:lineRule="auto"/>
              <w:jc w:val="left"/>
              <w:rPr>
                <w:rFonts w:hint="eastAsia" w:ascii="仿宋" w:hAnsi="仿宋" w:eastAsia="仿宋" w:cs="仿宋"/>
                <w:snapToGrid w:val="0"/>
                <w:sz w:val="28"/>
                <w:szCs w:val="28"/>
                <w:highlight w:val="none"/>
              </w:rPr>
            </w:pPr>
          </w:p>
        </w:tc>
      </w:tr>
      <w:tr w14:paraId="56F9D6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C27873A">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260" w:type="dxa"/>
            <w:vAlign w:val="center"/>
          </w:tcPr>
          <w:p w14:paraId="337B6C7A">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134" w:type="dxa"/>
            <w:vAlign w:val="center"/>
          </w:tcPr>
          <w:p w14:paraId="20FD44D6">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119" w:type="dxa"/>
            <w:vAlign w:val="center"/>
          </w:tcPr>
          <w:p w14:paraId="2F468848">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93" w:type="dxa"/>
            <w:vAlign w:val="center"/>
          </w:tcPr>
          <w:p w14:paraId="3FE6F105">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285" w:type="dxa"/>
            <w:vAlign w:val="center"/>
          </w:tcPr>
          <w:p w14:paraId="19B935DE">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47" w:type="dxa"/>
            <w:vAlign w:val="center"/>
          </w:tcPr>
          <w:p w14:paraId="71545272">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311" w:type="dxa"/>
            <w:vAlign w:val="center"/>
          </w:tcPr>
          <w:p w14:paraId="4AEBE696">
            <w:pPr>
              <w:autoSpaceDE w:val="0"/>
              <w:autoSpaceDN w:val="0"/>
              <w:snapToGrid w:val="0"/>
              <w:spacing w:line="240" w:lineRule="auto"/>
              <w:jc w:val="left"/>
              <w:rPr>
                <w:rFonts w:hint="eastAsia" w:ascii="仿宋" w:hAnsi="仿宋" w:eastAsia="仿宋" w:cs="仿宋"/>
                <w:snapToGrid w:val="0"/>
                <w:sz w:val="28"/>
                <w:szCs w:val="28"/>
                <w:highlight w:val="none"/>
              </w:rPr>
            </w:pPr>
          </w:p>
        </w:tc>
      </w:tr>
      <w:tr w14:paraId="6062BC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9953DC3">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260" w:type="dxa"/>
            <w:vAlign w:val="center"/>
          </w:tcPr>
          <w:p w14:paraId="7D6F2C8A">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134" w:type="dxa"/>
            <w:vAlign w:val="center"/>
          </w:tcPr>
          <w:p w14:paraId="2D0CAE02">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3119" w:type="dxa"/>
            <w:vAlign w:val="center"/>
          </w:tcPr>
          <w:p w14:paraId="5A7C5093">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93" w:type="dxa"/>
            <w:vAlign w:val="center"/>
          </w:tcPr>
          <w:p w14:paraId="6E2C0D0A">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285" w:type="dxa"/>
            <w:vAlign w:val="center"/>
          </w:tcPr>
          <w:p w14:paraId="2AFD1938">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947" w:type="dxa"/>
            <w:vAlign w:val="center"/>
          </w:tcPr>
          <w:p w14:paraId="4ABD3210">
            <w:pPr>
              <w:autoSpaceDE w:val="0"/>
              <w:autoSpaceDN w:val="0"/>
              <w:snapToGrid w:val="0"/>
              <w:spacing w:line="240" w:lineRule="auto"/>
              <w:jc w:val="left"/>
              <w:rPr>
                <w:rFonts w:hint="eastAsia" w:ascii="仿宋" w:hAnsi="仿宋" w:eastAsia="仿宋" w:cs="仿宋"/>
                <w:snapToGrid w:val="0"/>
                <w:sz w:val="28"/>
                <w:szCs w:val="28"/>
                <w:highlight w:val="none"/>
              </w:rPr>
            </w:pPr>
          </w:p>
        </w:tc>
        <w:tc>
          <w:tcPr>
            <w:tcW w:w="1311" w:type="dxa"/>
            <w:vAlign w:val="center"/>
          </w:tcPr>
          <w:p w14:paraId="57367CE8">
            <w:pPr>
              <w:autoSpaceDE w:val="0"/>
              <w:autoSpaceDN w:val="0"/>
              <w:snapToGrid w:val="0"/>
              <w:spacing w:line="240" w:lineRule="auto"/>
              <w:jc w:val="left"/>
              <w:rPr>
                <w:rFonts w:hint="eastAsia" w:ascii="仿宋" w:hAnsi="仿宋" w:eastAsia="仿宋" w:cs="仿宋"/>
                <w:snapToGrid w:val="0"/>
                <w:sz w:val="28"/>
                <w:szCs w:val="28"/>
                <w:highlight w:val="none"/>
              </w:rPr>
            </w:pPr>
          </w:p>
        </w:tc>
      </w:tr>
      <w:tr w14:paraId="450947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6"/>
          <w:wAfter w:w="8789" w:type="dxa"/>
          <w:trHeight w:val="598" w:hRule="exact"/>
          <w:jc w:val="center"/>
        </w:trPr>
        <w:tc>
          <w:tcPr>
            <w:tcW w:w="3693" w:type="dxa"/>
            <w:gridSpan w:val="2"/>
            <w:tcBorders>
              <w:bottom w:val="single" w:color="auto" w:sz="4" w:space="0"/>
            </w:tcBorders>
            <w:vAlign w:val="center"/>
          </w:tcPr>
          <w:p w14:paraId="46D719E5">
            <w:pPr>
              <w:autoSpaceDE w:val="0"/>
              <w:autoSpaceDN w:val="0"/>
              <w:snapToGrid w:val="0"/>
              <w:spacing w:line="240" w:lineRule="auto"/>
              <w:jc w:val="center"/>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最高限价</w:t>
            </w:r>
          </w:p>
        </w:tc>
      </w:tr>
    </w:tbl>
    <w:p w14:paraId="101AF6DF">
      <w:pPr>
        <w:tabs>
          <w:tab w:val="left" w:pos="2740"/>
          <w:tab w:val="left" w:pos="4940"/>
          <w:tab w:val="left" w:pos="7140"/>
        </w:tabs>
        <w:autoSpaceDE w:val="0"/>
        <w:autoSpaceDN w:val="0"/>
        <w:snapToGrid w:val="0"/>
        <w:spacing w:line="360" w:lineRule="auto"/>
        <w:jc w:val="left"/>
        <w:rPr>
          <w:rFonts w:hint="eastAsia" w:ascii="仿宋" w:hAnsi="仿宋" w:eastAsia="仿宋" w:cs="仿宋"/>
          <w:snapToGrid w:val="0"/>
          <w:sz w:val="21"/>
          <w:szCs w:val="21"/>
          <w:highlight w:val="none"/>
        </w:rPr>
      </w:pPr>
    </w:p>
    <w:p w14:paraId="757D9390">
      <w:pPr>
        <w:tabs>
          <w:tab w:val="left" w:pos="2740"/>
          <w:tab w:val="left" w:pos="4940"/>
          <w:tab w:val="left" w:pos="6930"/>
        </w:tabs>
        <w:autoSpaceDE w:val="0"/>
        <w:autoSpaceDN w:val="0"/>
        <w:snapToGrid w:val="0"/>
        <w:spacing w:line="360" w:lineRule="auto"/>
        <w:ind w:firstLine="420"/>
        <w:jc w:val="left"/>
        <w:rPr>
          <w:rFonts w:hint="eastAsia" w:ascii="仿宋" w:hAnsi="仿宋" w:eastAsia="仿宋" w:cs="仿宋"/>
          <w:snapToGrid w:val="0"/>
          <w:w w:val="200"/>
          <w:sz w:val="21"/>
          <w:szCs w:val="21"/>
          <w:highlight w:val="none"/>
          <w:u w:val="single"/>
        </w:rPr>
      </w:pPr>
      <w:r>
        <w:rPr>
          <w:rFonts w:hint="eastAsia" w:ascii="仿宋" w:hAnsi="仿宋" w:eastAsia="仿宋" w:cs="仿宋"/>
          <w:snapToGrid w:val="0"/>
          <w:sz w:val="21"/>
          <w:szCs w:val="21"/>
          <w:highlight w:val="none"/>
        </w:rPr>
        <w:t>比选人代表：</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w w:val="200"/>
          <w:sz w:val="21"/>
          <w:szCs w:val="21"/>
          <w:highlight w:val="none"/>
        </w:rPr>
        <w:t xml:space="preserve">      </w:t>
      </w:r>
      <w:r>
        <w:rPr>
          <w:rFonts w:hint="eastAsia" w:ascii="仿宋" w:hAnsi="仿宋" w:eastAsia="仿宋" w:cs="仿宋"/>
          <w:snapToGrid w:val="0"/>
          <w:sz w:val="21"/>
          <w:szCs w:val="21"/>
          <w:highlight w:val="none"/>
        </w:rPr>
        <w:t>监标人：</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w w:val="200"/>
          <w:sz w:val="21"/>
          <w:szCs w:val="21"/>
          <w:highlight w:val="none"/>
        </w:rPr>
        <w:t xml:space="preserve">      </w:t>
      </w:r>
      <w:r>
        <w:rPr>
          <w:rFonts w:hint="eastAsia" w:ascii="仿宋" w:hAnsi="仿宋" w:eastAsia="仿宋" w:cs="仿宋"/>
          <w:snapToGrid w:val="0"/>
          <w:sz w:val="21"/>
          <w:szCs w:val="21"/>
          <w:highlight w:val="none"/>
        </w:rPr>
        <w:t>主持人：</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w w:val="200"/>
          <w:sz w:val="21"/>
          <w:szCs w:val="21"/>
          <w:highlight w:val="none"/>
        </w:rPr>
        <w:t xml:space="preserve">      </w:t>
      </w:r>
      <w:r>
        <w:rPr>
          <w:rFonts w:hint="eastAsia" w:ascii="仿宋" w:hAnsi="仿宋" w:eastAsia="仿宋" w:cs="仿宋"/>
          <w:snapToGrid w:val="0"/>
          <w:sz w:val="21"/>
          <w:szCs w:val="21"/>
          <w:highlight w:val="none"/>
        </w:rPr>
        <w:t>记录人：</w:t>
      </w:r>
      <w:r>
        <w:rPr>
          <w:rFonts w:hint="eastAsia" w:ascii="仿宋" w:hAnsi="仿宋" w:eastAsia="仿宋" w:cs="仿宋"/>
          <w:snapToGrid w:val="0"/>
          <w:w w:val="200"/>
          <w:sz w:val="21"/>
          <w:szCs w:val="21"/>
          <w:highlight w:val="none"/>
          <w:u w:val="single"/>
        </w:rPr>
        <w:t xml:space="preserve">      </w:t>
      </w:r>
    </w:p>
    <w:p w14:paraId="6D92F13F">
      <w:pPr>
        <w:autoSpaceDE w:val="0"/>
        <w:autoSpaceDN w:val="0"/>
        <w:snapToGrid w:val="0"/>
        <w:spacing w:before="48" w:beforeLines="20" w:line="360" w:lineRule="auto"/>
        <w:jc w:val="right"/>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                                       </w:t>
      </w:r>
      <w:r>
        <w:rPr>
          <w:rFonts w:hint="eastAsia" w:ascii="仿宋" w:hAnsi="仿宋" w:eastAsia="仿宋" w:cs="仿宋"/>
          <w:snapToGrid w:val="0"/>
          <w:sz w:val="24"/>
          <w:szCs w:val="24"/>
          <w:highlight w:val="none"/>
          <w:u w:val="single"/>
        </w:rPr>
        <w:t xml:space="preserve">       </w:t>
      </w:r>
      <w:r>
        <w:rPr>
          <w:rFonts w:hint="eastAsia" w:ascii="仿宋" w:hAnsi="仿宋" w:eastAsia="仿宋" w:cs="仿宋"/>
          <w:snapToGrid w:val="0"/>
          <w:sz w:val="24"/>
          <w:szCs w:val="24"/>
          <w:highlight w:val="none"/>
        </w:rPr>
        <w:t>年</w:t>
      </w:r>
      <w:r>
        <w:rPr>
          <w:rFonts w:hint="eastAsia" w:ascii="仿宋" w:hAnsi="仿宋" w:eastAsia="仿宋" w:cs="仿宋"/>
          <w:snapToGrid w:val="0"/>
          <w:sz w:val="24"/>
          <w:szCs w:val="24"/>
          <w:highlight w:val="none"/>
          <w:u w:val="single"/>
        </w:rPr>
        <w:t xml:space="preserve">     </w:t>
      </w:r>
      <w:r>
        <w:rPr>
          <w:rFonts w:hint="eastAsia" w:ascii="仿宋" w:hAnsi="仿宋" w:eastAsia="仿宋" w:cs="仿宋"/>
          <w:snapToGrid w:val="0"/>
          <w:sz w:val="24"/>
          <w:szCs w:val="24"/>
          <w:highlight w:val="none"/>
        </w:rPr>
        <w:t>月</w:t>
      </w:r>
      <w:r>
        <w:rPr>
          <w:rFonts w:hint="eastAsia" w:ascii="仿宋" w:hAnsi="仿宋" w:eastAsia="仿宋" w:cs="仿宋"/>
          <w:snapToGrid w:val="0"/>
          <w:sz w:val="24"/>
          <w:szCs w:val="24"/>
          <w:highlight w:val="none"/>
          <w:u w:val="single"/>
        </w:rPr>
        <w:t xml:space="preserve">    </w:t>
      </w:r>
      <w:r>
        <w:rPr>
          <w:rFonts w:hint="eastAsia" w:ascii="仿宋" w:hAnsi="仿宋" w:eastAsia="仿宋" w:cs="仿宋"/>
          <w:snapToGrid w:val="0"/>
          <w:sz w:val="24"/>
          <w:szCs w:val="24"/>
          <w:highlight w:val="none"/>
        </w:rPr>
        <w:t>日</w:t>
      </w:r>
    </w:p>
    <w:p w14:paraId="393DFA7E">
      <w:pPr>
        <w:autoSpaceDE w:val="0"/>
        <w:autoSpaceDN w:val="0"/>
        <w:snapToGrid w:val="0"/>
        <w:spacing w:before="48" w:beforeLines="20" w:line="360" w:lineRule="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br w:type="page"/>
      </w:r>
      <w:r>
        <w:rPr>
          <w:rFonts w:hint="eastAsia" w:ascii="仿宋" w:hAnsi="仿宋" w:eastAsia="仿宋" w:cs="仿宋"/>
          <w:b/>
          <w:snapToGrid w:val="0"/>
          <w:sz w:val="21"/>
          <w:szCs w:val="24"/>
          <w:highlight w:val="none"/>
        </w:rPr>
        <w:t>附表二：纸质投标保函递交情况一览表（如有）</w:t>
      </w:r>
    </w:p>
    <w:p w14:paraId="19BF9050">
      <w:pPr>
        <w:autoSpaceDE w:val="0"/>
        <w:autoSpaceDN w:val="0"/>
        <w:snapToGrid w:val="0"/>
        <w:spacing w:before="48" w:beforeLines="20" w:line="360" w:lineRule="auto"/>
        <w:jc w:val="center"/>
        <w:rPr>
          <w:rFonts w:hint="eastAsia" w:ascii="仿宋" w:hAnsi="仿宋" w:eastAsia="仿宋" w:cs="仿宋"/>
          <w:kern w:val="2"/>
          <w:sz w:val="21"/>
          <w:szCs w:val="21"/>
          <w:highlight w:val="none"/>
        </w:rPr>
      </w:pPr>
      <w:r>
        <w:rPr>
          <w:rFonts w:hint="eastAsia" w:ascii="仿宋" w:hAnsi="仿宋" w:eastAsia="仿宋" w:cs="仿宋"/>
          <w:snapToGrid w:val="0"/>
          <w:w w:val="198"/>
          <w:sz w:val="28"/>
          <w:szCs w:val="28"/>
          <w:highlight w:val="none"/>
          <w:u w:val="single"/>
        </w:rPr>
        <w:t xml:space="preserve">              </w:t>
      </w:r>
      <w:r>
        <w:rPr>
          <w:rFonts w:hint="eastAsia" w:ascii="仿宋" w:hAnsi="仿宋" w:eastAsia="仿宋" w:cs="仿宋"/>
          <w:snapToGrid w:val="0"/>
          <w:sz w:val="28"/>
          <w:szCs w:val="28"/>
          <w:highlight w:val="none"/>
          <w:u w:val="single"/>
        </w:rPr>
        <w:t xml:space="preserve"> </w:t>
      </w:r>
      <w:r>
        <w:rPr>
          <w:rFonts w:hint="eastAsia" w:ascii="仿宋" w:hAnsi="仿宋" w:eastAsia="仿宋" w:cs="仿宋"/>
          <w:b/>
          <w:snapToGrid w:val="0"/>
          <w:w w:val="99"/>
          <w:sz w:val="28"/>
          <w:szCs w:val="28"/>
          <w:highlight w:val="none"/>
          <w:u w:val="single"/>
        </w:rPr>
        <w:t>（项目名称）纸质投标保函递交情况一览表</w:t>
      </w:r>
    </w:p>
    <w:p w14:paraId="65100D0D">
      <w:pPr>
        <w:autoSpaceDE w:val="0"/>
        <w:autoSpaceDN w:val="0"/>
        <w:snapToGrid w:val="0"/>
        <w:spacing w:before="48" w:beforeLines="20" w:line="360" w:lineRule="auto"/>
        <w:ind w:firstLine="8610" w:firstLineChars="4100"/>
        <w:rPr>
          <w:rFonts w:hint="eastAsia" w:ascii="仿宋" w:hAnsi="仿宋" w:eastAsia="仿宋" w:cs="仿宋"/>
          <w:kern w:val="2"/>
          <w:sz w:val="21"/>
          <w:szCs w:val="21"/>
          <w:highlight w:val="none"/>
        </w:rPr>
      </w:pPr>
      <w:r>
        <w:rPr>
          <w:rFonts w:hint="eastAsia" w:ascii="仿宋" w:hAnsi="仿宋" w:eastAsia="仿宋" w:cs="仿宋"/>
          <w:snapToGrid w:val="0"/>
          <w:sz w:val="21"/>
          <w:szCs w:val="21"/>
          <w:highlight w:val="none"/>
        </w:rPr>
        <w:t>比选申请截止时间：</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sz w:val="21"/>
          <w:szCs w:val="21"/>
          <w:highlight w:val="none"/>
        </w:rPr>
        <w:t>年</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月</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日</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时</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分</w:t>
      </w:r>
    </w:p>
    <w:tbl>
      <w:tblPr>
        <w:tblStyle w:val="24"/>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150E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3D18A35">
            <w:pPr>
              <w:autoSpaceDE w:val="0"/>
              <w:autoSpaceDN w:val="0"/>
              <w:snapToGrid w:val="0"/>
              <w:spacing w:before="48" w:beforeLines="20" w:line="360" w:lineRule="auto"/>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序号</w:t>
            </w:r>
          </w:p>
        </w:tc>
        <w:tc>
          <w:tcPr>
            <w:tcW w:w="4160" w:type="dxa"/>
          </w:tcPr>
          <w:p w14:paraId="08AFEEF8">
            <w:pPr>
              <w:autoSpaceDE w:val="0"/>
              <w:autoSpaceDN w:val="0"/>
              <w:snapToGrid w:val="0"/>
              <w:spacing w:before="48" w:beforeLines="20" w:line="360" w:lineRule="auto"/>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比选申请人</w:t>
            </w:r>
          </w:p>
        </w:tc>
        <w:tc>
          <w:tcPr>
            <w:tcW w:w="3088" w:type="dxa"/>
          </w:tcPr>
          <w:p w14:paraId="606F6028">
            <w:pPr>
              <w:autoSpaceDE w:val="0"/>
              <w:autoSpaceDN w:val="0"/>
              <w:snapToGrid w:val="0"/>
              <w:spacing w:before="48" w:beforeLines="20" w:line="360" w:lineRule="auto"/>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金额（元）</w:t>
            </w:r>
          </w:p>
        </w:tc>
        <w:tc>
          <w:tcPr>
            <w:tcW w:w="2987" w:type="dxa"/>
          </w:tcPr>
          <w:p w14:paraId="2BC8C3FC">
            <w:pPr>
              <w:autoSpaceDE w:val="0"/>
              <w:autoSpaceDN w:val="0"/>
              <w:snapToGrid w:val="0"/>
              <w:spacing w:before="48" w:beforeLines="20" w:line="360" w:lineRule="auto"/>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递交时间</w:t>
            </w:r>
          </w:p>
        </w:tc>
        <w:tc>
          <w:tcPr>
            <w:tcW w:w="3175" w:type="dxa"/>
          </w:tcPr>
          <w:p w14:paraId="50137223">
            <w:pPr>
              <w:autoSpaceDE w:val="0"/>
              <w:autoSpaceDN w:val="0"/>
              <w:snapToGrid w:val="0"/>
              <w:spacing w:before="48" w:beforeLines="20" w:line="360" w:lineRule="auto"/>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备注</w:t>
            </w:r>
          </w:p>
        </w:tc>
      </w:tr>
      <w:tr w14:paraId="2D1D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AA49CE2">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4160" w:type="dxa"/>
          </w:tcPr>
          <w:p w14:paraId="48237373">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088" w:type="dxa"/>
          </w:tcPr>
          <w:p w14:paraId="1310EB75">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2987" w:type="dxa"/>
          </w:tcPr>
          <w:p w14:paraId="0B259178">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175" w:type="dxa"/>
          </w:tcPr>
          <w:p w14:paraId="3B4A5148">
            <w:pPr>
              <w:autoSpaceDE w:val="0"/>
              <w:autoSpaceDN w:val="0"/>
              <w:snapToGrid w:val="0"/>
              <w:spacing w:before="48" w:beforeLines="20" w:line="360" w:lineRule="auto"/>
              <w:rPr>
                <w:rFonts w:hint="eastAsia" w:ascii="仿宋" w:hAnsi="仿宋" w:eastAsia="仿宋" w:cs="仿宋"/>
                <w:kern w:val="2"/>
                <w:sz w:val="21"/>
                <w:szCs w:val="21"/>
                <w:highlight w:val="none"/>
              </w:rPr>
            </w:pPr>
          </w:p>
        </w:tc>
      </w:tr>
      <w:tr w14:paraId="49EB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D0290C0">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4160" w:type="dxa"/>
          </w:tcPr>
          <w:p w14:paraId="7677FAC0">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088" w:type="dxa"/>
          </w:tcPr>
          <w:p w14:paraId="73DB9241">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2987" w:type="dxa"/>
          </w:tcPr>
          <w:p w14:paraId="4986C737">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175" w:type="dxa"/>
          </w:tcPr>
          <w:p w14:paraId="52956FB5">
            <w:pPr>
              <w:autoSpaceDE w:val="0"/>
              <w:autoSpaceDN w:val="0"/>
              <w:snapToGrid w:val="0"/>
              <w:spacing w:before="48" w:beforeLines="20" w:line="360" w:lineRule="auto"/>
              <w:rPr>
                <w:rFonts w:hint="eastAsia" w:ascii="仿宋" w:hAnsi="仿宋" w:eastAsia="仿宋" w:cs="仿宋"/>
                <w:kern w:val="2"/>
                <w:sz w:val="21"/>
                <w:szCs w:val="21"/>
                <w:highlight w:val="none"/>
              </w:rPr>
            </w:pPr>
          </w:p>
        </w:tc>
      </w:tr>
      <w:tr w14:paraId="3338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31152F3">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4160" w:type="dxa"/>
          </w:tcPr>
          <w:p w14:paraId="2AA81C94">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088" w:type="dxa"/>
          </w:tcPr>
          <w:p w14:paraId="0E5D2D9D">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2987" w:type="dxa"/>
          </w:tcPr>
          <w:p w14:paraId="27AB9D54">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175" w:type="dxa"/>
          </w:tcPr>
          <w:p w14:paraId="7DBF6951">
            <w:pPr>
              <w:autoSpaceDE w:val="0"/>
              <w:autoSpaceDN w:val="0"/>
              <w:snapToGrid w:val="0"/>
              <w:spacing w:before="48" w:beforeLines="20" w:line="360" w:lineRule="auto"/>
              <w:rPr>
                <w:rFonts w:hint="eastAsia" w:ascii="仿宋" w:hAnsi="仿宋" w:eastAsia="仿宋" w:cs="仿宋"/>
                <w:kern w:val="2"/>
                <w:sz w:val="21"/>
                <w:szCs w:val="21"/>
                <w:highlight w:val="none"/>
              </w:rPr>
            </w:pPr>
          </w:p>
        </w:tc>
      </w:tr>
      <w:tr w14:paraId="427D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0CB7FB9">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4160" w:type="dxa"/>
          </w:tcPr>
          <w:p w14:paraId="69EFA6FC">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088" w:type="dxa"/>
          </w:tcPr>
          <w:p w14:paraId="29E5F607">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2987" w:type="dxa"/>
          </w:tcPr>
          <w:p w14:paraId="761C3445">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175" w:type="dxa"/>
          </w:tcPr>
          <w:p w14:paraId="330E3114">
            <w:pPr>
              <w:autoSpaceDE w:val="0"/>
              <w:autoSpaceDN w:val="0"/>
              <w:snapToGrid w:val="0"/>
              <w:spacing w:before="48" w:beforeLines="20" w:line="360" w:lineRule="auto"/>
              <w:rPr>
                <w:rFonts w:hint="eastAsia" w:ascii="仿宋" w:hAnsi="仿宋" w:eastAsia="仿宋" w:cs="仿宋"/>
                <w:kern w:val="2"/>
                <w:sz w:val="21"/>
                <w:szCs w:val="21"/>
                <w:highlight w:val="none"/>
              </w:rPr>
            </w:pPr>
          </w:p>
        </w:tc>
      </w:tr>
      <w:tr w14:paraId="38A6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9D8A5CA">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4160" w:type="dxa"/>
          </w:tcPr>
          <w:p w14:paraId="375D1A43">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088" w:type="dxa"/>
          </w:tcPr>
          <w:p w14:paraId="09C55B0E">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2987" w:type="dxa"/>
          </w:tcPr>
          <w:p w14:paraId="7342CBF9">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175" w:type="dxa"/>
          </w:tcPr>
          <w:p w14:paraId="64980FE2">
            <w:pPr>
              <w:autoSpaceDE w:val="0"/>
              <w:autoSpaceDN w:val="0"/>
              <w:snapToGrid w:val="0"/>
              <w:spacing w:before="48" w:beforeLines="20" w:line="360" w:lineRule="auto"/>
              <w:rPr>
                <w:rFonts w:hint="eastAsia" w:ascii="仿宋" w:hAnsi="仿宋" w:eastAsia="仿宋" w:cs="仿宋"/>
                <w:kern w:val="2"/>
                <w:sz w:val="21"/>
                <w:szCs w:val="21"/>
                <w:highlight w:val="none"/>
              </w:rPr>
            </w:pPr>
          </w:p>
        </w:tc>
      </w:tr>
      <w:tr w14:paraId="4417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BB89AFA">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4160" w:type="dxa"/>
          </w:tcPr>
          <w:p w14:paraId="541E564A">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088" w:type="dxa"/>
          </w:tcPr>
          <w:p w14:paraId="2AE13D2F">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2987" w:type="dxa"/>
          </w:tcPr>
          <w:p w14:paraId="1DF507EC">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175" w:type="dxa"/>
          </w:tcPr>
          <w:p w14:paraId="5C3DA606">
            <w:pPr>
              <w:autoSpaceDE w:val="0"/>
              <w:autoSpaceDN w:val="0"/>
              <w:snapToGrid w:val="0"/>
              <w:spacing w:before="48" w:beforeLines="20" w:line="360" w:lineRule="auto"/>
              <w:rPr>
                <w:rFonts w:hint="eastAsia" w:ascii="仿宋" w:hAnsi="仿宋" w:eastAsia="仿宋" w:cs="仿宋"/>
                <w:kern w:val="2"/>
                <w:sz w:val="21"/>
                <w:szCs w:val="21"/>
                <w:highlight w:val="none"/>
              </w:rPr>
            </w:pPr>
          </w:p>
        </w:tc>
      </w:tr>
      <w:tr w14:paraId="1838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6DA40F3">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4160" w:type="dxa"/>
          </w:tcPr>
          <w:p w14:paraId="3DFA8338">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088" w:type="dxa"/>
          </w:tcPr>
          <w:p w14:paraId="4E88C61F">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2987" w:type="dxa"/>
          </w:tcPr>
          <w:p w14:paraId="702577BD">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175" w:type="dxa"/>
          </w:tcPr>
          <w:p w14:paraId="686F7DC0">
            <w:pPr>
              <w:autoSpaceDE w:val="0"/>
              <w:autoSpaceDN w:val="0"/>
              <w:snapToGrid w:val="0"/>
              <w:spacing w:before="48" w:beforeLines="20" w:line="360" w:lineRule="auto"/>
              <w:rPr>
                <w:rFonts w:hint="eastAsia" w:ascii="仿宋" w:hAnsi="仿宋" w:eastAsia="仿宋" w:cs="仿宋"/>
                <w:kern w:val="2"/>
                <w:sz w:val="21"/>
                <w:szCs w:val="21"/>
                <w:highlight w:val="none"/>
              </w:rPr>
            </w:pPr>
          </w:p>
        </w:tc>
      </w:tr>
      <w:tr w14:paraId="2133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CE729E7">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4160" w:type="dxa"/>
          </w:tcPr>
          <w:p w14:paraId="0B3F4D53">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088" w:type="dxa"/>
          </w:tcPr>
          <w:p w14:paraId="16862ACB">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2987" w:type="dxa"/>
          </w:tcPr>
          <w:p w14:paraId="342465B8">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175" w:type="dxa"/>
          </w:tcPr>
          <w:p w14:paraId="735F119E">
            <w:pPr>
              <w:autoSpaceDE w:val="0"/>
              <w:autoSpaceDN w:val="0"/>
              <w:snapToGrid w:val="0"/>
              <w:spacing w:before="48" w:beforeLines="20" w:line="360" w:lineRule="auto"/>
              <w:rPr>
                <w:rFonts w:hint="eastAsia" w:ascii="仿宋" w:hAnsi="仿宋" w:eastAsia="仿宋" w:cs="仿宋"/>
                <w:kern w:val="2"/>
                <w:sz w:val="21"/>
                <w:szCs w:val="21"/>
                <w:highlight w:val="none"/>
              </w:rPr>
            </w:pPr>
          </w:p>
        </w:tc>
      </w:tr>
      <w:tr w14:paraId="0B37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AB575F4">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4160" w:type="dxa"/>
          </w:tcPr>
          <w:p w14:paraId="7E7AF73D">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088" w:type="dxa"/>
          </w:tcPr>
          <w:p w14:paraId="4E6BEB0D">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2987" w:type="dxa"/>
          </w:tcPr>
          <w:p w14:paraId="1D25305C">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175" w:type="dxa"/>
          </w:tcPr>
          <w:p w14:paraId="36BCFCB5">
            <w:pPr>
              <w:autoSpaceDE w:val="0"/>
              <w:autoSpaceDN w:val="0"/>
              <w:snapToGrid w:val="0"/>
              <w:spacing w:before="48" w:beforeLines="20" w:line="360" w:lineRule="auto"/>
              <w:rPr>
                <w:rFonts w:hint="eastAsia" w:ascii="仿宋" w:hAnsi="仿宋" w:eastAsia="仿宋" w:cs="仿宋"/>
                <w:kern w:val="2"/>
                <w:sz w:val="21"/>
                <w:szCs w:val="21"/>
                <w:highlight w:val="none"/>
              </w:rPr>
            </w:pPr>
          </w:p>
        </w:tc>
      </w:tr>
      <w:tr w14:paraId="4EC2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CB3A263">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4160" w:type="dxa"/>
          </w:tcPr>
          <w:p w14:paraId="4269A6E0">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088" w:type="dxa"/>
          </w:tcPr>
          <w:p w14:paraId="6A33C367">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2987" w:type="dxa"/>
          </w:tcPr>
          <w:p w14:paraId="5EDC3310">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175" w:type="dxa"/>
          </w:tcPr>
          <w:p w14:paraId="409FD530">
            <w:pPr>
              <w:autoSpaceDE w:val="0"/>
              <w:autoSpaceDN w:val="0"/>
              <w:snapToGrid w:val="0"/>
              <w:spacing w:before="48" w:beforeLines="20" w:line="360" w:lineRule="auto"/>
              <w:rPr>
                <w:rFonts w:hint="eastAsia" w:ascii="仿宋" w:hAnsi="仿宋" w:eastAsia="仿宋" w:cs="仿宋"/>
                <w:kern w:val="2"/>
                <w:sz w:val="21"/>
                <w:szCs w:val="21"/>
                <w:highlight w:val="none"/>
              </w:rPr>
            </w:pPr>
          </w:p>
        </w:tc>
      </w:tr>
      <w:tr w14:paraId="5800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3E60FC9">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4160" w:type="dxa"/>
          </w:tcPr>
          <w:p w14:paraId="7BF85C32">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088" w:type="dxa"/>
          </w:tcPr>
          <w:p w14:paraId="01F5E3A0">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2987" w:type="dxa"/>
          </w:tcPr>
          <w:p w14:paraId="512A3589">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175" w:type="dxa"/>
          </w:tcPr>
          <w:p w14:paraId="5B549C64">
            <w:pPr>
              <w:autoSpaceDE w:val="0"/>
              <w:autoSpaceDN w:val="0"/>
              <w:snapToGrid w:val="0"/>
              <w:spacing w:before="48" w:beforeLines="20" w:line="360" w:lineRule="auto"/>
              <w:rPr>
                <w:rFonts w:hint="eastAsia" w:ascii="仿宋" w:hAnsi="仿宋" w:eastAsia="仿宋" w:cs="仿宋"/>
                <w:kern w:val="2"/>
                <w:sz w:val="21"/>
                <w:szCs w:val="21"/>
                <w:highlight w:val="none"/>
              </w:rPr>
            </w:pPr>
          </w:p>
        </w:tc>
      </w:tr>
      <w:tr w14:paraId="03DD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85788BB">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4160" w:type="dxa"/>
          </w:tcPr>
          <w:p w14:paraId="41254440">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088" w:type="dxa"/>
          </w:tcPr>
          <w:p w14:paraId="4DB82EAE">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2987" w:type="dxa"/>
          </w:tcPr>
          <w:p w14:paraId="2DE3A47A">
            <w:pPr>
              <w:autoSpaceDE w:val="0"/>
              <w:autoSpaceDN w:val="0"/>
              <w:snapToGrid w:val="0"/>
              <w:spacing w:before="48" w:beforeLines="20" w:line="360" w:lineRule="auto"/>
              <w:rPr>
                <w:rFonts w:hint="eastAsia" w:ascii="仿宋" w:hAnsi="仿宋" w:eastAsia="仿宋" w:cs="仿宋"/>
                <w:kern w:val="2"/>
                <w:sz w:val="21"/>
                <w:szCs w:val="21"/>
                <w:highlight w:val="none"/>
              </w:rPr>
            </w:pPr>
          </w:p>
        </w:tc>
        <w:tc>
          <w:tcPr>
            <w:tcW w:w="3175" w:type="dxa"/>
          </w:tcPr>
          <w:p w14:paraId="112998F1">
            <w:pPr>
              <w:autoSpaceDE w:val="0"/>
              <w:autoSpaceDN w:val="0"/>
              <w:snapToGrid w:val="0"/>
              <w:spacing w:before="48" w:beforeLines="20" w:line="360" w:lineRule="auto"/>
              <w:rPr>
                <w:rFonts w:hint="eastAsia" w:ascii="仿宋" w:hAnsi="仿宋" w:eastAsia="仿宋" w:cs="仿宋"/>
                <w:kern w:val="2"/>
                <w:sz w:val="21"/>
                <w:szCs w:val="21"/>
                <w:highlight w:val="none"/>
              </w:rPr>
            </w:pPr>
          </w:p>
        </w:tc>
      </w:tr>
    </w:tbl>
    <w:p w14:paraId="516286B5">
      <w:pPr>
        <w:tabs>
          <w:tab w:val="left" w:pos="2740"/>
          <w:tab w:val="left" w:pos="4940"/>
          <w:tab w:val="left" w:pos="6930"/>
        </w:tabs>
        <w:autoSpaceDE w:val="0"/>
        <w:autoSpaceDN w:val="0"/>
        <w:snapToGrid w:val="0"/>
        <w:spacing w:line="360" w:lineRule="auto"/>
        <w:ind w:firstLine="420" w:firstLineChars="200"/>
        <w:jc w:val="left"/>
        <w:rPr>
          <w:rFonts w:hint="eastAsia" w:ascii="仿宋" w:hAnsi="仿宋" w:eastAsia="仿宋" w:cs="仿宋"/>
          <w:snapToGrid w:val="0"/>
          <w:w w:val="200"/>
          <w:sz w:val="21"/>
          <w:szCs w:val="21"/>
          <w:highlight w:val="none"/>
          <w:u w:val="single"/>
        </w:rPr>
      </w:pPr>
      <w:r>
        <w:rPr>
          <w:rFonts w:hint="eastAsia" w:ascii="仿宋" w:hAnsi="仿宋" w:eastAsia="仿宋" w:cs="仿宋"/>
          <w:snapToGrid w:val="0"/>
          <w:sz w:val="21"/>
          <w:szCs w:val="21"/>
          <w:highlight w:val="none"/>
        </w:rPr>
        <w:t>比选人代表：</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w w:val="200"/>
          <w:sz w:val="21"/>
          <w:szCs w:val="21"/>
          <w:highlight w:val="none"/>
        </w:rPr>
        <w:t xml:space="preserve">            </w:t>
      </w:r>
      <w:r>
        <w:rPr>
          <w:rFonts w:hint="eastAsia" w:ascii="仿宋" w:hAnsi="仿宋" w:eastAsia="仿宋" w:cs="仿宋"/>
          <w:snapToGrid w:val="0"/>
          <w:sz w:val="21"/>
          <w:szCs w:val="21"/>
          <w:highlight w:val="none"/>
        </w:rPr>
        <w:t>监标人：</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w w:val="200"/>
          <w:sz w:val="21"/>
          <w:szCs w:val="21"/>
          <w:highlight w:val="none"/>
        </w:rPr>
        <w:t xml:space="preserve">            </w:t>
      </w:r>
      <w:r>
        <w:rPr>
          <w:rFonts w:hint="eastAsia" w:ascii="仿宋" w:hAnsi="仿宋" w:eastAsia="仿宋" w:cs="仿宋"/>
          <w:snapToGrid w:val="0"/>
          <w:sz w:val="21"/>
          <w:szCs w:val="21"/>
          <w:highlight w:val="none"/>
        </w:rPr>
        <w:t>记录人：</w:t>
      </w:r>
      <w:r>
        <w:rPr>
          <w:rFonts w:hint="eastAsia" w:ascii="仿宋" w:hAnsi="仿宋" w:eastAsia="仿宋" w:cs="仿宋"/>
          <w:snapToGrid w:val="0"/>
          <w:w w:val="200"/>
          <w:sz w:val="21"/>
          <w:szCs w:val="21"/>
          <w:highlight w:val="none"/>
          <w:u w:val="single"/>
        </w:rPr>
        <w:t xml:space="preserve">      </w:t>
      </w:r>
    </w:p>
    <w:p w14:paraId="4BD6A352">
      <w:pPr>
        <w:autoSpaceDE w:val="0"/>
        <w:autoSpaceDN w:val="0"/>
        <w:snapToGrid w:val="0"/>
        <w:spacing w:line="418" w:lineRule="exact"/>
        <w:ind w:firstLine="480" w:firstLineChars="200"/>
        <w:jc w:val="right"/>
        <w:rPr>
          <w:rFonts w:hint="eastAsia" w:ascii="仿宋" w:hAnsi="仿宋" w:eastAsia="仿宋" w:cs="仿宋"/>
          <w:snapToGrid w:val="0"/>
          <w:sz w:val="21"/>
          <w:szCs w:val="21"/>
          <w:highlight w:val="none"/>
        </w:rPr>
        <w:sectPr>
          <w:pgSz w:w="16838" w:h="11906" w:orient="landscape"/>
          <w:pgMar w:top="1576" w:right="935" w:bottom="1616" w:left="936" w:header="851" w:footer="992" w:gutter="0"/>
          <w:cols w:space="720" w:num="1"/>
          <w:docGrid w:linePitch="312" w:charSpace="0"/>
        </w:sectPr>
      </w:pPr>
      <w:r>
        <w:rPr>
          <w:rFonts w:hint="eastAsia" w:ascii="仿宋" w:hAnsi="仿宋" w:eastAsia="仿宋" w:cs="仿宋"/>
          <w:snapToGrid w:val="0"/>
          <w:sz w:val="24"/>
          <w:szCs w:val="24"/>
          <w:highlight w:val="none"/>
          <w:u w:val="single"/>
        </w:rPr>
        <w:t xml:space="preserve">       </w:t>
      </w:r>
      <w:r>
        <w:rPr>
          <w:rFonts w:hint="eastAsia" w:ascii="仿宋" w:hAnsi="仿宋" w:eastAsia="仿宋" w:cs="仿宋"/>
          <w:snapToGrid w:val="0"/>
          <w:sz w:val="24"/>
          <w:szCs w:val="24"/>
          <w:highlight w:val="none"/>
        </w:rPr>
        <w:t>年</w:t>
      </w:r>
      <w:r>
        <w:rPr>
          <w:rFonts w:hint="eastAsia" w:ascii="仿宋" w:hAnsi="仿宋" w:eastAsia="仿宋" w:cs="仿宋"/>
          <w:snapToGrid w:val="0"/>
          <w:sz w:val="24"/>
          <w:szCs w:val="24"/>
          <w:highlight w:val="none"/>
          <w:u w:val="single"/>
        </w:rPr>
        <w:t xml:space="preserve">     </w:t>
      </w:r>
      <w:r>
        <w:rPr>
          <w:rFonts w:hint="eastAsia" w:ascii="仿宋" w:hAnsi="仿宋" w:eastAsia="仿宋" w:cs="仿宋"/>
          <w:snapToGrid w:val="0"/>
          <w:sz w:val="24"/>
          <w:szCs w:val="24"/>
          <w:highlight w:val="none"/>
        </w:rPr>
        <w:t>月</w:t>
      </w:r>
      <w:r>
        <w:rPr>
          <w:rFonts w:hint="eastAsia" w:ascii="仿宋" w:hAnsi="仿宋" w:eastAsia="仿宋" w:cs="仿宋"/>
          <w:snapToGrid w:val="0"/>
          <w:sz w:val="24"/>
          <w:szCs w:val="24"/>
          <w:highlight w:val="none"/>
          <w:u w:val="single"/>
        </w:rPr>
        <w:t xml:space="preserve">    </w:t>
      </w:r>
      <w:r>
        <w:rPr>
          <w:rFonts w:hint="eastAsia" w:ascii="仿宋" w:hAnsi="仿宋" w:eastAsia="仿宋" w:cs="仿宋"/>
          <w:snapToGrid w:val="0"/>
          <w:sz w:val="24"/>
          <w:szCs w:val="24"/>
          <w:highlight w:val="none"/>
        </w:rPr>
        <w:t>日</w:t>
      </w:r>
    </w:p>
    <w:p w14:paraId="04446B44">
      <w:pPr>
        <w:autoSpaceDE w:val="0"/>
        <w:autoSpaceDN w:val="0"/>
        <w:snapToGrid w:val="0"/>
        <w:spacing w:line="360" w:lineRule="auto"/>
        <w:jc w:val="left"/>
        <w:rPr>
          <w:rFonts w:hint="eastAsia" w:ascii="仿宋" w:hAnsi="仿宋" w:eastAsia="仿宋" w:cs="仿宋"/>
          <w:b/>
          <w:snapToGrid w:val="0"/>
          <w:sz w:val="21"/>
          <w:szCs w:val="24"/>
          <w:highlight w:val="none"/>
        </w:rPr>
      </w:pPr>
      <w:r>
        <w:rPr>
          <w:rFonts w:hint="eastAsia" w:ascii="仿宋" w:hAnsi="仿宋" w:eastAsia="仿宋" w:cs="仿宋"/>
          <w:b/>
          <w:snapToGrid w:val="0"/>
          <w:sz w:val="21"/>
          <w:szCs w:val="24"/>
          <w:highlight w:val="none"/>
        </w:rPr>
        <w:t>附表三：问题澄清通知</w:t>
      </w:r>
    </w:p>
    <w:p w14:paraId="4FD3C773">
      <w:pPr>
        <w:autoSpaceDE w:val="0"/>
        <w:autoSpaceDN w:val="0"/>
        <w:snapToGrid w:val="0"/>
        <w:spacing w:line="360" w:lineRule="auto"/>
        <w:jc w:val="left"/>
        <w:rPr>
          <w:rFonts w:hint="eastAsia" w:ascii="仿宋" w:hAnsi="仿宋" w:eastAsia="仿宋" w:cs="仿宋"/>
          <w:b/>
          <w:snapToGrid w:val="0"/>
          <w:sz w:val="24"/>
          <w:szCs w:val="24"/>
          <w:highlight w:val="none"/>
        </w:rPr>
      </w:pPr>
    </w:p>
    <w:p w14:paraId="0A976604">
      <w:pPr>
        <w:autoSpaceDE w:val="0"/>
        <w:autoSpaceDN w:val="0"/>
        <w:snapToGrid w:val="0"/>
        <w:spacing w:line="360" w:lineRule="auto"/>
        <w:jc w:val="center"/>
        <w:rPr>
          <w:rFonts w:hint="eastAsia" w:ascii="仿宋" w:hAnsi="仿宋" w:eastAsia="仿宋" w:cs="仿宋"/>
          <w:b/>
          <w:snapToGrid w:val="0"/>
          <w:w w:val="99"/>
          <w:highlight w:val="none"/>
        </w:rPr>
      </w:pPr>
      <w:r>
        <w:rPr>
          <w:rFonts w:hint="eastAsia" w:ascii="仿宋" w:hAnsi="仿宋" w:eastAsia="仿宋" w:cs="仿宋"/>
          <w:b/>
          <w:snapToGrid w:val="0"/>
          <w:w w:val="99"/>
          <w:highlight w:val="none"/>
        </w:rPr>
        <w:t>问题澄清通知</w:t>
      </w:r>
    </w:p>
    <w:p w14:paraId="6D3155C2">
      <w:pPr>
        <w:autoSpaceDE w:val="0"/>
        <w:autoSpaceDN w:val="0"/>
        <w:snapToGrid w:val="0"/>
        <w:spacing w:line="360" w:lineRule="auto"/>
        <w:jc w:val="left"/>
        <w:rPr>
          <w:rFonts w:hint="eastAsia" w:ascii="仿宋" w:hAnsi="仿宋" w:eastAsia="仿宋" w:cs="仿宋"/>
          <w:b/>
          <w:snapToGrid w:val="0"/>
          <w:sz w:val="24"/>
          <w:szCs w:val="24"/>
          <w:highlight w:val="none"/>
        </w:rPr>
      </w:pPr>
    </w:p>
    <w:p w14:paraId="18B3D70F">
      <w:pPr>
        <w:autoSpaceDE w:val="0"/>
        <w:autoSpaceDN w:val="0"/>
        <w:snapToGrid w:val="0"/>
        <w:spacing w:line="360" w:lineRule="auto"/>
        <w:ind w:firstLine="3255" w:firstLineChars="1550"/>
        <w:jc w:val="left"/>
        <w:rPr>
          <w:rFonts w:hint="eastAsia" w:ascii="仿宋" w:hAnsi="仿宋" w:eastAsia="仿宋" w:cs="仿宋"/>
          <w:snapToGrid w:val="0"/>
          <w:sz w:val="21"/>
          <w:szCs w:val="21"/>
          <w:highlight w:val="none"/>
          <w:u w:val="single"/>
        </w:rPr>
      </w:pPr>
      <w:r>
        <w:rPr>
          <w:rFonts w:hint="eastAsia" w:ascii="仿宋" w:hAnsi="仿宋" w:eastAsia="仿宋" w:cs="仿宋"/>
          <w:snapToGrid w:val="0"/>
          <w:sz w:val="21"/>
          <w:szCs w:val="21"/>
          <w:highlight w:val="none"/>
        </w:rPr>
        <w:t>编号：</w:t>
      </w:r>
      <w:r>
        <w:rPr>
          <w:rFonts w:hint="eastAsia" w:ascii="仿宋" w:hAnsi="仿宋" w:eastAsia="仿宋" w:cs="仿宋"/>
          <w:snapToGrid w:val="0"/>
          <w:sz w:val="21"/>
          <w:szCs w:val="21"/>
          <w:highlight w:val="none"/>
          <w:u w:val="single"/>
        </w:rPr>
        <w:t xml:space="preserve">                     </w:t>
      </w:r>
    </w:p>
    <w:p w14:paraId="464E1D5C">
      <w:pPr>
        <w:autoSpaceDE w:val="0"/>
        <w:autoSpaceDN w:val="0"/>
        <w:snapToGrid w:val="0"/>
        <w:spacing w:line="360" w:lineRule="auto"/>
        <w:jc w:val="left"/>
        <w:rPr>
          <w:rFonts w:hint="eastAsia" w:ascii="仿宋" w:hAnsi="仿宋" w:eastAsia="仿宋" w:cs="仿宋"/>
          <w:b/>
          <w:snapToGrid w:val="0"/>
          <w:sz w:val="24"/>
          <w:szCs w:val="24"/>
          <w:highlight w:val="none"/>
        </w:rPr>
      </w:pPr>
    </w:p>
    <w:p w14:paraId="3DC93421">
      <w:pPr>
        <w:autoSpaceDE w:val="0"/>
        <w:autoSpaceDN w:val="0"/>
        <w:snapToGrid w:val="0"/>
        <w:spacing w:line="360" w:lineRule="auto"/>
        <w:rPr>
          <w:rFonts w:hint="eastAsia" w:ascii="仿宋" w:hAnsi="仿宋" w:eastAsia="仿宋" w:cs="仿宋"/>
          <w:snapToGrid w:val="0"/>
          <w:sz w:val="28"/>
          <w:szCs w:val="28"/>
          <w:highlight w:val="none"/>
        </w:rPr>
      </w:pPr>
    </w:p>
    <w:p w14:paraId="6AE1AA6E">
      <w:pPr>
        <w:tabs>
          <w:tab w:val="left" w:pos="1580"/>
        </w:tabs>
        <w:autoSpaceDE w:val="0"/>
        <w:autoSpaceDN w:val="0"/>
        <w:snapToGrid w:val="0"/>
        <w:spacing w:line="480" w:lineRule="auto"/>
        <w:jc w:val="left"/>
        <w:rPr>
          <w:rFonts w:hint="eastAsia" w:ascii="仿宋" w:hAnsi="仿宋" w:eastAsia="仿宋" w:cs="仿宋"/>
          <w:snapToGrid w:val="0"/>
          <w:sz w:val="21"/>
          <w:szCs w:val="21"/>
          <w:highlight w:val="none"/>
        </w:rPr>
      </w:pP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rPr>
        <w:t>（比选申请人名称）：</w:t>
      </w:r>
    </w:p>
    <w:p w14:paraId="6E5432FF">
      <w:pPr>
        <w:tabs>
          <w:tab w:val="left" w:pos="2320"/>
          <w:tab w:val="left" w:pos="4460"/>
        </w:tabs>
        <w:autoSpaceDE w:val="0"/>
        <w:autoSpaceDN w:val="0"/>
        <w:snapToGrid w:val="0"/>
        <w:spacing w:line="480" w:lineRule="auto"/>
        <w:ind w:firstLine="424" w:firstLineChars="101"/>
        <w:jc w:val="left"/>
        <w:rPr>
          <w:rFonts w:hint="eastAsia" w:ascii="仿宋" w:hAnsi="仿宋" w:eastAsia="仿宋" w:cs="仿宋"/>
          <w:snapToGrid w:val="0"/>
          <w:sz w:val="21"/>
          <w:szCs w:val="21"/>
          <w:highlight w:val="none"/>
        </w:rPr>
      </w:pP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u w:val="single"/>
        </w:rPr>
        <w:t>（项目名称）</w:t>
      </w:r>
      <w:r>
        <w:rPr>
          <w:rFonts w:hint="eastAsia" w:ascii="仿宋" w:hAnsi="仿宋" w:eastAsia="仿宋" w:cs="仿宋"/>
          <w:snapToGrid w:val="0"/>
          <w:sz w:val="21"/>
          <w:szCs w:val="21"/>
          <w:highlight w:val="none"/>
        </w:rPr>
        <w:t>的评选委员会，对你方的比选申请文件进行了仔细的审查，现需你方对下列问题以书面形式予以澄清：</w:t>
      </w:r>
    </w:p>
    <w:p w14:paraId="2F35565A">
      <w:pPr>
        <w:autoSpaceDE w:val="0"/>
        <w:autoSpaceDN w:val="0"/>
        <w:snapToGrid w:val="0"/>
        <w:spacing w:line="360" w:lineRule="auto"/>
        <w:jc w:val="left"/>
        <w:rPr>
          <w:rFonts w:hint="eastAsia" w:ascii="仿宋" w:hAnsi="仿宋" w:eastAsia="仿宋" w:cs="仿宋"/>
          <w:snapToGrid w:val="0"/>
          <w:sz w:val="24"/>
          <w:szCs w:val="24"/>
          <w:highlight w:val="none"/>
        </w:rPr>
      </w:pPr>
    </w:p>
    <w:p w14:paraId="2C3E7BF6">
      <w:pPr>
        <w:autoSpaceDE w:val="0"/>
        <w:autoSpaceDN w:val="0"/>
        <w:snapToGrid w:val="0"/>
        <w:spacing w:line="360" w:lineRule="auto"/>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 xml:space="preserve">1. </w:t>
      </w:r>
    </w:p>
    <w:p w14:paraId="742647DB">
      <w:pPr>
        <w:autoSpaceDE w:val="0"/>
        <w:autoSpaceDN w:val="0"/>
        <w:snapToGrid w:val="0"/>
        <w:spacing w:line="360" w:lineRule="auto"/>
        <w:jc w:val="left"/>
        <w:rPr>
          <w:rFonts w:hint="eastAsia" w:ascii="仿宋" w:hAnsi="仿宋" w:eastAsia="仿宋" w:cs="仿宋"/>
          <w:snapToGrid w:val="0"/>
          <w:sz w:val="21"/>
          <w:szCs w:val="21"/>
          <w:highlight w:val="none"/>
        </w:rPr>
      </w:pPr>
    </w:p>
    <w:p w14:paraId="7B9FA54D">
      <w:pPr>
        <w:autoSpaceDE w:val="0"/>
        <w:autoSpaceDN w:val="0"/>
        <w:snapToGrid w:val="0"/>
        <w:spacing w:line="360" w:lineRule="auto"/>
        <w:jc w:val="left"/>
        <w:rPr>
          <w:rFonts w:hint="eastAsia" w:ascii="仿宋" w:hAnsi="仿宋" w:eastAsia="仿宋" w:cs="仿宋"/>
          <w:snapToGrid w:val="0"/>
          <w:sz w:val="21"/>
          <w:szCs w:val="21"/>
          <w:highlight w:val="none"/>
        </w:rPr>
      </w:pPr>
    </w:p>
    <w:p w14:paraId="369567D8">
      <w:pPr>
        <w:autoSpaceDE w:val="0"/>
        <w:autoSpaceDN w:val="0"/>
        <w:snapToGrid w:val="0"/>
        <w:spacing w:line="360" w:lineRule="auto"/>
        <w:jc w:val="left"/>
        <w:rPr>
          <w:rFonts w:hint="eastAsia" w:ascii="仿宋" w:hAnsi="仿宋" w:eastAsia="仿宋" w:cs="仿宋"/>
          <w:snapToGrid w:val="0"/>
          <w:sz w:val="21"/>
          <w:szCs w:val="21"/>
          <w:highlight w:val="none"/>
        </w:rPr>
      </w:pPr>
    </w:p>
    <w:p w14:paraId="1CBDA077">
      <w:pPr>
        <w:autoSpaceDE w:val="0"/>
        <w:autoSpaceDN w:val="0"/>
        <w:snapToGrid w:val="0"/>
        <w:spacing w:line="360" w:lineRule="auto"/>
        <w:jc w:val="left"/>
        <w:rPr>
          <w:rFonts w:hint="eastAsia" w:ascii="仿宋" w:hAnsi="仿宋" w:eastAsia="仿宋" w:cs="仿宋"/>
          <w:snapToGrid w:val="0"/>
          <w:sz w:val="21"/>
          <w:szCs w:val="21"/>
          <w:highlight w:val="none"/>
        </w:rPr>
      </w:pPr>
    </w:p>
    <w:p w14:paraId="31C1A449">
      <w:pPr>
        <w:autoSpaceDE w:val="0"/>
        <w:autoSpaceDN w:val="0"/>
        <w:snapToGrid w:val="0"/>
        <w:spacing w:line="360" w:lineRule="auto"/>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 xml:space="preserve">2. </w:t>
      </w:r>
    </w:p>
    <w:p w14:paraId="6CC8610E">
      <w:pPr>
        <w:autoSpaceDE w:val="0"/>
        <w:autoSpaceDN w:val="0"/>
        <w:snapToGrid w:val="0"/>
        <w:spacing w:line="360" w:lineRule="auto"/>
        <w:jc w:val="left"/>
        <w:rPr>
          <w:rFonts w:hint="eastAsia" w:ascii="仿宋" w:hAnsi="仿宋" w:eastAsia="仿宋" w:cs="仿宋"/>
          <w:snapToGrid w:val="0"/>
          <w:sz w:val="21"/>
          <w:szCs w:val="21"/>
          <w:highlight w:val="none"/>
        </w:rPr>
      </w:pPr>
    </w:p>
    <w:p w14:paraId="5E403C70">
      <w:pPr>
        <w:autoSpaceDE w:val="0"/>
        <w:autoSpaceDN w:val="0"/>
        <w:snapToGrid w:val="0"/>
        <w:spacing w:line="360" w:lineRule="auto"/>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w:t>
      </w:r>
    </w:p>
    <w:p w14:paraId="615B7352">
      <w:pPr>
        <w:autoSpaceDE w:val="0"/>
        <w:autoSpaceDN w:val="0"/>
        <w:snapToGrid w:val="0"/>
        <w:spacing w:line="360" w:lineRule="auto"/>
        <w:jc w:val="left"/>
        <w:rPr>
          <w:rFonts w:hint="eastAsia" w:ascii="仿宋" w:hAnsi="仿宋" w:eastAsia="仿宋" w:cs="仿宋"/>
          <w:snapToGrid w:val="0"/>
          <w:sz w:val="14"/>
          <w:szCs w:val="14"/>
          <w:highlight w:val="none"/>
        </w:rPr>
      </w:pPr>
    </w:p>
    <w:p w14:paraId="0C63FA71">
      <w:pPr>
        <w:autoSpaceDE w:val="0"/>
        <w:autoSpaceDN w:val="0"/>
        <w:snapToGrid w:val="0"/>
        <w:spacing w:line="360" w:lineRule="auto"/>
        <w:jc w:val="left"/>
        <w:rPr>
          <w:rFonts w:hint="eastAsia" w:ascii="仿宋" w:hAnsi="仿宋" w:eastAsia="仿宋" w:cs="仿宋"/>
          <w:snapToGrid w:val="0"/>
          <w:sz w:val="14"/>
          <w:szCs w:val="14"/>
          <w:highlight w:val="none"/>
        </w:rPr>
      </w:pPr>
    </w:p>
    <w:p w14:paraId="728B78DF">
      <w:pPr>
        <w:autoSpaceDE w:val="0"/>
        <w:autoSpaceDN w:val="0"/>
        <w:snapToGrid w:val="0"/>
        <w:spacing w:line="360" w:lineRule="auto"/>
        <w:jc w:val="left"/>
        <w:rPr>
          <w:rFonts w:hint="eastAsia" w:ascii="仿宋" w:hAnsi="仿宋" w:eastAsia="仿宋" w:cs="仿宋"/>
          <w:snapToGrid w:val="0"/>
          <w:sz w:val="14"/>
          <w:szCs w:val="14"/>
          <w:highlight w:val="none"/>
        </w:rPr>
      </w:pPr>
    </w:p>
    <w:p w14:paraId="6BA8E936">
      <w:pPr>
        <w:tabs>
          <w:tab w:val="left" w:pos="2745"/>
          <w:tab w:val="left" w:pos="3360"/>
          <w:tab w:val="left" w:pos="4060"/>
          <w:tab w:val="left" w:pos="4760"/>
          <w:tab w:val="left" w:pos="5360"/>
          <w:tab w:val="left" w:pos="5800"/>
          <w:tab w:val="left" w:pos="6735"/>
          <w:tab w:val="left" w:pos="7260"/>
          <w:tab w:val="left" w:pos="8000"/>
        </w:tabs>
        <w:autoSpaceDE w:val="0"/>
        <w:autoSpaceDN w:val="0"/>
        <w:snapToGrid w:val="0"/>
        <w:spacing w:line="480" w:lineRule="auto"/>
        <w:ind w:firstLine="42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请将上述问题的澄清于</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年</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月</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日</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时前递交至</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（详细地址）或传真至</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（传真号码）。采用传真方式的，应在</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年</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月</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日</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时前将原件递交至</w:t>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rPr>
        <w:t>（详细地址）。</w:t>
      </w:r>
    </w:p>
    <w:p w14:paraId="4A07B387">
      <w:pPr>
        <w:autoSpaceDE w:val="0"/>
        <w:autoSpaceDN w:val="0"/>
        <w:snapToGrid w:val="0"/>
        <w:spacing w:line="360" w:lineRule="auto"/>
        <w:jc w:val="left"/>
        <w:rPr>
          <w:rFonts w:hint="eastAsia" w:ascii="仿宋" w:hAnsi="仿宋" w:eastAsia="仿宋" w:cs="仿宋"/>
          <w:snapToGrid w:val="0"/>
          <w:sz w:val="20"/>
          <w:szCs w:val="20"/>
          <w:highlight w:val="none"/>
        </w:rPr>
      </w:pPr>
    </w:p>
    <w:p w14:paraId="247F2613">
      <w:pPr>
        <w:autoSpaceDE w:val="0"/>
        <w:autoSpaceDN w:val="0"/>
        <w:snapToGrid w:val="0"/>
        <w:spacing w:line="360" w:lineRule="auto"/>
        <w:jc w:val="left"/>
        <w:rPr>
          <w:rFonts w:hint="eastAsia" w:ascii="仿宋" w:hAnsi="仿宋" w:eastAsia="仿宋" w:cs="仿宋"/>
          <w:snapToGrid w:val="0"/>
          <w:sz w:val="28"/>
          <w:szCs w:val="28"/>
          <w:highlight w:val="none"/>
        </w:rPr>
      </w:pPr>
    </w:p>
    <w:p w14:paraId="3CE46D30">
      <w:pPr>
        <w:tabs>
          <w:tab w:val="left" w:pos="6400"/>
        </w:tabs>
        <w:autoSpaceDE w:val="0"/>
        <w:autoSpaceDN w:val="0"/>
        <w:snapToGrid w:val="0"/>
        <w:spacing w:line="360" w:lineRule="auto"/>
        <w:jc w:val="right"/>
        <w:rPr>
          <w:rFonts w:hint="eastAsia" w:ascii="仿宋" w:hAnsi="仿宋" w:eastAsia="仿宋" w:cs="仿宋"/>
          <w:snapToGrid w:val="0"/>
          <w:sz w:val="24"/>
          <w:szCs w:val="24"/>
          <w:highlight w:val="none"/>
        </w:rPr>
      </w:pPr>
      <w:r>
        <w:rPr>
          <w:rFonts w:hint="eastAsia" w:ascii="仿宋" w:hAnsi="仿宋" w:eastAsia="仿宋" w:cs="仿宋"/>
          <w:snapToGrid w:val="0"/>
          <w:sz w:val="21"/>
          <w:szCs w:val="21"/>
          <w:highlight w:val="none"/>
        </w:rPr>
        <w:t xml:space="preserve">                             评选委员会：</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（签名）</w:t>
      </w:r>
      <w:r>
        <w:rPr>
          <w:rFonts w:hint="eastAsia" w:ascii="仿宋" w:hAnsi="仿宋" w:eastAsia="仿宋" w:cs="仿宋"/>
          <w:snapToGrid w:val="0"/>
          <w:sz w:val="24"/>
          <w:szCs w:val="24"/>
          <w:highlight w:val="none"/>
        </w:rPr>
        <w:t xml:space="preserve"> </w:t>
      </w:r>
    </w:p>
    <w:p w14:paraId="223D8C74">
      <w:pPr>
        <w:autoSpaceDE w:val="0"/>
        <w:autoSpaceDN w:val="0"/>
        <w:snapToGrid w:val="0"/>
        <w:spacing w:line="360" w:lineRule="auto"/>
        <w:ind w:firstLine="315" w:firstLineChars="150"/>
        <w:jc w:val="righ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 xml:space="preserve">                            </w:t>
      </w:r>
    </w:p>
    <w:p w14:paraId="2E41F298">
      <w:pPr>
        <w:wordWrap w:val="0"/>
        <w:autoSpaceDE w:val="0"/>
        <w:autoSpaceDN w:val="0"/>
        <w:snapToGrid w:val="0"/>
        <w:spacing w:line="360" w:lineRule="auto"/>
        <w:ind w:firstLine="850" w:firstLineChars="405"/>
        <w:jc w:val="righ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 xml:space="preserve">                             </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年</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月</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 xml:space="preserve">日  </w:t>
      </w:r>
    </w:p>
    <w:p w14:paraId="33046A64">
      <w:pPr>
        <w:autoSpaceDE w:val="0"/>
        <w:autoSpaceDN w:val="0"/>
        <w:snapToGrid w:val="0"/>
        <w:spacing w:line="360" w:lineRule="auto"/>
        <w:jc w:val="left"/>
        <w:rPr>
          <w:rFonts w:hint="eastAsia" w:ascii="仿宋" w:hAnsi="仿宋" w:eastAsia="仿宋" w:cs="仿宋"/>
          <w:b/>
          <w:snapToGrid w:val="0"/>
          <w:sz w:val="21"/>
          <w:szCs w:val="24"/>
          <w:highlight w:val="none"/>
        </w:rPr>
      </w:pPr>
      <w:r>
        <w:rPr>
          <w:rFonts w:hint="eastAsia" w:ascii="仿宋" w:hAnsi="仿宋" w:eastAsia="仿宋" w:cs="仿宋"/>
          <w:b/>
          <w:snapToGrid w:val="0"/>
          <w:sz w:val="24"/>
          <w:szCs w:val="24"/>
          <w:highlight w:val="none"/>
        </w:rPr>
        <w:br w:type="page"/>
      </w:r>
      <w:r>
        <w:rPr>
          <w:rFonts w:hint="eastAsia" w:ascii="仿宋" w:hAnsi="仿宋" w:eastAsia="仿宋" w:cs="仿宋"/>
          <w:b/>
          <w:snapToGrid w:val="0"/>
          <w:sz w:val="21"/>
          <w:szCs w:val="24"/>
          <w:highlight w:val="none"/>
        </w:rPr>
        <w:t>附表四：问题的澄清</w:t>
      </w:r>
    </w:p>
    <w:p w14:paraId="4B724882">
      <w:pPr>
        <w:autoSpaceDE w:val="0"/>
        <w:autoSpaceDN w:val="0"/>
        <w:snapToGrid w:val="0"/>
        <w:spacing w:line="360" w:lineRule="auto"/>
        <w:jc w:val="left"/>
        <w:rPr>
          <w:rFonts w:hint="eastAsia" w:ascii="仿宋" w:hAnsi="仿宋" w:eastAsia="仿宋" w:cs="仿宋"/>
          <w:b/>
          <w:snapToGrid w:val="0"/>
          <w:sz w:val="10"/>
          <w:szCs w:val="10"/>
          <w:highlight w:val="none"/>
        </w:rPr>
      </w:pPr>
    </w:p>
    <w:p w14:paraId="7A547652">
      <w:pPr>
        <w:autoSpaceDE w:val="0"/>
        <w:autoSpaceDN w:val="0"/>
        <w:snapToGrid w:val="0"/>
        <w:spacing w:line="360" w:lineRule="auto"/>
        <w:jc w:val="center"/>
        <w:rPr>
          <w:rFonts w:hint="eastAsia" w:ascii="仿宋" w:hAnsi="仿宋" w:eastAsia="仿宋" w:cs="仿宋"/>
          <w:b/>
          <w:snapToGrid w:val="0"/>
          <w:highlight w:val="none"/>
        </w:rPr>
      </w:pPr>
      <w:r>
        <w:rPr>
          <w:rFonts w:hint="eastAsia" w:ascii="仿宋" w:hAnsi="仿宋" w:eastAsia="仿宋" w:cs="仿宋"/>
          <w:b/>
          <w:snapToGrid w:val="0"/>
          <w:w w:val="99"/>
          <w:highlight w:val="none"/>
        </w:rPr>
        <w:t>问题的澄清</w:t>
      </w:r>
    </w:p>
    <w:p w14:paraId="154C127D">
      <w:pPr>
        <w:autoSpaceDE w:val="0"/>
        <w:autoSpaceDN w:val="0"/>
        <w:snapToGrid w:val="0"/>
        <w:spacing w:line="360" w:lineRule="auto"/>
        <w:ind w:firstLine="3255" w:firstLineChars="1550"/>
        <w:jc w:val="left"/>
        <w:rPr>
          <w:rFonts w:hint="eastAsia" w:ascii="仿宋" w:hAnsi="仿宋" w:eastAsia="仿宋" w:cs="仿宋"/>
          <w:snapToGrid w:val="0"/>
          <w:sz w:val="21"/>
          <w:szCs w:val="21"/>
          <w:highlight w:val="none"/>
        </w:rPr>
      </w:pPr>
    </w:p>
    <w:p w14:paraId="226E1210">
      <w:pPr>
        <w:autoSpaceDE w:val="0"/>
        <w:autoSpaceDN w:val="0"/>
        <w:snapToGrid w:val="0"/>
        <w:spacing w:line="360" w:lineRule="auto"/>
        <w:ind w:firstLine="3255" w:firstLineChars="1550"/>
        <w:jc w:val="left"/>
        <w:rPr>
          <w:rFonts w:hint="eastAsia" w:ascii="仿宋" w:hAnsi="仿宋" w:eastAsia="仿宋" w:cs="仿宋"/>
          <w:snapToGrid w:val="0"/>
          <w:sz w:val="21"/>
          <w:szCs w:val="21"/>
          <w:highlight w:val="none"/>
          <w:u w:val="single"/>
        </w:rPr>
      </w:pPr>
      <w:r>
        <w:rPr>
          <w:rFonts w:hint="eastAsia" w:ascii="仿宋" w:hAnsi="仿宋" w:eastAsia="仿宋" w:cs="仿宋"/>
          <w:snapToGrid w:val="0"/>
          <w:sz w:val="21"/>
          <w:szCs w:val="21"/>
          <w:highlight w:val="none"/>
        </w:rPr>
        <w:t>编号：</w:t>
      </w:r>
      <w:r>
        <w:rPr>
          <w:rFonts w:hint="eastAsia" w:ascii="仿宋" w:hAnsi="仿宋" w:eastAsia="仿宋" w:cs="仿宋"/>
          <w:snapToGrid w:val="0"/>
          <w:sz w:val="21"/>
          <w:szCs w:val="21"/>
          <w:highlight w:val="none"/>
          <w:u w:val="single"/>
        </w:rPr>
        <w:t xml:space="preserve">                     </w:t>
      </w:r>
    </w:p>
    <w:p w14:paraId="73B7C2AE">
      <w:pPr>
        <w:autoSpaceDE w:val="0"/>
        <w:autoSpaceDN w:val="0"/>
        <w:snapToGrid w:val="0"/>
        <w:spacing w:line="360" w:lineRule="auto"/>
        <w:ind w:firstLine="3150" w:firstLineChars="1500"/>
        <w:rPr>
          <w:rFonts w:hint="eastAsia" w:ascii="仿宋" w:hAnsi="仿宋" w:eastAsia="仿宋" w:cs="仿宋"/>
          <w:snapToGrid w:val="0"/>
          <w:sz w:val="21"/>
          <w:szCs w:val="21"/>
          <w:highlight w:val="none"/>
        </w:rPr>
      </w:pPr>
    </w:p>
    <w:p w14:paraId="6BB4895D">
      <w:pPr>
        <w:autoSpaceDE w:val="0"/>
        <w:autoSpaceDN w:val="0"/>
        <w:snapToGrid w:val="0"/>
        <w:spacing w:line="360" w:lineRule="auto"/>
        <w:ind w:firstLine="3150" w:firstLineChars="1500"/>
        <w:rPr>
          <w:rFonts w:hint="eastAsia" w:ascii="仿宋" w:hAnsi="仿宋" w:eastAsia="仿宋" w:cs="仿宋"/>
          <w:snapToGrid w:val="0"/>
          <w:sz w:val="21"/>
          <w:szCs w:val="21"/>
          <w:highlight w:val="none"/>
        </w:rPr>
      </w:pPr>
    </w:p>
    <w:p w14:paraId="0806B43E">
      <w:pPr>
        <w:tabs>
          <w:tab w:val="left" w:pos="2415"/>
          <w:tab w:val="left" w:pos="3480"/>
          <w:tab w:val="left" w:pos="4200"/>
        </w:tabs>
        <w:autoSpaceDE w:val="0"/>
        <w:autoSpaceDN w:val="0"/>
        <w:snapToGrid w:val="0"/>
        <w:spacing w:line="480" w:lineRule="auto"/>
        <w:ind w:firstLine="840" w:firstLineChars="200"/>
        <w:jc w:val="left"/>
        <w:rPr>
          <w:rFonts w:hint="eastAsia" w:ascii="仿宋" w:hAnsi="仿宋" w:eastAsia="仿宋" w:cs="仿宋"/>
          <w:snapToGrid w:val="0"/>
          <w:sz w:val="21"/>
          <w:szCs w:val="21"/>
          <w:highlight w:val="none"/>
        </w:rPr>
      </w:pP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u w:val="single"/>
        </w:rPr>
        <w:t>（项目名称）</w:t>
      </w:r>
      <w:r>
        <w:rPr>
          <w:rFonts w:hint="eastAsia" w:ascii="仿宋" w:hAnsi="仿宋" w:eastAsia="仿宋" w:cs="仿宋"/>
          <w:snapToGrid w:val="0"/>
          <w:sz w:val="21"/>
          <w:szCs w:val="21"/>
          <w:highlight w:val="none"/>
        </w:rPr>
        <w:t>评选委员会：</w:t>
      </w:r>
    </w:p>
    <w:p w14:paraId="043D60F4">
      <w:pPr>
        <w:tabs>
          <w:tab w:val="left" w:pos="2000"/>
          <w:tab w:val="left" w:pos="3480"/>
          <w:tab w:val="left" w:pos="4200"/>
        </w:tabs>
        <w:autoSpaceDE w:val="0"/>
        <w:autoSpaceDN w:val="0"/>
        <w:snapToGrid w:val="0"/>
        <w:spacing w:line="480" w:lineRule="auto"/>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问题澄清通知（编号：</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rPr>
        <w:t>）已收悉，现澄清如下：</w:t>
      </w:r>
    </w:p>
    <w:p w14:paraId="41BD2D7C">
      <w:pPr>
        <w:tabs>
          <w:tab w:val="left" w:pos="2000"/>
          <w:tab w:val="left" w:pos="3480"/>
          <w:tab w:val="left" w:pos="4200"/>
        </w:tabs>
        <w:autoSpaceDE w:val="0"/>
        <w:autoSpaceDN w:val="0"/>
        <w:snapToGrid w:val="0"/>
        <w:spacing w:line="360" w:lineRule="auto"/>
        <w:jc w:val="left"/>
        <w:rPr>
          <w:rFonts w:hint="eastAsia" w:ascii="仿宋" w:hAnsi="仿宋" w:eastAsia="仿宋" w:cs="仿宋"/>
          <w:snapToGrid w:val="0"/>
          <w:sz w:val="21"/>
          <w:szCs w:val="21"/>
          <w:highlight w:val="none"/>
        </w:rPr>
      </w:pPr>
    </w:p>
    <w:p w14:paraId="1186B468">
      <w:pPr>
        <w:tabs>
          <w:tab w:val="left" w:pos="2000"/>
          <w:tab w:val="left" w:pos="3480"/>
          <w:tab w:val="left" w:pos="4200"/>
        </w:tabs>
        <w:autoSpaceDE w:val="0"/>
        <w:autoSpaceDN w:val="0"/>
        <w:snapToGrid w:val="0"/>
        <w:spacing w:line="360" w:lineRule="auto"/>
        <w:jc w:val="left"/>
        <w:rPr>
          <w:rFonts w:hint="eastAsia" w:ascii="仿宋" w:hAnsi="仿宋" w:eastAsia="仿宋" w:cs="仿宋"/>
          <w:snapToGrid w:val="0"/>
          <w:sz w:val="21"/>
          <w:szCs w:val="21"/>
          <w:highlight w:val="none"/>
        </w:rPr>
      </w:pPr>
    </w:p>
    <w:p w14:paraId="77C3C2C2">
      <w:pPr>
        <w:autoSpaceDE w:val="0"/>
        <w:autoSpaceDN w:val="0"/>
        <w:snapToGrid w:val="0"/>
        <w:spacing w:line="360" w:lineRule="auto"/>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 xml:space="preserve">1. </w:t>
      </w:r>
    </w:p>
    <w:p w14:paraId="2C138989">
      <w:pPr>
        <w:autoSpaceDE w:val="0"/>
        <w:autoSpaceDN w:val="0"/>
        <w:snapToGrid w:val="0"/>
        <w:spacing w:line="360" w:lineRule="auto"/>
        <w:jc w:val="left"/>
        <w:rPr>
          <w:rFonts w:hint="eastAsia" w:ascii="仿宋" w:hAnsi="仿宋" w:eastAsia="仿宋" w:cs="仿宋"/>
          <w:snapToGrid w:val="0"/>
          <w:sz w:val="18"/>
          <w:szCs w:val="18"/>
          <w:highlight w:val="none"/>
        </w:rPr>
      </w:pPr>
    </w:p>
    <w:p w14:paraId="04900665">
      <w:pPr>
        <w:autoSpaceDE w:val="0"/>
        <w:autoSpaceDN w:val="0"/>
        <w:snapToGrid w:val="0"/>
        <w:spacing w:line="360" w:lineRule="auto"/>
        <w:jc w:val="left"/>
        <w:rPr>
          <w:rFonts w:hint="eastAsia" w:ascii="仿宋" w:hAnsi="仿宋" w:eastAsia="仿宋" w:cs="仿宋"/>
          <w:snapToGrid w:val="0"/>
          <w:sz w:val="18"/>
          <w:szCs w:val="18"/>
          <w:highlight w:val="none"/>
        </w:rPr>
      </w:pPr>
    </w:p>
    <w:p w14:paraId="2451F7F5">
      <w:pPr>
        <w:autoSpaceDE w:val="0"/>
        <w:autoSpaceDN w:val="0"/>
        <w:snapToGrid w:val="0"/>
        <w:spacing w:line="360" w:lineRule="auto"/>
        <w:jc w:val="left"/>
        <w:rPr>
          <w:rFonts w:hint="eastAsia" w:ascii="仿宋" w:hAnsi="仿宋" w:eastAsia="仿宋" w:cs="仿宋"/>
          <w:snapToGrid w:val="0"/>
          <w:sz w:val="18"/>
          <w:szCs w:val="18"/>
          <w:highlight w:val="none"/>
        </w:rPr>
      </w:pPr>
    </w:p>
    <w:p w14:paraId="77A22C5F">
      <w:pPr>
        <w:autoSpaceDE w:val="0"/>
        <w:autoSpaceDN w:val="0"/>
        <w:snapToGrid w:val="0"/>
        <w:spacing w:line="360" w:lineRule="auto"/>
        <w:jc w:val="left"/>
        <w:rPr>
          <w:rFonts w:hint="eastAsia" w:ascii="仿宋" w:hAnsi="仿宋" w:eastAsia="仿宋" w:cs="仿宋"/>
          <w:snapToGrid w:val="0"/>
          <w:sz w:val="18"/>
          <w:szCs w:val="18"/>
          <w:highlight w:val="none"/>
        </w:rPr>
      </w:pPr>
    </w:p>
    <w:p w14:paraId="238D2576">
      <w:pPr>
        <w:autoSpaceDE w:val="0"/>
        <w:autoSpaceDN w:val="0"/>
        <w:snapToGrid w:val="0"/>
        <w:spacing w:line="360" w:lineRule="auto"/>
        <w:jc w:val="left"/>
        <w:rPr>
          <w:rFonts w:hint="eastAsia" w:ascii="仿宋" w:hAnsi="仿宋" w:eastAsia="仿宋" w:cs="仿宋"/>
          <w:snapToGrid w:val="0"/>
          <w:sz w:val="18"/>
          <w:szCs w:val="18"/>
          <w:highlight w:val="none"/>
        </w:rPr>
      </w:pPr>
    </w:p>
    <w:p w14:paraId="78E2D789">
      <w:pPr>
        <w:autoSpaceDE w:val="0"/>
        <w:autoSpaceDN w:val="0"/>
        <w:snapToGrid w:val="0"/>
        <w:spacing w:line="360" w:lineRule="auto"/>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 xml:space="preserve">2. </w:t>
      </w:r>
    </w:p>
    <w:p w14:paraId="3173A166">
      <w:pPr>
        <w:autoSpaceDE w:val="0"/>
        <w:autoSpaceDN w:val="0"/>
        <w:snapToGrid w:val="0"/>
        <w:spacing w:line="360" w:lineRule="auto"/>
        <w:jc w:val="left"/>
        <w:rPr>
          <w:rFonts w:hint="eastAsia" w:ascii="仿宋" w:hAnsi="仿宋" w:eastAsia="仿宋" w:cs="仿宋"/>
          <w:snapToGrid w:val="0"/>
          <w:sz w:val="20"/>
          <w:szCs w:val="20"/>
          <w:highlight w:val="none"/>
        </w:rPr>
      </w:pPr>
    </w:p>
    <w:p w14:paraId="3C039EFF">
      <w:pPr>
        <w:autoSpaceDE w:val="0"/>
        <w:autoSpaceDN w:val="0"/>
        <w:snapToGrid w:val="0"/>
        <w:spacing w:line="360" w:lineRule="auto"/>
        <w:jc w:val="left"/>
        <w:rPr>
          <w:rFonts w:hint="eastAsia" w:ascii="仿宋" w:hAnsi="仿宋" w:eastAsia="仿宋" w:cs="仿宋"/>
          <w:snapToGrid w:val="0"/>
          <w:sz w:val="20"/>
          <w:szCs w:val="20"/>
          <w:highlight w:val="none"/>
        </w:rPr>
      </w:pPr>
    </w:p>
    <w:p w14:paraId="71F7676A">
      <w:pPr>
        <w:autoSpaceDE w:val="0"/>
        <w:autoSpaceDN w:val="0"/>
        <w:snapToGrid w:val="0"/>
        <w:spacing w:line="360" w:lineRule="auto"/>
        <w:jc w:val="left"/>
        <w:rPr>
          <w:rFonts w:hint="eastAsia" w:ascii="仿宋" w:hAnsi="仿宋" w:eastAsia="仿宋" w:cs="仿宋"/>
          <w:snapToGrid w:val="0"/>
          <w:sz w:val="20"/>
          <w:szCs w:val="20"/>
          <w:highlight w:val="none"/>
        </w:rPr>
      </w:pPr>
    </w:p>
    <w:p w14:paraId="3B4731FD">
      <w:pPr>
        <w:autoSpaceDE w:val="0"/>
        <w:autoSpaceDN w:val="0"/>
        <w:snapToGrid w:val="0"/>
        <w:spacing w:line="360" w:lineRule="auto"/>
        <w:jc w:val="left"/>
        <w:rPr>
          <w:rFonts w:hint="eastAsia" w:ascii="仿宋" w:hAnsi="仿宋" w:eastAsia="仿宋" w:cs="仿宋"/>
          <w:snapToGrid w:val="0"/>
          <w:sz w:val="20"/>
          <w:szCs w:val="20"/>
          <w:highlight w:val="none"/>
        </w:rPr>
      </w:pPr>
    </w:p>
    <w:p w14:paraId="355580B7">
      <w:pPr>
        <w:autoSpaceDE w:val="0"/>
        <w:autoSpaceDN w:val="0"/>
        <w:snapToGrid w:val="0"/>
        <w:spacing w:line="360" w:lineRule="auto"/>
        <w:jc w:val="left"/>
        <w:rPr>
          <w:rFonts w:hint="eastAsia" w:ascii="仿宋" w:hAnsi="仿宋" w:eastAsia="仿宋" w:cs="仿宋"/>
          <w:snapToGrid w:val="0"/>
          <w:sz w:val="22"/>
          <w:szCs w:val="22"/>
          <w:highlight w:val="none"/>
        </w:rPr>
      </w:pPr>
    </w:p>
    <w:p w14:paraId="2C37C319">
      <w:pPr>
        <w:autoSpaceDE w:val="0"/>
        <w:autoSpaceDN w:val="0"/>
        <w:snapToGrid w:val="0"/>
        <w:spacing w:line="360" w:lineRule="auto"/>
        <w:jc w:val="lef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w:t>
      </w:r>
    </w:p>
    <w:p w14:paraId="72446F05">
      <w:pPr>
        <w:autoSpaceDE w:val="0"/>
        <w:autoSpaceDN w:val="0"/>
        <w:snapToGrid w:val="0"/>
        <w:spacing w:line="360" w:lineRule="auto"/>
        <w:jc w:val="left"/>
        <w:rPr>
          <w:rFonts w:hint="eastAsia" w:ascii="仿宋" w:hAnsi="仿宋" w:eastAsia="仿宋" w:cs="仿宋"/>
          <w:snapToGrid w:val="0"/>
          <w:sz w:val="18"/>
          <w:szCs w:val="18"/>
          <w:highlight w:val="none"/>
        </w:rPr>
      </w:pPr>
    </w:p>
    <w:p w14:paraId="466403F5">
      <w:pPr>
        <w:autoSpaceDE w:val="0"/>
        <w:autoSpaceDN w:val="0"/>
        <w:snapToGrid w:val="0"/>
        <w:spacing w:line="360" w:lineRule="auto"/>
        <w:jc w:val="left"/>
        <w:rPr>
          <w:rFonts w:hint="eastAsia" w:ascii="仿宋" w:hAnsi="仿宋" w:eastAsia="仿宋" w:cs="仿宋"/>
          <w:snapToGrid w:val="0"/>
          <w:sz w:val="20"/>
          <w:szCs w:val="20"/>
          <w:highlight w:val="none"/>
        </w:rPr>
      </w:pPr>
    </w:p>
    <w:p w14:paraId="05F8B2A3">
      <w:pPr>
        <w:autoSpaceDE w:val="0"/>
        <w:autoSpaceDN w:val="0"/>
        <w:snapToGrid w:val="0"/>
        <w:spacing w:line="360" w:lineRule="auto"/>
        <w:jc w:val="left"/>
        <w:rPr>
          <w:rFonts w:hint="eastAsia" w:ascii="仿宋" w:hAnsi="仿宋" w:eastAsia="仿宋" w:cs="仿宋"/>
          <w:snapToGrid w:val="0"/>
          <w:sz w:val="20"/>
          <w:szCs w:val="20"/>
          <w:highlight w:val="none"/>
        </w:rPr>
      </w:pPr>
    </w:p>
    <w:p w14:paraId="30E9C885">
      <w:pPr>
        <w:autoSpaceDE w:val="0"/>
        <w:autoSpaceDN w:val="0"/>
        <w:snapToGrid w:val="0"/>
        <w:spacing w:line="360" w:lineRule="auto"/>
        <w:jc w:val="left"/>
        <w:rPr>
          <w:rFonts w:hint="eastAsia" w:ascii="仿宋" w:hAnsi="仿宋" w:eastAsia="仿宋" w:cs="仿宋"/>
          <w:snapToGrid w:val="0"/>
          <w:sz w:val="20"/>
          <w:szCs w:val="20"/>
          <w:highlight w:val="none"/>
        </w:rPr>
      </w:pPr>
    </w:p>
    <w:p w14:paraId="13BE5DBA">
      <w:pPr>
        <w:autoSpaceDE w:val="0"/>
        <w:autoSpaceDN w:val="0"/>
        <w:snapToGrid w:val="0"/>
        <w:spacing w:line="360" w:lineRule="auto"/>
        <w:jc w:val="left"/>
        <w:rPr>
          <w:rFonts w:hint="eastAsia" w:ascii="仿宋" w:hAnsi="仿宋" w:eastAsia="仿宋" w:cs="仿宋"/>
          <w:snapToGrid w:val="0"/>
          <w:sz w:val="20"/>
          <w:szCs w:val="20"/>
          <w:highlight w:val="none"/>
        </w:rPr>
      </w:pPr>
    </w:p>
    <w:p w14:paraId="091E6005">
      <w:pPr>
        <w:tabs>
          <w:tab w:val="left" w:pos="7035"/>
        </w:tabs>
        <w:autoSpaceDE w:val="0"/>
        <w:autoSpaceDN w:val="0"/>
        <w:snapToGrid w:val="0"/>
        <w:spacing w:line="480" w:lineRule="auto"/>
        <w:ind w:firstLine="2551" w:firstLineChars="1215"/>
        <w:jc w:val="righ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比选申请人：</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sz w:val="21"/>
          <w:szCs w:val="21"/>
          <w:highlight w:val="none"/>
        </w:rPr>
        <w:t xml:space="preserve">（盖单位法人章） </w:t>
      </w:r>
    </w:p>
    <w:p w14:paraId="6D56632D">
      <w:pPr>
        <w:tabs>
          <w:tab w:val="left" w:pos="6620"/>
          <w:tab w:val="left" w:pos="7040"/>
        </w:tabs>
        <w:autoSpaceDE w:val="0"/>
        <w:autoSpaceDN w:val="0"/>
        <w:snapToGrid w:val="0"/>
        <w:spacing w:line="480" w:lineRule="auto"/>
        <w:ind w:firstLine="2551" w:firstLineChars="1215"/>
        <w:jc w:val="righ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法定代表人或其委托代理人：</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rPr>
        <w:t>（签名或盖章）</w:t>
      </w:r>
    </w:p>
    <w:p w14:paraId="26279A81">
      <w:pPr>
        <w:autoSpaceDE w:val="0"/>
        <w:autoSpaceDN w:val="0"/>
        <w:snapToGrid w:val="0"/>
        <w:spacing w:line="360" w:lineRule="auto"/>
        <w:jc w:val="right"/>
        <w:rPr>
          <w:rFonts w:hint="eastAsia" w:ascii="仿宋" w:hAnsi="仿宋" w:eastAsia="仿宋" w:cs="仿宋"/>
          <w:snapToGrid w:val="0"/>
          <w:sz w:val="20"/>
          <w:szCs w:val="20"/>
          <w:highlight w:val="none"/>
        </w:rPr>
      </w:pPr>
    </w:p>
    <w:p w14:paraId="585F02BB">
      <w:pPr>
        <w:wordWrap w:val="0"/>
        <w:autoSpaceDE w:val="0"/>
        <w:autoSpaceDN w:val="0"/>
        <w:snapToGrid w:val="0"/>
        <w:spacing w:line="360" w:lineRule="auto"/>
        <w:ind w:firstLine="315" w:firstLineChars="150"/>
        <w:jc w:val="right"/>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 xml:space="preserve">                                          </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年</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月</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 xml:space="preserve">日 </w:t>
      </w:r>
    </w:p>
    <w:p w14:paraId="4FF89ECB">
      <w:pPr>
        <w:autoSpaceDE w:val="0"/>
        <w:autoSpaceDN w:val="0"/>
        <w:snapToGrid w:val="0"/>
        <w:spacing w:line="360" w:lineRule="auto"/>
        <w:jc w:val="right"/>
        <w:rPr>
          <w:rFonts w:hint="eastAsia" w:ascii="仿宋" w:hAnsi="仿宋" w:eastAsia="仿宋" w:cs="仿宋"/>
          <w:b/>
          <w:snapToGrid w:val="0"/>
          <w:sz w:val="24"/>
          <w:szCs w:val="24"/>
          <w:highlight w:val="none"/>
        </w:rPr>
      </w:pPr>
    </w:p>
    <w:p w14:paraId="0FF0A9F1">
      <w:pPr>
        <w:autoSpaceDE w:val="0"/>
        <w:autoSpaceDN w:val="0"/>
        <w:snapToGrid w:val="0"/>
        <w:spacing w:line="360" w:lineRule="auto"/>
        <w:jc w:val="left"/>
        <w:rPr>
          <w:rFonts w:hint="eastAsia" w:ascii="仿宋" w:hAnsi="仿宋" w:eastAsia="仿宋" w:cs="仿宋"/>
          <w:snapToGrid w:val="0"/>
          <w:sz w:val="20"/>
          <w:szCs w:val="20"/>
          <w:highlight w:val="none"/>
        </w:rPr>
      </w:pPr>
      <w:r>
        <w:rPr>
          <w:rFonts w:hint="eastAsia" w:ascii="仿宋" w:hAnsi="仿宋" w:eastAsia="仿宋" w:cs="仿宋"/>
          <w:b/>
          <w:snapToGrid w:val="0"/>
          <w:sz w:val="21"/>
          <w:szCs w:val="24"/>
          <w:highlight w:val="none"/>
        </w:rPr>
        <w:br w:type="page"/>
      </w:r>
      <w:r>
        <w:rPr>
          <w:rFonts w:hint="eastAsia" w:ascii="仿宋" w:hAnsi="仿宋" w:eastAsia="仿宋" w:cs="仿宋"/>
          <w:b/>
          <w:snapToGrid w:val="0"/>
          <w:sz w:val="21"/>
          <w:szCs w:val="24"/>
          <w:highlight w:val="none"/>
        </w:rPr>
        <w:t>附表五：中选通知书</w:t>
      </w:r>
    </w:p>
    <w:p w14:paraId="1EB42E03">
      <w:pPr>
        <w:autoSpaceDE w:val="0"/>
        <w:autoSpaceDN w:val="0"/>
        <w:spacing w:line="360" w:lineRule="auto"/>
        <w:jc w:val="left"/>
        <w:rPr>
          <w:rFonts w:hint="eastAsia" w:ascii="仿宋" w:hAnsi="仿宋" w:eastAsia="仿宋" w:cs="仿宋"/>
          <w:snapToGrid w:val="0"/>
          <w:sz w:val="20"/>
          <w:szCs w:val="20"/>
          <w:highlight w:val="none"/>
        </w:rPr>
      </w:pPr>
    </w:p>
    <w:p w14:paraId="0155EA0F">
      <w:pPr>
        <w:autoSpaceDE w:val="0"/>
        <w:autoSpaceDN w:val="0"/>
        <w:spacing w:line="360" w:lineRule="auto"/>
        <w:jc w:val="left"/>
        <w:rPr>
          <w:rFonts w:hint="eastAsia" w:ascii="仿宋" w:hAnsi="仿宋" w:eastAsia="仿宋" w:cs="仿宋"/>
          <w:snapToGrid w:val="0"/>
          <w:sz w:val="20"/>
          <w:szCs w:val="20"/>
          <w:highlight w:val="none"/>
        </w:rPr>
      </w:pPr>
    </w:p>
    <w:p w14:paraId="5800E111">
      <w:pPr>
        <w:widowControl/>
        <w:spacing w:before="100" w:beforeAutospacing="1" w:after="100" w:afterAutospacing="1" w:line="360" w:lineRule="auto"/>
        <w:jc w:val="center"/>
        <w:rPr>
          <w:rFonts w:hint="eastAsia" w:ascii="仿宋" w:hAnsi="仿宋" w:eastAsia="仿宋" w:cs="仿宋"/>
          <w:b/>
          <w:sz w:val="28"/>
          <w:szCs w:val="28"/>
          <w:highlight w:val="none"/>
        </w:rPr>
      </w:pPr>
      <w:bookmarkStart w:id="447" w:name="_Toc6936"/>
      <w:bookmarkStart w:id="448" w:name="_Toc37869687"/>
      <w:bookmarkStart w:id="449" w:name="_Toc51099119"/>
      <w:bookmarkStart w:id="450" w:name="_Toc380397274"/>
      <w:bookmarkStart w:id="451" w:name="_Toc296503025"/>
      <w:bookmarkStart w:id="452" w:name="_Toc430206082"/>
      <w:bookmarkStart w:id="453" w:name="_Toc433623100"/>
      <w:bookmarkStart w:id="454" w:name="_Toc296890982"/>
      <w:bookmarkStart w:id="455" w:name="_Toc233044199"/>
      <w:bookmarkStart w:id="456" w:name="_Toc351203480"/>
      <w:r>
        <w:rPr>
          <w:rFonts w:hint="eastAsia" w:ascii="仿宋" w:hAnsi="仿宋" w:eastAsia="仿宋" w:cs="仿宋"/>
          <w:b/>
          <w:bCs/>
          <w:sz w:val="28"/>
          <w:szCs w:val="28"/>
          <w:highlight w:val="none"/>
        </w:rPr>
        <w:t>中标通知书</w:t>
      </w:r>
    </w:p>
    <w:p w14:paraId="34C73C0B">
      <w:pPr>
        <w:spacing w:line="360" w:lineRule="auto"/>
        <w:rPr>
          <w:rFonts w:hint="eastAsia" w:ascii="仿宋" w:hAnsi="仿宋" w:eastAsia="仿宋" w:cs="仿宋"/>
          <w:bCs/>
          <w:sz w:val="28"/>
          <w:szCs w:val="20"/>
          <w:highlight w:val="none"/>
          <w:u w:val="single"/>
        </w:rPr>
      </w:pPr>
      <w:r>
        <w:rPr>
          <w:rFonts w:hint="eastAsia" w:ascii="仿宋" w:hAnsi="仿宋" w:eastAsia="仿宋" w:cs="仿宋"/>
          <w:bCs/>
          <w:sz w:val="22"/>
          <w:szCs w:val="28"/>
          <w:highlight w:val="none"/>
          <w:u w:val="single"/>
        </w:rPr>
        <w:t xml:space="preserve"> </w:t>
      </w:r>
      <w:r>
        <w:rPr>
          <w:rFonts w:hint="eastAsia" w:ascii="仿宋" w:hAnsi="仿宋" w:eastAsia="仿宋" w:cs="仿宋"/>
          <w:bCs/>
          <w:sz w:val="28"/>
          <w:szCs w:val="20"/>
          <w:highlight w:val="none"/>
          <w:u w:val="single"/>
        </w:rPr>
        <w:t xml:space="preserve">        </w:t>
      </w:r>
      <w:r>
        <w:rPr>
          <w:rFonts w:hint="eastAsia" w:ascii="仿宋" w:hAnsi="仿宋" w:eastAsia="仿宋" w:cs="仿宋"/>
          <w:sz w:val="28"/>
          <w:szCs w:val="20"/>
          <w:highlight w:val="none"/>
          <w:u w:val="single"/>
        </w:rPr>
        <w:t>中标单位</w:t>
      </w:r>
      <w:r>
        <w:rPr>
          <w:rFonts w:hint="eastAsia" w:ascii="仿宋" w:hAnsi="仿宋" w:eastAsia="仿宋" w:cs="仿宋"/>
          <w:bCs/>
          <w:sz w:val="22"/>
          <w:szCs w:val="28"/>
          <w:highlight w:val="none"/>
          <w:u w:val="single"/>
        </w:rPr>
        <w:t xml:space="preserve"> </w:t>
      </w:r>
      <w:r>
        <w:rPr>
          <w:rFonts w:hint="eastAsia" w:ascii="仿宋" w:hAnsi="仿宋" w:eastAsia="仿宋" w:cs="仿宋"/>
          <w:bCs/>
          <w:sz w:val="28"/>
          <w:szCs w:val="20"/>
          <w:highlight w:val="none"/>
          <w:u w:val="single"/>
        </w:rPr>
        <w:t xml:space="preserve">        </w:t>
      </w:r>
      <w:r>
        <w:rPr>
          <w:rFonts w:hint="eastAsia" w:ascii="仿宋" w:hAnsi="仿宋" w:eastAsia="仿宋" w:cs="仿宋"/>
          <w:bCs/>
          <w:sz w:val="28"/>
          <w:szCs w:val="20"/>
          <w:highlight w:val="none"/>
        </w:rPr>
        <w:t>：</w:t>
      </w:r>
    </w:p>
    <w:p w14:paraId="5A574265">
      <w:pPr>
        <w:spacing w:line="360" w:lineRule="auto"/>
        <w:ind w:firstLine="560" w:firstLineChars="200"/>
        <w:rPr>
          <w:rFonts w:hint="eastAsia" w:ascii="仿宋" w:hAnsi="仿宋" w:eastAsia="仿宋" w:cs="仿宋"/>
          <w:sz w:val="28"/>
          <w:szCs w:val="20"/>
          <w:highlight w:val="none"/>
        </w:rPr>
      </w:pPr>
      <w:r>
        <w:rPr>
          <w:rFonts w:hint="eastAsia" w:ascii="仿宋" w:hAnsi="仿宋" w:eastAsia="仿宋" w:cs="仿宋"/>
          <w:sz w:val="28"/>
          <w:szCs w:val="20"/>
          <w:highlight w:val="none"/>
        </w:rPr>
        <w:t xml:space="preserve">我单位公开竞争性比选的 </w:t>
      </w:r>
      <w:r>
        <w:rPr>
          <w:rFonts w:hint="eastAsia" w:ascii="仿宋" w:hAnsi="仿宋" w:eastAsia="仿宋" w:cs="仿宋"/>
          <w:bCs/>
          <w:sz w:val="28"/>
          <w:szCs w:val="20"/>
          <w:highlight w:val="none"/>
          <w:u w:val="single"/>
        </w:rPr>
        <w:t xml:space="preserve">    （项目名称）    </w:t>
      </w:r>
      <w:r>
        <w:rPr>
          <w:rFonts w:hint="eastAsia" w:ascii="仿宋" w:hAnsi="仿宋" w:eastAsia="仿宋" w:cs="仿宋"/>
          <w:sz w:val="28"/>
          <w:szCs w:val="20"/>
          <w:highlight w:val="none"/>
        </w:rPr>
        <w:t>于</w:t>
      </w:r>
      <w:r>
        <w:rPr>
          <w:rFonts w:hint="eastAsia" w:ascii="仿宋" w:hAnsi="仿宋" w:eastAsia="仿宋" w:cs="仿宋"/>
          <w:bCs/>
          <w:sz w:val="28"/>
          <w:szCs w:val="20"/>
          <w:highlight w:val="none"/>
          <w:u w:val="single"/>
        </w:rPr>
        <w:t xml:space="preserve">    </w:t>
      </w:r>
      <w:r>
        <w:rPr>
          <w:rFonts w:hint="eastAsia" w:ascii="仿宋" w:hAnsi="仿宋" w:eastAsia="仿宋" w:cs="仿宋"/>
          <w:sz w:val="28"/>
          <w:szCs w:val="20"/>
          <w:highlight w:val="none"/>
        </w:rPr>
        <w:t>年</w:t>
      </w:r>
      <w:r>
        <w:rPr>
          <w:rFonts w:hint="eastAsia" w:ascii="仿宋" w:hAnsi="仿宋" w:eastAsia="仿宋" w:cs="仿宋"/>
          <w:bCs/>
          <w:sz w:val="28"/>
          <w:szCs w:val="20"/>
          <w:highlight w:val="none"/>
          <w:u w:val="single"/>
        </w:rPr>
        <w:t xml:space="preserve">    </w:t>
      </w:r>
      <w:r>
        <w:rPr>
          <w:rFonts w:hint="eastAsia" w:ascii="仿宋" w:hAnsi="仿宋" w:eastAsia="仿宋" w:cs="仿宋"/>
          <w:sz w:val="28"/>
          <w:szCs w:val="20"/>
          <w:highlight w:val="none"/>
        </w:rPr>
        <w:t>月</w:t>
      </w:r>
      <w:r>
        <w:rPr>
          <w:rFonts w:hint="eastAsia" w:ascii="仿宋" w:hAnsi="仿宋" w:eastAsia="仿宋" w:cs="仿宋"/>
          <w:bCs/>
          <w:sz w:val="28"/>
          <w:szCs w:val="20"/>
          <w:highlight w:val="none"/>
          <w:u w:val="single"/>
        </w:rPr>
        <w:t xml:space="preserve">    </w:t>
      </w:r>
      <w:r>
        <w:rPr>
          <w:rFonts w:hint="eastAsia" w:ascii="仿宋" w:hAnsi="仿宋" w:eastAsia="仿宋" w:cs="仿宋"/>
          <w:sz w:val="28"/>
          <w:szCs w:val="20"/>
          <w:highlight w:val="none"/>
        </w:rPr>
        <w:t>日开标，经评标委员会评定，确定你单位为中标人，中标额为（大写）</w:t>
      </w:r>
      <w:r>
        <w:rPr>
          <w:rFonts w:hint="eastAsia" w:ascii="仿宋" w:hAnsi="仿宋" w:eastAsia="仿宋" w:cs="仿宋"/>
          <w:sz w:val="28"/>
          <w:szCs w:val="20"/>
          <w:highlight w:val="none"/>
          <w:u w:val="single"/>
        </w:rPr>
        <w:t xml:space="preserve">        </w:t>
      </w:r>
      <w:r>
        <w:rPr>
          <w:rFonts w:hint="eastAsia" w:ascii="仿宋" w:hAnsi="仿宋" w:eastAsia="仿宋" w:cs="仿宋"/>
          <w:sz w:val="28"/>
          <w:szCs w:val="20"/>
          <w:highlight w:val="none"/>
        </w:rPr>
        <w:t>，</w:t>
      </w:r>
      <w:r>
        <w:rPr>
          <w:rFonts w:hint="eastAsia" w:ascii="仿宋" w:hAnsi="仿宋" w:eastAsia="仿宋" w:cs="仿宋"/>
          <w:bCs/>
          <w:sz w:val="28"/>
          <w:szCs w:val="20"/>
          <w:highlight w:val="none"/>
          <w:u w:val="single"/>
        </w:rPr>
        <w:t xml:space="preserve">￥       </w:t>
      </w:r>
      <w:r>
        <w:rPr>
          <w:rFonts w:hint="eastAsia" w:ascii="仿宋" w:hAnsi="仿宋" w:eastAsia="仿宋" w:cs="仿宋"/>
          <w:sz w:val="28"/>
          <w:szCs w:val="20"/>
          <w:highlight w:val="none"/>
        </w:rPr>
        <w:t>。中标范围：</w:t>
      </w:r>
      <w:r>
        <w:rPr>
          <w:rFonts w:hint="eastAsia" w:ascii="仿宋" w:hAnsi="仿宋" w:eastAsia="仿宋" w:cs="仿宋"/>
          <w:bCs/>
          <w:sz w:val="28"/>
          <w:szCs w:val="20"/>
          <w:highlight w:val="none"/>
          <w:u w:val="single"/>
        </w:rPr>
        <w:t xml:space="preserve">     </w:t>
      </w:r>
      <w:r>
        <w:rPr>
          <w:rFonts w:hint="eastAsia" w:ascii="仿宋" w:hAnsi="仿宋" w:eastAsia="仿宋" w:cs="仿宋"/>
          <w:sz w:val="28"/>
          <w:szCs w:val="20"/>
          <w:highlight w:val="none"/>
        </w:rPr>
        <w:t xml:space="preserve">，规模为 </w:t>
      </w:r>
      <w:r>
        <w:rPr>
          <w:rFonts w:hint="eastAsia" w:ascii="仿宋" w:hAnsi="仿宋" w:eastAsia="仿宋" w:cs="仿宋"/>
          <w:bCs/>
          <w:sz w:val="28"/>
          <w:szCs w:val="20"/>
          <w:highlight w:val="none"/>
          <w:u w:val="single"/>
        </w:rPr>
        <w:t xml:space="preserve">      </w:t>
      </w:r>
      <w:r>
        <w:rPr>
          <w:rFonts w:hint="eastAsia" w:ascii="仿宋" w:hAnsi="仿宋" w:eastAsia="仿宋" w:cs="仿宋"/>
          <w:sz w:val="28"/>
          <w:szCs w:val="20"/>
          <w:highlight w:val="none"/>
        </w:rPr>
        <w:t xml:space="preserve">，中标服务期 </w:t>
      </w:r>
      <w:r>
        <w:rPr>
          <w:rFonts w:hint="eastAsia" w:ascii="仿宋" w:hAnsi="仿宋" w:eastAsia="仿宋" w:cs="仿宋"/>
          <w:bCs/>
          <w:sz w:val="28"/>
          <w:szCs w:val="20"/>
          <w:highlight w:val="none"/>
          <w:u w:val="single"/>
        </w:rPr>
        <w:t xml:space="preserve">      </w:t>
      </w:r>
      <w:r>
        <w:rPr>
          <w:rFonts w:hint="eastAsia" w:ascii="仿宋" w:hAnsi="仿宋" w:eastAsia="仿宋" w:cs="仿宋"/>
          <w:sz w:val="28"/>
          <w:szCs w:val="20"/>
          <w:highlight w:val="none"/>
          <w:u w:val="single"/>
        </w:rPr>
        <w:t>日历天</w:t>
      </w:r>
      <w:r>
        <w:rPr>
          <w:rFonts w:hint="eastAsia" w:ascii="仿宋" w:hAnsi="仿宋" w:eastAsia="仿宋" w:cs="仿宋"/>
          <w:sz w:val="28"/>
          <w:szCs w:val="20"/>
          <w:highlight w:val="none"/>
        </w:rPr>
        <w:t>，质量要求：</w:t>
      </w:r>
      <w:r>
        <w:rPr>
          <w:rFonts w:hint="eastAsia" w:ascii="仿宋" w:hAnsi="仿宋" w:eastAsia="仿宋" w:cs="仿宋"/>
          <w:sz w:val="28"/>
          <w:szCs w:val="20"/>
          <w:highlight w:val="none"/>
          <w:u w:val="single"/>
        </w:rPr>
        <w:t xml:space="preserve">              </w:t>
      </w:r>
      <w:r>
        <w:rPr>
          <w:rFonts w:hint="eastAsia" w:ascii="仿宋" w:hAnsi="仿宋" w:eastAsia="仿宋" w:cs="仿宋"/>
          <w:sz w:val="28"/>
          <w:szCs w:val="20"/>
          <w:highlight w:val="none"/>
        </w:rPr>
        <w:t xml:space="preserve"> 。</w:t>
      </w:r>
    </w:p>
    <w:p w14:paraId="609AF2B5">
      <w:pPr>
        <w:spacing w:line="360" w:lineRule="auto"/>
        <w:ind w:firstLine="560" w:firstLineChars="200"/>
        <w:rPr>
          <w:rFonts w:hint="eastAsia" w:ascii="仿宋" w:hAnsi="仿宋" w:eastAsia="仿宋" w:cs="仿宋"/>
          <w:sz w:val="28"/>
          <w:szCs w:val="20"/>
          <w:highlight w:val="none"/>
        </w:rPr>
      </w:pPr>
      <w:r>
        <w:rPr>
          <w:rFonts w:hint="eastAsia" w:ascii="仿宋" w:hAnsi="仿宋" w:eastAsia="仿宋" w:cs="仿宋"/>
          <w:sz w:val="28"/>
          <w:szCs w:val="20"/>
          <w:highlight w:val="none"/>
        </w:rPr>
        <w:t xml:space="preserve">你单位收到中标通知书后，在 </w:t>
      </w:r>
      <w:r>
        <w:rPr>
          <w:rFonts w:hint="eastAsia" w:ascii="仿宋" w:hAnsi="仿宋" w:eastAsia="仿宋" w:cs="仿宋"/>
          <w:bCs/>
          <w:sz w:val="28"/>
          <w:szCs w:val="20"/>
          <w:highlight w:val="none"/>
          <w:u w:val="single"/>
        </w:rPr>
        <w:t xml:space="preserve">          </w:t>
      </w:r>
      <w:r>
        <w:rPr>
          <w:rFonts w:hint="eastAsia" w:ascii="仿宋" w:hAnsi="仿宋" w:eastAsia="仿宋" w:cs="仿宋"/>
          <w:sz w:val="28"/>
          <w:szCs w:val="20"/>
          <w:highlight w:val="none"/>
        </w:rPr>
        <w:t>日内到我单位签订服务合同。</w:t>
      </w:r>
    </w:p>
    <w:p w14:paraId="335DF7AD">
      <w:pPr>
        <w:spacing w:line="360" w:lineRule="auto"/>
        <w:ind w:firstLine="560" w:firstLineChars="200"/>
        <w:rPr>
          <w:rFonts w:hint="eastAsia" w:ascii="仿宋" w:hAnsi="仿宋" w:eastAsia="仿宋" w:cs="仿宋"/>
          <w:sz w:val="28"/>
          <w:szCs w:val="20"/>
          <w:highlight w:val="none"/>
        </w:rPr>
      </w:pPr>
      <w:r>
        <w:rPr>
          <w:rFonts w:hint="eastAsia" w:ascii="仿宋" w:hAnsi="仿宋" w:eastAsia="仿宋" w:cs="仿宋"/>
          <w:sz w:val="28"/>
          <w:szCs w:val="20"/>
          <w:highlight w:val="none"/>
        </w:rPr>
        <w:t>特此通知。</w:t>
      </w:r>
    </w:p>
    <w:p w14:paraId="36F36D3B">
      <w:pPr>
        <w:spacing w:line="480" w:lineRule="auto"/>
        <w:rPr>
          <w:rFonts w:hint="eastAsia" w:ascii="仿宋" w:hAnsi="仿宋" w:eastAsia="仿宋" w:cs="仿宋"/>
          <w:sz w:val="22"/>
          <w:szCs w:val="28"/>
          <w:highlight w:val="none"/>
        </w:rPr>
      </w:pPr>
    </w:p>
    <w:p w14:paraId="33B251EB">
      <w:pPr>
        <w:spacing w:line="480" w:lineRule="auto"/>
        <w:jc w:val="left"/>
        <w:rPr>
          <w:rFonts w:hint="eastAsia" w:ascii="仿宋" w:hAnsi="仿宋" w:eastAsia="仿宋" w:cs="仿宋"/>
          <w:sz w:val="28"/>
          <w:szCs w:val="20"/>
          <w:highlight w:val="none"/>
        </w:rPr>
      </w:pPr>
      <w:r>
        <w:rPr>
          <w:rFonts w:hint="eastAsia" w:ascii="仿宋" w:hAnsi="仿宋" w:eastAsia="仿宋" w:cs="仿宋"/>
          <w:sz w:val="22"/>
          <w:szCs w:val="28"/>
          <w:highlight w:val="none"/>
        </w:rPr>
        <w:t xml:space="preserve">                             </w:t>
      </w:r>
      <w:r>
        <w:rPr>
          <w:rFonts w:hint="eastAsia" w:ascii="仿宋" w:hAnsi="仿宋" w:eastAsia="仿宋" w:cs="仿宋"/>
          <w:sz w:val="28"/>
          <w:szCs w:val="20"/>
          <w:highlight w:val="none"/>
        </w:rPr>
        <w:t>招标人</w:t>
      </w:r>
      <w:r>
        <w:rPr>
          <w:rFonts w:hint="eastAsia" w:ascii="仿宋" w:hAnsi="仿宋" w:eastAsia="仿宋" w:cs="仿宋"/>
          <w:snapToGrid w:val="0"/>
          <w:sz w:val="28"/>
          <w:szCs w:val="20"/>
          <w:highlight w:val="none"/>
        </w:rPr>
        <w:t>：</w:t>
      </w:r>
      <w:r>
        <w:rPr>
          <w:rFonts w:hint="eastAsia" w:ascii="仿宋" w:hAnsi="仿宋" w:eastAsia="仿宋" w:cs="仿宋"/>
          <w:sz w:val="28"/>
          <w:szCs w:val="20"/>
          <w:highlight w:val="none"/>
          <w:u w:val="single"/>
        </w:rPr>
        <w:t xml:space="preserve">                 </w:t>
      </w:r>
      <w:r>
        <w:rPr>
          <w:rFonts w:hint="eastAsia" w:ascii="仿宋" w:hAnsi="仿宋" w:eastAsia="仿宋" w:cs="仿宋"/>
          <w:sz w:val="28"/>
          <w:szCs w:val="20"/>
          <w:highlight w:val="none"/>
        </w:rPr>
        <w:t>（</w:t>
      </w:r>
      <w:r>
        <w:rPr>
          <w:rFonts w:hint="eastAsia" w:ascii="仿宋" w:hAnsi="仿宋" w:eastAsia="仿宋" w:cs="仿宋"/>
          <w:snapToGrid w:val="0"/>
          <w:sz w:val="28"/>
          <w:szCs w:val="20"/>
          <w:highlight w:val="none"/>
        </w:rPr>
        <w:t>盖单位法人章</w:t>
      </w:r>
      <w:r>
        <w:rPr>
          <w:rFonts w:hint="eastAsia" w:ascii="仿宋" w:hAnsi="仿宋" w:eastAsia="仿宋" w:cs="仿宋"/>
          <w:sz w:val="28"/>
          <w:szCs w:val="20"/>
          <w:highlight w:val="none"/>
        </w:rPr>
        <w:t>）</w:t>
      </w:r>
    </w:p>
    <w:p w14:paraId="5AFD63E9">
      <w:pPr>
        <w:spacing w:line="480" w:lineRule="auto"/>
        <w:jc w:val="left"/>
        <w:rPr>
          <w:rFonts w:hint="eastAsia" w:ascii="仿宋" w:hAnsi="仿宋" w:eastAsia="仿宋" w:cs="仿宋"/>
          <w:sz w:val="28"/>
          <w:szCs w:val="20"/>
          <w:highlight w:val="none"/>
        </w:rPr>
      </w:pPr>
      <w:r>
        <w:rPr>
          <w:rFonts w:hint="eastAsia" w:ascii="仿宋" w:hAnsi="仿宋" w:eastAsia="仿宋" w:cs="仿宋"/>
          <w:sz w:val="28"/>
          <w:szCs w:val="20"/>
          <w:highlight w:val="none"/>
        </w:rPr>
        <w:t xml:space="preserve">                       法定代表人</w:t>
      </w:r>
      <w:r>
        <w:rPr>
          <w:rFonts w:hint="eastAsia" w:ascii="仿宋" w:hAnsi="仿宋" w:eastAsia="仿宋" w:cs="仿宋"/>
          <w:snapToGrid w:val="0"/>
          <w:sz w:val="28"/>
          <w:szCs w:val="20"/>
          <w:highlight w:val="none"/>
        </w:rPr>
        <w:t>：</w:t>
      </w:r>
      <w:r>
        <w:rPr>
          <w:rFonts w:hint="eastAsia" w:ascii="仿宋" w:hAnsi="仿宋" w:eastAsia="仿宋" w:cs="仿宋"/>
          <w:sz w:val="28"/>
          <w:szCs w:val="20"/>
          <w:highlight w:val="none"/>
          <w:u w:val="single"/>
        </w:rPr>
        <w:t xml:space="preserve">           </w:t>
      </w:r>
      <w:r>
        <w:rPr>
          <w:rFonts w:hint="eastAsia" w:ascii="仿宋" w:hAnsi="仿宋" w:eastAsia="仿宋" w:cs="仿宋"/>
          <w:sz w:val="28"/>
          <w:szCs w:val="20"/>
          <w:highlight w:val="none"/>
        </w:rPr>
        <w:t>（签名或盖章）</w:t>
      </w:r>
    </w:p>
    <w:p w14:paraId="45EEBCAF">
      <w:pPr>
        <w:spacing w:line="480" w:lineRule="auto"/>
        <w:jc w:val="left"/>
        <w:rPr>
          <w:rFonts w:hint="eastAsia" w:ascii="仿宋" w:hAnsi="仿宋" w:eastAsia="仿宋" w:cs="仿宋"/>
          <w:sz w:val="28"/>
          <w:szCs w:val="20"/>
          <w:highlight w:val="none"/>
          <w:u w:val="single"/>
        </w:rPr>
      </w:pPr>
      <w:r>
        <w:rPr>
          <w:rFonts w:hint="eastAsia" w:ascii="仿宋" w:hAnsi="仿宋" w:eastAsia="仿宋" w:cs="仿宋"/>
          <w:szCs w:val="21"/>
          <w:highlight w:val="none"/>
        </w:rPr>
        <w:t xml:space="preserve">                 </w:t>
      </w:r>
      <w:r>
        <w:rPr>
          <w:rFonts w:hint="eastAsia" w:ascii="仿宋" w:hAnsi="仿宋" w:eastAsia="仿宋" w:cs="仿宋"/>
          <w:sz w:val="40"/>
          <w:szCs w:val="24"/>
          <w:highlight w:val="none"/>
        </w:rPr>
        <w:t xml:space="preserve">  </w:t>
      </w:r>
      <w:r>
        <w:rPr>
          <w:rFonts w:hint="eastAsia" w:ascii="仿宋" w:hAnsi="仿宋" w:eastAsia="仿宋" w:cs="仿宋"/>
          <w:sz w:val="28"/>
          <w:szCs w:val="20"/>
          <w:highlight w:val="none"/>
        </w:rPr>
        <w:t xml:space="preserve"> 联系人</w:t>
      </w:r>
      <w:r>
        <w:rPr>
          <w:rFonts w:hint="eastAsia" w:ascii="仿宋" w:hAnsi="仿宋" w:eastAsia="仿宋" w:cs="仿宋"/>
          <w:snapToGrid w:val="0"/>
          <w:sz w:val="28"/>
          <w:szCs w:val="20"/>
          <w:highlight w:val="none"/>
        </w:rPr>
        <w:t>：</w:t>
      </w:r>
      <w:r>
        <w:rPr>
          <w:rFonts w:hint="eastAsia" w:ascii="仿宋" w:hAnsi="仿宋" w:eastAsia="仿宋" w:cs="仿宋"/>
          <w:sz w:val="28"/>
          <w:szCs w:val="20"/>
          <w:highlight w:val="none"/>
          <w:u w:val="single"/>
        </w:rPr>
        <w:t xml:space="preserve">                       </w:t>
      </w:r>
    </w:p>
    <w:p w14:paraId="72C953A6">
      <w:pPr>
        <w:spacing w:line="480" w:lineRule="auto"/>
        <w:jc w:val="left"/>
        <w:rPr>
          <w:rFonts w:hint="eastAsia" w:ascii="仿宋" w:hAnsi="仿宋" w:eastAsia="仿宋" w:cs="仿宋"/>
          <w:sz w:val="28"/>
          <w:szCs w:val="20"/>
          <w:highlight w:val="none"/>
        </w:rPr>
      </w:pPr>
      <w:r>
        <w:rPr>
          <w:rFonts w:hint="eastAsia" w:ascii="仿宋" w:hAnsi="仿宋" w:eastAsia="仿宋" w:cs="仿宋"/>
          <w:sz w:val="28"/>
          <w:szCs w:val="20"/>
          <w:highlight w:val="none"/>
        </w:rPr>
        <w:t xml:space="preserve">                        联系电话</w:t>
      </w:r>
      <w:r>
        <w:rPr>
          <w:rFonts w:hint="eastAsia" w:ascii="仿宋" w:hAnsi="仿宋" w:eastAsia="仿宋" w:cs="仿宋"/>
          <w:snapToGrid w:val="0"/>
          <w:sz w:val="28"/>
          <w:szCs w:val="20"/>
          <w:highlight w:val="none"/>
        </w:rPr>
        <w:t>：</w:t>
      </w:r>
      <w:r>
        <w:rPr>
          <w:rFonts w:hint="eastAsia" w:ascii="仿宋" w:hAnsi="仿宋" w:eastAsia="仿宋" w:cs="仿宋"/>
          <w:sz w:val="28"/>
          <w:szCs w:val="20"/>
          <w:highlight w:val="none"/>
          <w:u w:val="single"/>
        </w:rPr>
        <w:t xml:space="preserve">                        </w:t>
      </w:r>
    </w:p>
    <w:p w14:paraId="309AEB7C">
      <w:pPr>
        <w:spacing w:line="480" w:lineRule="auto"/>
        <w:jc w:val="right"/>
        <w:rPr>
          <w:rFonts w:hint="eastAsia" w:ascii="仿宋" w:hAnsi="仿宋" w:eastAsia="仿宋" w:cs="仿宋"/>
          <w:sz w:val="28"/>
          <w:szCs w:val="20"/>
          <w:highlight w:val="none"/>
        </w:rPr>
      </w:pPr>
      <w:r>
        <w:rPr>
          <w:rFonts w:hint="eastAsia" w:ascii="仿宋" w:hAnsi="仿宋" w:eastAsia="仿宋" w:cs="仿宋"/>
          <w:sz w:val="28"/>
          <w:szCs w:val="20"/>
          <w:highlight w:val="none"/>
        </w:rPr>
        <w:t xml:space="preserve">                签发日期</w:t>
      </w:r>
      <w:r>
        <w:rPr>
          <w:rFonts w:hint="eastAsia" w:ascii="仿宋" w:hAnsi="仿宋" w:eastAsia="仿宋" w:cs="仿宋"/>
          <w:snapToGrid w:val="0"/>
          <w:sz w:val="28"/>
          <w:szCs w:val="20"/>
          <w:highlight w:val="none"/>
        </w:rPr>
        <w:t>：</w:t>
      </w:r>
      <w:r>
        <w:rPr>
          <w:rFonts w:hint="eastAsia" w:ascii="仿宋" w:hAnsi="仿宋" w:eastAsia="仿宋" w:cs="仿宋"/>
          <w:sz w:val="28"/>
          <w:szCs w:val="20"/>
          <w:highlight w:val="none"/>
          <w:u w:val="single"/>
        </w:rPr>
        <w:t xml:space="preserve">        </w:t>
      </w:r>
      <w:r>
        <w:rPr>
          <w:rFonts w:hint="eastAsia" w:ascii="仿宋" w:hAnsi="仿宋" w:eastAsia="仿宋" w:cs="仿宋"/>
          <w:sz w:val="28"/>
          <w:szCs w:val="20"/>
          <w:highlight w:val="none"/>
        </w:rPr>
        <w:t>年</w:t>
      </w:r>
      <w:r>
        <w:rPr>
          <w:rFonts w:hint="eastAsia" w:ascii="仿宋" w:hAnsi="仿宋" w:eastAsia="仿宋" w:cs="仿宋"/>
          <w:sz w:val="28"/>
          <w:szCs w:val="20"/>
          <w:highlight w:val="none"/>
          <w:u w:val="single"/>
        </w:rPr>
        <w:t xml:space="preserve">     </w:t>
      </w:r>
      <w:r>
        <w:rPr>
          <w:rFonts w:hint="eastAsia" w:ascii="仿宋" w:hAnsi="仿宋" w:eastAsia="仿宋" w:cs="仿宋"/>
          <w:sz w:val="28"/>
          <w:szCs w:val="20"/>
          <w:highlight w:val="none"/>
        </w:rPr>
        <w:t>月</w:t>
      </w:r>
      <w:r>
        <w:rPr>
          <w:rFonts w:hint="eastAsia" w:ascii="仿宋" w:hAnsi="仿宋" w:eastAsia="仿宋" w:cs="仿宋"/>
          <w:sz w:val="28"/>
          <w:szCs w:val="20"/>
          <w:highlight w:val="none"/>
          <w:u w:val="single"/>
        </w:rPr>
        <w:t xml:space="preserve">     </w:t>
      </w:r>
      <w:r>
        <w:rPr>
          <w:rFonts w:hint="eastAsia" w:ascii="仿宋" w:hAnsi="仿宋" w:eastAsia="仿宋" w:cs="仿宋"/>
          <w:sz w:val="28"/>
          <w:szCs w:val="20"/>
          <w:highlight w:val="none"/>
        </w:rPr>
        <w:t>日</w:t>
      </w:r>
    </w:p>
    <w:p w14:paraId="4248C857">
      <w:pPr>
        <w:pStyle w:val="2"/>
        <w:spacing w:line="360" w:lineRule="auto"/>
        <w:jc w:val="center"/>
        <w:rPr>
          <w:rFonts w:hint="eastAsia" w:ascii="仿宋" w:hAnsi="仿宋" w:eastAsia="仿宋" w:cs="仿宋"/>
          <w:snapToGrid w:val="0"/>
          <w:kern w:val="0"/>
          <w:sz w:val="30"/>
          <w:szCs w:val="30"/>
          <w:highlight w:val="none"/>
        </w:rPr>
      </w:pPr>
      <w:r>
        <w:rPr>
          <w:rFonts w:hint="eastAsia" w:ascii="仿宋" w:hAnsi="仿宋" w:eastAsia="仿宋" w:cs="仿宋"/>
          <w:snapToGrid w:val="0"/>
          <w:kern w:val="0"/>
          <w:sz w:val="32"/>
          <w:highlight w:val="none"/>
        </w:rPr>
        <w:br w:type="page"/>
      </w:r>
      <w:bookmarkStart w:id="457" w:name="_Toc26150"/>
      <w:r>
        <w:rPr>
          <w:rFonts w:hint="eastAsia" w:ascii="仿宋" w:hAnsi="仿宋" w:eastAsia="仿宋" w:cs="仿宋"/>
          <w:kern w:val="0"/>
          <w:sz w:val="36"/>
          <w:szCs w:val="36"/>
          <w:highlight w:val="none"/>
        </w:rPr>
        <w:t>第三章  评选办法（综合评分办法）</w:t>
      </w:r>
      <w:bookmarkEnd w:id="447"/>
      <w:bookmarkEnd w:id="448"/>
      <w:bookmarkEnd w:id="449"/>
      <w:bookmarkEnd w:id="457"/>
    </w:p>
    <w:p w14:paraId="7D3A98B4">
      <w:pPr>
        <w:pStyle w:val="3"/>
        <w:spacing w:before="0" w:after="0" w:line="360" w:lineRule="auto"/>
        <w:jc w:val="center"/>
        <w:rPr>
          <w:rFonts w:hint="eastAsia" w:ascii="仿宋" w:hAnsi="仿宋" w:eastAsia="仿宋" w:cs="仿宋"/>
          <w:highlight w:val="none"/>
        </w:rPr>
      </w:pPr>
      <w:bookmarkStart w:id="458" w:name="_Toc325"/>
      <w:bookmarkStart w:id="459" w:name="_Toc509218775"/>
      <w:bookmarkStart w:id="460" w:name="_Toc25306"/>
      <w:bookmarkStart w:id="461" w:name="_Toc9915"/>
      <w:bookmarkStart w:id="462" w:name="_Toc9191"/>
      <w:bookmarkStart w:id="463" w:name="_Toc1327"/>
      <w:r>
        <w:rPr>
          <w:rFonts w:hint="eastAsia" w:ascii="仿宋" w:hAnsi="仿宋" w:eastAsia="仿宋" w:cs="仿宋"/>
          <w:highlight w:val="none"/>
        </w:rPr>
        <w:t>评标办法前附表</w:t>
      </w:r>
      <w:bookmarkEnd w:id="458"/>
      <w:bookmarkEnd w:id="459"/>
      <w:bookmarkEnd w:id="460"/>
      <w:bookmarkEnd w:id="461"/>
    </w:p>
    <w:p w14:paraId="4C012F32">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评标办法中的评审内容必须和比选申请人须知中的对应内容一致，若比选申请人须知中未作要求的内容，不得列入评标办法作为评定依据。</w:t>
      </w:r>
    </w:p>
    <w:tbl>
      <w:tblPr>
        <w:tblStyle w:val="24"/>
        <w:tblW w:w="988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1144"/>
        <w:gridCol w:w="448"/>
        <w:gridCol w:w="1894"/>
        <w:gridCol w:w="5586"/>
      </w:tblGrid>
      <w:tr w14:paraId="167358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952" w:type="dxa"/>
            <w:gridSpan w:val="2"/>
            <w:vAlign w:val="center"/>
          </w:tcPr>
          <w:p w14:paraId="647C6A1A">
            <w:pPr>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2342" w:type="dxa"/>
            <w:gridSpan w:val="2"/>
            <w:vAlign w:val="center"/>
          </w:tcPr>
          <w:p w14:paraId="13FF5897">
            <w:pPr>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评审因素</w:t>
            </w:r>
          </w:p>
        </w:tc>
        <w:tc>
          <w:tcPr>
            <w:tcW w:w="5586" w:type="dxa"/>
            <w:vAlign w:val="center"/>
          </w:tcPr>
          <w:p w14:paraId="45F656F9">
            <w:pPr>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评审标准</w:t>
            </w:r>
          </w:p>
        </w:tc>
      </w:tr>
      <w:tr w14:paraId="489122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18" w:hRule="atLeast"/>
          <w:jc w:val="center"/>
        </w:trPr>
        <w:tc>
          <w:tcPr>
            <w:tcW w:w="808" w:type="dxa"/>
            <w:tcBorders>
              <w:right w:val="single" w:color="auto" w:sz="4" w:space="0"/>
            </w:tcBorders>
            <w:vAlign w:val="center"/>
          </w:tcPr>
          <w:p w14:paraId="620AF916">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144" w:type="dxa"/>
            <w:tcBorders>
              <w:left w:val="single" w:color="auto" w:sz="4" w:space="0"/>
            </w:tcBorders>
            <w:vAlign w:val="center"/>
          </w:tcPr>
          <w:p w14:paraId="5A029E0D">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评标办法</w:t>
            </w:r>
          </w:p>
        </w:tc>
        <w:tc>
          <w:tcPr>
            <w:tcW w:w="2342" w:type="dxa"/>
            <w:gridSpan w:val="2"/>
            <w:vAlign w:val="center"/>
          </w:tcPr>
          <w:p w14:paraId="3176497E">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中标候选人排序方法</w:t>
            </w:r>
          </w:p>
        </w:tc>
        <w:tc>
          <w:tcPr>
            <w:tcW w:w="5586" w:type="dxa"/>
            <w:vAlign w:val="center"/>
          </w:tcPr>
          <w:p w14:paraId="21EE286A">
            <w:pPr>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本次评标采用综合评估法，评标委员会按照本章第 2.2 款规定的评分标准进行评分，按得分由高到低顺序推荐中标候选人，或根据招标人授权直接确定中标人。综合评分相等时，以技术部分得分高的优先；技术部分得分相等的，以商务部分得分高的优先；商务部分得分也相等的，由评标委员会按照</w:t>
            </w:r>
            <w:r>
              <w:rPr>
                <w:rFonts w:hint="eastAsia" w:ascii="仿宋" w:hAnsi="仿宋" w:eastAsia="仿宋" w:cs="仿宋"/>
                <w:sz w:val="24"/>
                <w:szCs w:val="24"/>
                <w:highlight w:val="none"/>
                <w:u w:val="single"/>
              </w:rPr>
              <w:t xml:space="preserve">  报价最低 </w:t>
            </w:r>
            <w:r>
              <w:rPr>
                <w:rFonts w:hint="eastAsia" w:ascii="仿宋" w:hAnsi="仿宋" w:eastAsia="仿宋" w:cs="仿宋"/>
                <w:sz w:val="24"/>
                <w:szCs w:val="24"/>
                <w:highlight w:val="none"/>
              </w:rPr>
              <w:t>原则排序。</w:t>
            </w:r>
          </w:p>
        </w:tc>
      </w:tr>
      <w:tr w14:paraId="766BEE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restart"/>
            <w:tcBorders>
              <w:right w:val="single" w:color="auto" w:sz="4" w:space="0"/>
            </w:tcBorders>
            <w:vAlign w:val="center"/>
          </w:tcPr>
          <w:p w14:paraId="02E49677">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2.1.1</w:t>
            </w:r>
          </w:p>
        </w:tc>
        <w:tc>
          <w:tcPr>
            <w:tcW w:w="1144" w:type="dxa"/>
            <w:vMerge w:val="restart"/>
            <w:tcBorders>
              <w:right w:val="single" w:color="auto" w:sz="4" w:space="0"/>
            </w:tcBorders>
            <w:vAlign w:val="center"/>
          </w:tcPr>
          <w:p w14:paraId="166CF52D">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资格评审标准</w:t>
            </w:r>
          </w:p>
        </w:tc>
        <w:tc>
          <w:tcPr>
            <w:tcW w:w="2342" w:type="dxa"/>
            <w:gridSpan w:val="2"/>
            <w:tcBorders>
              <w:left w:val="single" w:color="auto" w:sz="4" w:space="0"/>
            </w:tcBorders>
            <w:vAlign w:val="center"/>
          </w:tcPr>
          <w:p w14:paraId="6D067DB0">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资质要求</w:t>
            </w:r>
          </w:p>
        </w:tc>
        <w:tc>
          <w:tcPr>
            <w:tcW w:w="5586" w:type="dxa"/>
            <w:vAlign w:val="center"/>
          </w:tcPr>
          <w:p w14:paraId="2D10BE94">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符合第二章“比选申请人须知”第1.4.1项规定</w:t>
            </w:r>
          </w:p>
        </w:tc>
      </w:tr>
      <w:tr w14:paraId="328F3D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259B7B4D">
            <w:pPr>
              <w:spacing w:line="400" w:lineRule="exact"/>
              <w:jc w:val="center"/>
              <w:rPr>
                <w:rFonts w:hint="eastAsia" w:ascii="仿宋" w:hAnsi="仿宋" w:eastAsia="仿宋" w:cs="仿宋"/>
                <w:sz w:val="24"/>
                <w:szCs w:val="24"/>
                <w:highlight w:val="none"/>
              </w:rPr>
            </w:pPr>
          </w:p>
        </w:tc>
        <w:tc>
          <w:tcPr>
            <w:tcW w:w="1144" w:type="dxa"/>
            <w:vMerge w:val="continue"/>
            <w:tcBorders>
              <w:right w:val="single" w:color="auto" w:sz="4" w:space="0"/>
            </w:tcBorders>
          </w:tcPr>
          <w:p w14:paraId="58D5F0A5">
            <w:pPr>
              <w:spacing w:line="400" w:lineRule="exact"/>
              <w:jc w:val="center"/>
              <w:rPr>
                <w:rFonts w:hint="eastAsia" w:ascii="仿宋" w:hAnsi="仿宋" w:eastAsia="仿宋" w:cs="仿宋"/>
                <w:sz w:val="24"/>
                <w:szCs w:val="24"/>
                <w:highlight w:val="none"/>
              </w:rPr>
            </w:pPr>
          </w:p>
        </w:tc>
        <w:tc>
          <w:tcPr>
            <w:tcW w:w="2342" w:type="dxa"/>
            <w:gridSpan w:val="2"/>
            <w:tcBorders>
              <w:left w:val="single" w:color="auto" w:sz="4" w:space="0"/>
            </w:tcBorders>
          </w:tcPr>
          <w:p w14:paraId="227DC236">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独立法人资格</w:t>
            </w:r>
          </w:p>
        </w:tc>
        <w:tc>
          <w:tcPr>
            <w:tcW w:w="5586" w:type="dxa"/>
            <w:vAlign w:val="center"/>
          </w:tcPr>
          <w:p w14:paraId="4D90440B">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符合第二章“比选申请人须知”第1.4.1项规定</w:t>
            </w:r>
          </w:p>
        </w:tc>
      </w:tr>
      <w:tr w14:paraId="4165A5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808" w:type="dxa"/>
            <w:vMerge w:val="continue"/>
            <w:tcBorders>
              <w:right w:val="single" w:color="auto" w:sz="4" w:space="0"/>
            </w:tcBorders>
          </w:tcPr>
          <w:p w14:paraId="3C2BBA40">
            <w:pPr>
              <w:spacing w:line="400" w:lineRule="exact"/>
              <w:jc w:val="center"/>
              <w:rPr>
                <w:rFonts w:hint="eastAsia" w:ascii="仿宋" w:hAnsi="仿宋" w:eastAsia="仿宋" w:cs="仿宋"/>
                <w:sz w:val="24"/>
                <w:szCs w:val="24"/>
                <w:highlight w:val="none"/>
              </w:rPr>
            </w:pPr>
          </w:p>
        </w:tc>
        <w:tc>
          <w:tcPr>
            <w:tcW w:w="1144" w:type="dxa"/>
            <w:vMerge w:val="continue"/>
            <w:tcBorders>
              <w:right w:val="single" w:color="auto" w:sz="4" w:space="0"/>
            </w:tcBorders>
          </w:tcPr>
          <w:p w14:paraId="7494F23A">
            <w:pPr>
              <w:spacing w:line="400" w:lineRule="exact"/>
              <w:jc w:val="center"/>
              <w:rPr>
                <w:rFonts w:hint="eastAsia" w:ascii="仿宋" w:hAnsi="仿宋" w:eastAsia="仿宋" w:cs="仿宋"/>
                <w:sz w:val="24"/>
                <w:szCs w:val="24"/>
                <w:highlight w:val="none"/>
              </w:rPr>
            </w:pPr>
          </w:p>
        </w:tc>
        <w:tc>
          <w:tcPr>
            <w:tcW w:w="2342" w:type="dxa"/>
            <w:gridSpan w:val="2"/>
            <w:tcBorders>
              <w:left w:val="single" w:color="auto" w:sz="4" w:space="0"/>
            </w:tcBorders>
            <w:vAlign w:val="center"/>
          </w:tcPr>
          <w:p w14:paraId="111D9821">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业绩要求</w:t>
            </w:r>
          </w:p>
        </w:tc>
        <w:tc>
          <w:tcPr>
            <w:tcW w:w="5586" w:type="dxa"/>
            <w:vAlign w:val="center"/>
          </w:tcPr>
          <w:p w14:paraId="3761E39C">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符合第二章“比选申请人须知”第1.4.1项规定</w:t>
            </w:r>
          </w:p>
        </w:tc>
      </w:tr>
      <w:tr w14:paraId="4457B9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808" w:type="dxa"/>
            <w:vMerge w:val="continue"/>
            <w:tcBorders>
              <w:right w:val="single" w:color="auto" w:sz="4" w:space="0"/>
            </w:tcBorders>
          </w:tcPr>
          <w:p w14:paraId="73833557">
            <w:pPr>
              <w:spacing w:line="400" w:lineRule="exact"/>
              <w:jc w:val="center"/>
              <w:rPr>
                <w:rFonts w:hint="eastAsia" w:ascii="仿宋" w:hAnsi="仿宋" w:eastAsia="仿宋" w:cs="仿宋"/>
                <w:sz w:val="24"/>
                <w:szCs w:val="24"/>
                <w:highlight w:val="none"/>
              </w:rPr>
            </w:pPr>
          </w:p>
        </w:tc>
        <w:tc>
          <w:tcPr>
            <w:tcW w:w="1144" w:type="dxa"/>
            <w:vMerge w:val="continue"/>
            <w:tcBorders>
              <w:right w:val="single" w:color="auto" w:sz="4" w:space="0"/>
            </w:tcBorders>
          </w:tcPr>
          <w:p w14:paraId="0BA2378E">
            <w:pPr>
              <w:spacing w:line="400" w:lineRule="exact"/>
              <w:jc w:val="center"/>
              <w:rPr>
                <w:rFonts w:hint="eastAsia" w:ascii="仿宋" w:hAnsi="仿宋" w:eastAsia="仿宋" w:cs="仿宋"/>
                <w:sz w:val="24"/>
                <w:szCs w:val="24"/>
                <w:highlight w:val="none"/>
              </w:rPr>
            </w:pPr>
          </w:p>
        </w:tc>
        <w:tc>
          <w:tcPr>
            <w:tcW w:w="2342" w:type="dxa"/>
            <w:gridSpan w:val="2"/>
            <w:tcBorders>
              <w:left w:val="single" w:color="auto" w:sz="4" w:space="0"/>
            </w:tcBorders>
          </w:tcPr>
          <w:p w14:paraId="6939FA41">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18"/>
                <w:highlight w:val="none"/>
              </w:rPr>
              <w:t>投标截止日投标资格情况</w:t>
            </w:r>
          </w:p>
        </w:tc>
        <w:tc>
          <w:tcPr>
            <w:tcW w:w="5586" w:type="dxa"/>
            <w:vAlign w:val="center"/>
          </w:tcPr>
          <w:p w14:paraId="70428E3D">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符合第二章“比选申请人须知”第1.4.1项规定</w:t>
            </w:r>
          </w:p>
        </w:tc>
      </w:tr>
      <w:tr w14:paraId="68AEF7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808" w:type="dxa"/>
            <w:vMerge w:val="continue"/>
            <w:tcBorders>
              <w:right w:val="single" w:color="auto" w:sz="4" w:space="0"/>
            </w:tcBorders>
          </w:tcPr>
          <w:p w14:paraId="746D1557">
            <w:pPr>
              <w:spacing w:line="400" w:lineRule="exact"/>
              <w:jc w:val="center"/>
              <w:rPr>
                <w:rFonts w:hint="eastAsia" w:ascii="仿宋" w:hAnsi="仿宋" w:eastAsia="仿宋" w:cs="仿宋"/>
                <w:sz w:val="24"/>
                <w:szCs w:val="24"/>
                <w:highlight w:val="none"/>
              </w:rPr>
            </w:pPr>
          </w:p>
        </w:tc>
        <w:tc>
          <w:tcPr>
            <w:tcW w:w="1144" w:type="dxa"/>
            <w:vMerge w:val="continue"/>
            <w:tcBorders>
              <w:right w:val="single" w:color="auto" w:sz="4" w:space="0"/>
            </w:tcBorders>
          </w:tcPr>
          <w:p w14:paraId="17D89E4C">
            <w:pPr>
              <w:spacing w:line="400" w:lineRule="exact"/>
              <w:jc w:val="center"/>
              <w:rPr>
                <w:rFonts w:hint="eastAsia" w:ascii="仿宋" w:hAnsi="仿宋" w:eastAsia="仿宋" w:cs="仿宋"/>
                <w:sz w:val="24"/>
                <w:szCs w:val="24"/>
                <w:highlight w:val="none"/>
              </w:rPr>
            </w:pPr>
          </w:p>
        </w:tc>
        <w:tc>
          <w:tcPr>
            <w:tcW w:w="2342" w:type="dxa"/>
            <w:gridSpan w:val="2"/>
            <w:tcBorders>
              <w:left w:val="single" w:color="auto" w:sz="4" w:space="0"/>
            </w:tcBorders>
          </w:tcPr>
          <w:p w14:paraId="6C3D8E77">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其他要求</w:t>
            </w:r>
          </w:p>
        </w:tc>
        <w:tc>
          <w:tcPr>
            <w:tcW w:w="5586" w:type="dxa"/>
            <w:vAlign w:val="center"/>
          </w:tcPr>
          <w:p w14:paraId="108F68AA">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符合第二章“比选申请人须知”第1.4.1项规定</w:t>
            </w:r>
          </w:p>
        </w:tc>
      </w:tr>
      <w:tr w14:paraId="5C9676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1B6A4BD1">
            <w:pPr>
              <w:spacing w:line="400" w:lineRule="exact"/>
              <w:jc w:val="center"/>
              <w:rPr>
                <w:rFonts w:hint="eastAsia" w:ascii="仿宋" w:hAnsi="仿宋" w:eastAsia="仿宋" w:cs="仿宋"/>
                <w:sz w:val="24"/>
                <w:szCs w:val="24"/>
                <w:highlight w:val="none"/>
              </w:rPr>
            </w:pPr>
          </w:p>
        </w:tc>
        <w:tc>
          <w:tcPr>
            <w:tcW w:w="1144" w:type="dxa"/>
            <w:vMerge w:val="continue"/>
            <w:tcBorders>
              <w:right w:val="single" w:color="auto" w:sz="4" w:space="0"/>
            </w:tcBorders>
          </w:tcPr>
          <w:p w14:paraId="57EB490C">
            <w:pPr>
              <w:spacing w:line="400" w:lineRule="exact"/>
              <w:jc w:val="center"/>
              <w:rPr>
                <w:rFonts w:hint="eastAsia" w:ascii="仿宋" w:hAnsi="仿宋" w:eastAsia="仿宋" w:cs="仿宋"/>
                <w:sz w:val="24"/>
                <w:szCs w:val="24"/>
                <w:highlight w:val="none"/>
              </w:rPr>
            </w:pPr>
          </w:p>
        </w:tc>
        <w:tc>
          <w:tcPr>
            <w:tcW w:w="2342" w:type="dxa"/>
            <w:gridSpan w:val="2"/>
            <w:tcBorders>
              <w:left w:val="single" w:color="auto" w:sz="4" w:space="0"/>
            </w:tcBorders>
            <w:vAlign w:val="center"/>
          </w:tcPr>
          <w:p w14:paraId="785E2D12">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不存在禁止投标的情形</w:t>
            </w:r>
          </w:p>
        </w:tc>
        <w:tc>
          <w:tcPr>
            <w:tcW w:w="5586" w:type="dxa"/>
            <w:vAlign w:val="center"/>
          </w:tcPr>
          <w:p w14:paraId="4FF3F1F7">
            <w:pPr>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0"/>
                <w:highlight w:val="none"/>
              </w:rPr>
              <w:t>不存在第二章“比选申请人须知”第 1.4.1 项规定的任何一种情形</w:t>
            </w:r>
          </w:p>
        </w:tc>
      </w:tr>
      <w:tr w14:paraId="2A6C9B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restart"/>
            <w:tcBorders>
              <w:right w:val="single" w:color="auto" w:sz="4" w:space="0"/>
            </w:tcBorders>
            <w:vAlign w:val="center"/>
          </w:tcPr>
          <w:p w14:paraId="1343A08A">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2.1.2</w:t>
            </w:r>
          </w:p>
        </w:tc>
        <w:tc>
          <w:tcPr>
            <w:tcW w:w="1144" w:type="dxa"/>
            <w:vMerge w:val="restart"/>
            <w:tcBorders>
              <w:right w:val="single" w:color="auto" w:sz="4" w:space="0"/>
            </w:tcBorders>
            <w:vAlign w:val="center"/>
          </w:tcPr>
          <w:p w14:paraId="24728A7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形式评审标准</w:t>
            </w:r>
          </w:p>
        </w:tc>
        <w:tc>
          <w:tcPr>
            <w:tcW w:w="2342" w:type="dxa"/>
            <w:gridSpan w:val="2"/>
            <w:tcBorders>
              <w:left w:val="single" w:color="auto" w:sz="4" w:space="0"/>
            </w:tcBorders>
            <w:vAlign w:val="center"/>
          </w:tcPr>
          <w:p w14:paraId="59364015">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比选申请人名称</w:t>
            </w:r>
          </w:p>
        </w:tc>
        <w:tc>
          <w:tcPr>
            <w:tcW w:w="5586" w:type="dxa"/>
            <w:vAlign w:val="center"/>
          </w:tcPr>
          <w:p w14:paraId="11454B76">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与营业执照、资质证书一致。</w:t>
            </w:r>
          </w:p>
        </w:tc>
      </w:tr>
      <w:tr w14:paraId="2577D3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41" w:hRule="atLeast"/>
          <w:jc w:val="center"/>
        </w:trPr>
        <w:tc>
          <w:tcPr>
            <w:tcW w:w="808" w:type="dxa"/>
            <w:vMerge w:val="continue"/>
            <w:tcBorders>
              <w:right w:val="single" w:color="auto" w:sz="4" w:space="0"/>
            </w:tcBorders>
          </w:tcPr>
          <w:p w14:paraId="2399289A">
            <w:pPr>
              <w:spacing w:line="400" w:lineRule="exact"/>
              <w:jc w:val="center"/>
              <w:rPr>
                <w:rFonts w:hint="eastAsia" w:ascii="仿宋" w:hAnsi="仿宋" w:eastAsia="仿宋" w:cs="仿宋"/>
                <w:sz w:val="24"/>
                <w:szCs w:val="24"/>
                <w:highlight w:val="none"/>
              </w:rPr>
            </w:pPr>
          </w:p>
        </w:tc>
        <w:tc>
          <w:tcPr>
            <w:tcW w:w="1144" w:type="dxa"/>
            <w:vMerge w:val="continue"/>
            <w:tcBorders>
              <w:right w:val="single" w:color="auto" w:sz="4" w:space="0"/>
            </w:tcBorders>
          </w:tcPr>
          <w:p w14:paraId="45B75963">
            <w:pPr>
              <w:spacing w:line="400" w:lineRule="exact"/>
              <w:jc w:val="center"/>
              <w:rPr>
                <w:rFonts w:hint="eastAsia" w:ascii="仿宋" w:hAnsi="仿宋" w:eastAsia="仿宋" w:cs="仿宋"/>
                <w:sz w:val="24"/>
                <w:szCs w:val="24"/>
                <w:highlight w:val="none"/>
              </w:rPr>
            </w:pPr>
          </w:p>
        </w:tc>
        <w:tc>
          <w:tcPr>
            <w:tcW w:w="2342" w:type="dxa"/>
            <w:gridSpan w:val="2"/>
            <w:tcBorders>
              <w:left w:val="single" w:color="auto" w:sz="4" w:space="0"/>
            </w:tcBorders>
            <w:vAlign w:val="center"/>
          </w:tcPr>
          <w:p w14:paraId="25ED02B5">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投标文件格式</w:t>
            </w:r>
          </w:p>
        </w:tc>
        <w:tc>
          <w:tcPr>
            <w:tcW w:w="5586" w:type="dxa"/>
            <w:vAlign w:val="center"/>
          </w:tcPr>
          <w:p w14:paraId="108DA822">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符合第二章“比选申请人须知”第3.7款的要求（不含投标函部分）。</w:t>
            </w:r>
          </w:p>
        </w:tc>
      </w:tr>
      <w:tr w14:paraId="56D5F5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84" w:hRule="atLeast"/>
          <w:jc w:val="center"/>
        </w:trPr>
        <w:tc>
          <w:tcPr>
            <w:tcW w:w="808" w:type="dxa"/>
            <w:vMerge w:val="continue"/>
            <w:tcBorders>
              <w:right w:val="single" w:color="auto" w:sz="4" w:space="0"/>
            </w:tcBorders>
          </w:tcPr>
          <w:p w14:paraId="01007DF3">
            <w:pPr>
              <w:spacing w:line="400" w:lineRule="exact"/>
              <w:jc w:val="center"/>
              <w:rPr>
                <w:rFonts w:hint="eastAsia" w:ascii="仿宋" w:hAnsi="仿宋" w:eastAsia="仿宋" w:cs="仿宋"/>
                <w:sz w:val="24"/>
                <w:szCs w:val="24"/>
                <w:highlight w:val="none"/>
              </w:rPr>
            </w:pPr>
          </w:p>
        </w:tc>
        <w:tc>
          <w:tcPr>
            <w:tcW w:w="1144" w:type="dxa"/>
            <w:vMerge w:val="continue"/>
            <w:tcBorders>
              <w:right w:val="single" w:color="auto" w:sz="4" w:space="0"/>
            </w:tcBorders>
          </w:tcPr>
          <w:p w14:paraId="0AEC8E8D">
            <w:pPr>
              <w:spacing w:line="400" w:lineRule="exact"/>
              <w:jc w:val="center"/>
              <w:rPr>
                <w:rFonts w:hint="eastAsia" w:ascii="仿宋" w:hAnsi="仿宋" w:eastAsia="仿宋" w:cs="仿宋"/>
                <w:sz w:val="24"/>
                <w:szCs w:val="24"/>
                <w:highlight w:val="none"/>
              </w:rPr>
            </w:pPr>
          </w:p>
        </w:tc>
        <w:tc>
          <w:tcPr>
            <w:tcW w:w="2342" w:type="dxa"/>
            <w:gridSpan w:val="2"/>
            <w:tcBorders>
              <w:left w:val="single" w:color="auto" w:sz="4" w:space="0"/>
            </w:tcBorders>
            <w:vAlign w:val="center"/>
          </w:tcPr>
          <w:p w14:paraId="30255E56">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投标文件的签署</w:t>
            </w:r>
          </w:p>
        </w:tc>
        <w:tc>
          <w:tcPr>
            <w:tcW w:w="5586" w:type="dxa"/>
            <w:vAlign w:val="center"/>
          </w:tcPr>
          <w:p w14:paraId="24A0E78B">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第六章 投标文件格式（不含投标函部分）要求法定代表人（或其委托代理人）签名（或盖章）的须齐全。</w:t>
            </w:r>
            <w:r>
              <w:rPr>
                <w:rFonts w:hint="eastAsia" w:ascii="仿宋" w:hAnsi="仿宋" w:eastAsia="仿宋" w:cs="仿宋"/>
                <w:sz w:val="24"/>
                <w:szCs w:val="18"/>
                <w:highlight w:val="none"/>
              </w:rPr>
              <w:t>要求签名的，</w:t>
            </w:r>
            <w:r>
              <w:rPr>
                <w:rFonts w:hint="eastAsia" w:ascii="仿宋" w:hAnsi="仿宋" w:eastAsia="仿宋" w:cs="仿宋"/>
                <w:sz w:val="24"/>
                <w:szCs w:val="24"/>
                <w:highlight w:val="none"/>
              </w:rPr>
              <w:t>签名采用手写签名</w:t>
            </w:r>
            <w:r>
              <w:rPr>
                <w:rFonts w:hint="eastAsia" w:ascii="仿宋" w:hAnsi="仿宋" w:eastAsia="仿宋" w:cs="仿宋"/>
                <w:sz w:val="24"/>
                <w:szCs w:val="18"/>
                <w:highlight w:val="none"/>
              </w:rPr>
              <w:t>或签章</w:t>
            </w:r>
            <w:r>
              <w:rPr>
                <w:rFonts w:hint="eastAsia" w:ascii="仿宋" w:hAnsi="仿宋" w:eastAsia="仿宋" w:cs="仿宋"/>
                <w:sz w:val="24"/>
                <w:szCs w:val="24"/>
                <w:highlight w:val="none"/>
              </w:rPr>
              <w:t>。</w:t>
            </w:r>
          </w:p>
          <w:p w14:paraId="4BDF769B">
            <w:pPr>
              <w:autoSpaceDE w:val="0"/>
              <w:autoSpaceDN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第六章 投标文件格式（不含投标函部分）要求加盖单位法人章的，应加盖比选申请人的单位电子印章。</w:t>
            </w:r>
          </w:p>
        </w:tc>
      </w:tr>
      <w:tr w14:paraId="1E2B65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6945B71C">
            <w:pPr>
              <w:spacing w:line="400" w:lineRule="exact"/>
              <w:jc w:val="center"/>
              <w:rPr>
                <w:rFonts w:hint="eastAsia" w:ascii="仿宋" w:hAnsi="仿宋" w:eastAsia="仿宋" w:cs="仿宋"/>
                <w:sz w:val="24"/>
                <w:szCs w:val="24"/>
                <w:highlight w:val="none"/>
              </w:rPr>
            </w:pPr>
          </w:p>
        </w:tc>
        <w:tc>
          <w:tcPr>
            <w:tcW w:w="1144" w:type="dxa"/>
            <w:vMerge w:val="continue"/>
            <w:tcBorders>
              <w:right w:val="single" w:color="auto" w:sz="4" w:space="0"/>
            </w:tcBorders>
          </w:tcPr>
          <w:p w14:paraId="328EA43C">
            <w:pPr>
              <w:spacing w:line="400" w:lineRule="exact"/>
              <w:jc w:val="center"/>
              <w:rPr>
                <w:rFonts w:hint="eastAsia" w:ascii="仿宋" w:hAnsi="仿宋" w:eastAsia="仿宋" w:cs="仿宋"/>
                <w:sz w:val="24"/>
                <w:szCs w:val="24"/>
                <w:highlight w:val="none"/>
              </w:rPr>
            </w:pPr>
          </w:p>
        </w:tc>
        <w:tc>
          <w:tcPr>
            <w:tcW w:w="2342" w:type="dxa"/>
            <w:gridSpan w:val="2"/>
            <w:tcBorders>
              <w:left w:val="single" w:color="auto" w:sz="4" w:space="0"/>
            </w:tcBorders>
            <w:vAlign w:val="center"/>
          </w:tcPr>
          <w:p w14:paraId="253F5D54">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p>
        </w:tc>
        <w:tc>
          <w:tcPr>
            <w:tcW w:w="5586" w:type="dxa"/>
            <w:vAlign w:val="center"/>
          </w:tcPr>
          <w:p w14:paraId="0AEC1697">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比选申请人法定代表人的委托代理人有法定代表人签署的授权委托书。</w:t>
            </w:r>
          </w:p>
        </w:tc>
      </w:tr>
      <w:tr w14:paraId="699BC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01EAD70F">
            <w:pPr>
              <w:spacing w:line="400" w:lineRule="exact"/>
              <w:jc w:val="center"/>
              <w:rPr>
                <w:rFonts w:hint="eastAsia" w:ascii="仿宋" w:hAnsi="仿宋" w:eastAsia="仿宋" w:cs="仿宋"/>
                <w:sz w:val="24"/>
                <w:szCs w:val="24"/>
                <w:highlight w:val="none"/>
              </w:rPr>
            </w:pPr>
          </w:p>
        </w:tc>
        <w:tc>
          <w:tcPr>
            <w:tcW w:w="1144" w:type="dxa"/>
            <w:vMerge w:val="continue"/>
            <w:tcBorders>
              <w:right w:val="single" w:color="auto" w:sz="4" w:space="0"/>
            </w:tcBorders>
          </w:tcPr>
          <w:p w14:paraId="2949144C">
            <w:pPr>
              <w:spacing w:line="400" w:lineRule="exact"/>
              <w:jc w:val="center"/>
              <w:rPr>
                <w:rFonts w:hint="eastAsia" w:ascii="仿宋" w:hAnsi="仿宋" w:eastAsia="仿宋" w:cs="仿宋"/>
                <w:sz w:val="24"/>
                <w:szCs w:val="24"/>
                <w:highlight w:val="none"/>
              </w:rPr>
            </w:pPr>
          </w:p>
        </w:tc>
        <w:tc>
          <w:tcPr>
            <w:tcW w:w="2342" w:type="dxa"/>
            <w:gridSpan w:val="2"/>
            <w:tcBorders>
              <w:left w:val="single" w:color="auto" w:sz="4" w:space="0"/>
            </w:tcBorders>
            <w:vAlign w:val="center"/>
          </w:tcPr>
          <w:p w14:paraId="739C63C7">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备选投标方案</w:t>
            </w:r>
          </w:p>
        </w:tc>
        <w:tc>
          <w:tcPr>
            <w:tcW w:w="5586" w:type="dxa"/>
            <w:vAlign w:val="center"/>
          </w:tcPr>
          <w:p w14:paraId="51ACB4AA">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除竞争性比选文件明确允许提交备选投标方案外，比选申请人不得提交备选投标方案</w:t>
            </w:r>
          </w:p>
        </w:tc>
      </w:tr>
      <w:tr w14:paraId="0C427D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45" w:hRule="atLeast"/>
          <w:jc w:val="center"/>
        </w:trPr>
        <w:tc>
          <w:tcPr>
            <w:tcW w:w="808" w:type="dxa"/>
            <w:vMerge w:val="restart"/>
            <w:vAlign w:val="center"/>
          </w:tcPr>
          <w:p w14:paraId="178E66DC">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2.1.3</w:t>
            </w:r>
          </w:p>
        </w:tc>
        <w:tc>
          <w:tcPr>
            <w:tcW w:w="1144" w:type="dxa"/>
            <w:vMerge w:val="restart"/>
            <w:vAlign w:val="center"/>
          </w:tcPr>
          <w:p w14:paraId="4D0CB49A">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响应性评审标准</w:t>
            </w:r>
          </w:p>
        </w:tc>
        <w:tc>
          <w:tcPr>
            <w:tcW w:w="2342" w:type="dxa"/>
            <w:gridSpan w:val="2"/>
            <w:vAlign w:val="center"/>
          </w:tcPr>
          <w:p w14:paraId="7B795800">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投标内容</w:t>
            </w:r>
          </w:p>
        </w:tc>
        <w:tc>
          <w:tcPr>
            <w:tcW w:w="5586" w:type="dxa"/>
            <w:vAlign w:val="center"/>
          </w:tcPr>
          <w:p w14:paraId="7931F2F4">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符合第二章“比选申请人须知”第1.3.1项规定</w:t>
            </w:r>
          </w:p>
        </w:tc>
      </w:tr>
      <w:tr w14:paraId="25BD14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950" w:hRule="atLeast"/>
          <w:jc w:val="center"/>
        </w:trPr>
        <w:tc>
          <w:tcPr>
            <w:tcW w:w="808" w:type="dxa"/>
            <w:vMerge w:val="continue"/>
          </w:tcPr>
          <w:p w14:paraId="6DDCBD4C">
            <w:pPr>
              <w:spacing w:line="400" w:lineRule="exact"/>
              <w:jc w:val="center"/>
              <w:rPr>
                <w:rFonts w:hint="eastAsia" w:ascii="仿宋" w:hAnsi="仿宋" w:eastAsia="仿宋" w:cs="仿宋"/>
                <w:sz w:val="24"/>
                <w:szCs w:val="24"/>
                <w:highlight w:val="none"/>
              </w:rPr>
            </w:pPr>
          </w:p>
        </w:tc>
        <w:tc>
          <w:tcPr>
            <w:tcW w:w="1144" w:type="dxa"/>
            <w:vMerge w:val="continue"/>
          </w:tcPr>
          <w:p w14:paraId="4857102F">
            <w:pPr>
              <w:spacing w:line="400" w:lineRule="exact"/>
              <w:jc w:val="center"/>
              <w:rPr>
                <w:rFonts w:hint="eastAsia" w:ascii="仿宋" w:hAnsi="仿宋" w:eastAsia="仿宋" w:cs="仿宋"/>
                <w:sz w:val="24"/>
                <w:szCs w:val="24"/>
                <w:highlight w:val="none"/>
              </w:rPr>
            </w:pPr>
          </w:p>
        </w:tc>
        <w:tc>
          <w:tcPr>
            <w:tcW w:w="2342" w:type="dxa"/>
            <w:gridSpan w:val="2"/>
            <w:vAlign w:val="center"/>
          </w:tcPr>
          <w:p w14:paraId="4F14B36A">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权利义务</w:t>
            </w:r>
          </w:p>
        </w:tc>
        <w:tc>
          <w:tcPr>
            <w:tcW w:w="5586" w:type="dxa"/>
            <w:vAlign w:val="center"/>
          </w:tcPr>
          <w:p w14:paraId="6833C944">
            <w:pPr>
              <w:spacing w:after="48" w:afterLines="2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18"/>
                <w:highlight w:val="none"/>
              </w:rPr>
              <w:t>符合第二章“比选申请人须知”规定和第四章“合同条款及格式”中的实质性要求和条件，投标文件不应附有招标人不能接受的条件。（由比选申请人承诺，承诺书格式详见第六章投标文件格式。）</w:t>
            </w:r>
          </w:p>
        </w:tc>
      </w:tr>
      <w:tr w14:paraId="7A4046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544" w:hRule="atLeast"/>
          <w:jc w:val="center"/>
        </w:trPr>
        <w:tc>
          <w:tcPr>
            <w:tcW w:w="808" w:type="dxa"/>
            <w:vMerge w:val="continue"/>
          </w:tcPr>
          <w:p w14:paraId="61D3501D">
            <w:pPr>
              <w:spacing w:line="400" w:lineRule="exact"/>
              <w:rPr>
                <w:rFonts w:hint="eastAsia" w:ascii="仿宋" w:hAnsi="仿宋" w:eastAsia="仿宋" w:cs="仿宋"/>
                <w:sz w:val="24"/>
                <w:szCs w:val="24"/>
                <w:highlight w:val="none"/>
              </w:rPr>
            </w:pPr>
          </w:p>
        </w:tc>
        <w:tc>
          <w:tcPr>
            <w:tcW w:w="1144" w:type="dxa"/>
            <w:vMerge w:val="continue"/>
          </w:tcPr>
          <w:p w14:paraId="02B5545C">
            <w:pPr>
              <w:spacing w:line="400" w:lineRule="exact"/>
              <w:rPr>
                <w:rFonts w:hint="eastAsia" w:ascii="仿宋" w:hAnsi="仿宋" w:eastAsia="仿宋" w:cs="仿宋"/>
                <w:sz w:val="24"/>
                <w:szCs w:val="24"/>
                <w:highlight w:val="none"/>
              </w:rPr>
            </w:pPr>
          </w:p>
        </w:tc>
        <w:tc>
          <w:tcPr>
            <w:tcW w:w="2342" w:type="dxa"/>
            <w:gridSpan w:val="2"/>
            <w:vAlign w:val="center"/>
          </w:tcPr>
          <w:p w14:paraId="01720F83">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实质性要求</w:t>
            </w:r>
          </w:p>
        </w:tc>
        <w:tc>
          <w:tcPr>
            <w:tcW w:w="5586" w:type="dxa"/>
            <w:vAlign w:val="center"/>
          </w:tcPr>
          <w:p w14:paraId="0FC9D003">
            <w:pPr>
              <w:spacing w:after="48" w:afterLines="2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本次投标不得有串通投标、弄虚作假等其他违反招投标相关法律、法规行为。</w:t>
            </w:r>
          </w:p>
          <w:p w14:paraId="4C3DCF23">
            <w:pPr>
              <w:spacing w:after="48" w:afterLines="20"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按评标委员会要求澄清、说明或补正。</w:t>
            </w:r>
          </w:p>
        </w:tc>
      </w:tr>
      <w:tr w14:paraId="60B032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1952" w:type="dxa"/>
            <w:gridSpan w:val="2"/>
            <w:vAlign w:val="center"/>
          </w:tcPr>
          <w:p w14:paraId="0EDB291B">
            <w:pPr>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2342" w:type="dxa"/>
            <w:gridSpan w:val="2"/>
            <w:vAlign w:val="center"/>
          </w:tcPr>
          <w:p w14:paraId="08C4B260">
            <w:pPr>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条款内容</w:t>
            </w:r>
          </w:p>
        </w:tc>
        <w:tc>
          <w:tcPr>
            <w:tcW w:w="5586" w:type="dxa"/>
            <w:vAlign w:val="center"/>
          </w:tcPr>
          <w:p w14:paraId="7CFBBDE0">
            <w:pPr>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编列内容</w:t>
            </w:r>
          </w:p>
        </w:tc>
      </w:tr>
      <w:tr w14:paraId="0F0FCD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19" w:hRule="atLeast"/>
          <w:jc w:val="center"/>
        </w:trPr>
        <w:tc>
          <w:tcPr>
            <w:tcW w:w="1952" w:type="dxa"/>
            <w:gridSpan w:val="2"/>
            <w:vAlign w:val="center"/>
          </w:tcPr>
          <w:p w14:paraId="62935F38">
            <w:pPr>
              <w:spacing w:line="400" w:lineRule="exact"/>
              <w:ind w:firstLine="240" w:firstLineChars="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2.2.1</w:t>
            </w:r>
          </w:p>
        </w:tc>
        <w:tc>
          <w:tcPr>
            <w:tcW w:w="2342" w:type="dxa"/>
            <w:gridSpan w:val="2"/>
            <w:vAlign w:val="center"/>
          </w:tcPr>
          <w:p w14:paraId="4AB8D689">
            <w:pPr>
              <w:tabs>
                <w:tab w:val="left" w:pos="1875"/>
              </w:tabs>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分值构成</w:t>
            </w:r>
          </w:p>
          <w:p w14:paraId="300B34E4">
            <w:pPr>
              <w:tabs>
                <w:tab w:val="left" w:pos="1875"/>
              </w:tabs>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（总分100分）</w:t>
            </w:r>
          </w:p>
        </w:tc>
        <w:tc>
          <w:tcPr>
            <w:tcW w:w="5586" w:type="dxa"/>
            <w:vAlign w:val="center"/>
          </w:tcPr>
          <w:p w14:paraId="38F8D09E">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1.技术部分</w:t>
            </w:r>
            <w:r>
              <w:rPr>
                <w:rFonts w:hint="eastAsia" w:ascii="仿宋" w:hAnsi="仿宋" w:eastAsia="仿宋" w:cs="仿宋"/>
                <w:sz w:val="24"/>
                <w:szCs w:val="24"/>
                <w:highlight w:val="none"/>
                <w:u w:val="single"/>
              </w:rPr>
              <w:t>　  30　</w:t>
            </w:r>
            <w:r>
              <w:rPr>
                <w:rFonts w:hint="eastAsia" w:ascii="仿宋" w:hAnsi="仿宋" w:eastAsia="仿宋" w:cs="仿宋"/>
                <w:sz w:val="24"/>
                <w:szCs w:val="24"/>
                <w:highlight w:val="none"/>
              </w:rPr>
              <w:t>分；</w:t>
            </w:r>
          </w:p>
          <w:p w14:paraId="3C68034F">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2.商务部分</w:t>
            </w:r>
            <w:r>
              <w:rPr>
                <w:rFonts w:hint="eastAsia" w:ascii="仿宋" w:hAnsi="仿宋" w:eastAsia="仿宋" w:cs="仿宋"/>
                <w:sz w:val="24"/>
                <w:szCs w:val="24"/>
                <w:highlight w:val="none"/>
                <w:u w:val="single"/>
              </w:rPr>
              <w:t>　  20　</w:t>
            </w:r>
            <w:r>
              <w:rPr>
                <w:rFonts w:hint="eastAsia" w:ascii="仿宋" w:hAnsi="仿宋" w:eastAsia="仿宋" w:cs="仿宋"/>
                <w:sz w:val="24"/>
                <w:szCs w:val="24"/>
                <w:highlight w:val="none"/>
              </w:rPr>
              <w:t>分；</w:t>
            </w:r>
          </w:p>
          <w:p w14:paraId="7D53B33B">
            <w:pPr>
              <w:snapToGrid w:val="0"/>
              <w:spacing w:line="400" w:lineRule="exact"/>
              <w:ind w:firstLine="480" w:firstLineChars="200"/>
              <w:rPr>
                <w:rFonts w:hint="eastAsia" w:ascii="仿宋" w:hAnsi="仿宋" w:eastAsia="仿宋" w:cs="仿宋"/>
                <w:i/>
                <w:sz w:val="24"/>
                <w:szCs w:val="24"/>
                <w:highlight w:val="none"/>
              </w:rPr>
            </w:pPr>
            <w:r>
              <w:rPr>
                <w:rFonts w:hint="eastAsia" w:ascii="仿宋" w:hAnsi="仿宋" w:eastAsia="仿宋" w:cs="仿宋"/>
                <w:sz w:val="24"/>
                <w:szCs w:val="24"/>
                <w:highlight w:val="none"/>
              </w:rPr>
              <w:t>3.投标报价</w:t>
            </w:r>
            <w:r>
              <w:rPr>
                <w:rFonts w:hint="eastAsia" w:ascii="仿宋" w:hAnsi="仿宋" w:eastAsia="仿宋" w:cs="仿宋"/>
                <w:sz w:val="24"/>
                <w:szCs w:val="24"/>
                <w:highlight w:val="none"/>
                <w:u w:val="single"/>
              </w:rPr>
              <w:t xml:space="preserve">    50  </w:t>
            </w:r>
            <w:r>
              <w:rPr>
                <w:rFonts w:hint="eastAsia" w:ascii="仿宋" w:hAnsi="仿宋" w:eastAsia="仿宋" w:cs="仿宋"/>
                <w:sz w:val="24"/>
                <w:szCs w:val="24"/>
                <w:highlight w:val="none"/>
              </w:rPr>
              <w:t>分。</w:t>
            </w:r>
          </w:p>
        </w:tc>
      </w:tr>
      <w:tr w14:paraId="3609E6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52" w:type="dxa"/>
            <w:gridSpan w:val="2"/>
            <w:vAlign w:val="center"/>
          </w:tcPr>
          <w:p w14:paraId="6C5901EE">
            <w:pPr>
              <w:spacing w:line="400" w:lineRule="exact"/>
              <w:ind w:firstLine="240" w:firstLineChars="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2.2.2</w:t>
            </w:r>
          </w:p>
        </w:tc>
        <w:tc>
          <w:tcPr>
            <w:tcW w:w="2342" w:type="dxa"/>
            <w:gridSpan w:val="2"/>
            <w:vAlign w:val="center"/>
          </w:tcPr>
          <w:p w14:paraId="2DABEA38">
            <w:pPr>
              <w:tabs>
                <w:tab w:val="left" w:pos="1875"/>
              </w:tabs>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评标基准价计算方法</w:t>
            </w:r>
          </w:p>
        </w:tc>
        <w:tc>
          <w:tcPr>
            <w:tcW w:w="5586" w:type="dxa"/>
            <w:vAlign w:val="center"/>
          </w:tcPr>
          <w:p w14:paraId="37452968">
            <w:pPr>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所有通过初步评审评审合格的比选申请人的投标总报价中去掉六分之一（不能整除的按小数点前整数取整，不足六家报价则不去掉）的最低价和相同家数的最高价后的算术平均值与本项目最高限价再取平均值，即为本项目投标总报价的评标基准价。</w:t>
            </w:r>
          </w:p>
          <w:p w14:paraId="7352440F">
            <w:pPr>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评标基准价计算的最终结果保留两位小数，小数点后第三位四舍五入。在评标基准价计算完成后（除计算错误外），在后续的评审中不得再对其做出调整。</w:t>
            </w:r>
          </w:p>
        </w:tc>
      </w:tr>
      <w:tr w14:paraId="7CCF9E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952" w:type="dxa"/>
            <w:gridSpan w:val="2"/>
            <w:vAlign w:val="center"/>
          </w:tcPr>
          <w:p w14:paraId="34C9F6F4">
            <w:pPr>
              <w:spacing w:line="400" w:lineRule="exact"/>
              <w:ind w:firstLine="240" w:firstLineChars="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2.2.3</w:t>
            </w:r>
          </w:p>
        </w:tc>
        <w:tc>
          <w:tcPr>
            <w:tcW w:w="2342" w:type="dxa"/>
            <w:gridSpan w:val="2"/>
            <w:vAlign w:val="center"/>
          </w:tcPr>
          <w:p w14:paraId="4313BDC4">
            <w:pPr>
              <w:tabs>
                <w:tab w:val="left" w:pos="1875"/>
              </w:tabs>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投标报价的偏差率计算公式</w:t>
            </w:r>
          </w:p>
        </w:tc>
        <w:tc>
          <w:tcPr>
            <w:tcW w:w="5586" w:type="dxa"/>
            <w:vAlign w:val="center"/>
          </w:tcPr>
          <w:p w14:paraId="6763DAD9">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本项目不设置偏差率</w:t>
            </w:r>
          </w:p>
        </w:tc>
      </w:tr>
      <w:tr w14:paraId="253BA0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952" w:type="dxa"/>
            <w:gridSpan w:val="2"/>
            <w:vAlign w:val="center"/>
          </w:tcPr>
          <w:p w14:paraId="43F07102">
            <w:pPr>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2342" w:type="dxa"/>
            <w:gridSpan w:val="2"/>
            <w:vAlign w:val="center"/>
          </w:tcPr>
          <w:p w14:paraId="7A2C2A6C">
            <w:pPr>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评分因素</w:t>
            </w:r>
          </w:p>
        </w:tc>
        <w:tc>
          <w:tcPr>
            <w:tcW w:w="5586" w:type="dxa"/>
            <w:vAlign w:val="center"/>
          </w:tcPr>
          <w:p w14:paraId="0B646321">
            <w:pPr>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评分标准</w:t>
            </w:r>
          </w:p>
        </w:tc>
      </w:tr>
      <w:tr w14:paraId="72C957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restart"/>
            <w:tcBorders>
              <w:right w:val="single" w:color="auto" w:sz="4" w:space="0"/>
            </w:tcBorders>
            <w:vAlign w:val="center"/>
          </w:tcPr>
          <w:p w14:paraId="7B784CB1">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2.2.4（1）</w:t>
            </w:r>
          </w:p>
        </w:tc>
        <w:tc>
          <w:tcPr>
            <w:tcW w:w="1144" w:type="dxa"/>
            <w:vMerge w:val="restart"/>
            <w:tcBorders>
              <w:left w:val="single" w:color="auto" w:sz="4" w:space="0"/>
            </w:tcBorders>
            <w:vAlign w:val="center"/>
          </w:tcPr>
          <w:p w14:paraId="51231C0F">
            <w:pPr>
              <w:pStyle w:val="9"/>
              <w:jc w:val="center"/>
              <w:rPr>
                <w:rFonts w:hint="eastAsia" w:ascii="仿宋" w:hAnsi="仿宋" w:eastAsia="仿宋" w:cs="仿宋"/>
                <w:sz w:val="22"/>
                <w:szCs w:val="24"/>
                <w:highlight w:val="none"/>
              </w:rPr>
            </w:pPr>
            <w:r>
              <w:rPr>
                <w:rFonts w:hint="eastAsia" w:ascii="仿宋" w:hAnsi="仿宋" w:eastAsia="仿宋" w:cs="仿宋"/>
                <w:sz w:val="22"/>
                <w:szCs w:val="24"/>
                <w:highlight w:val="none"/>
              </w:rPr>
              <w:t>技术部分评分标准</w:t>
            </w:r>
          </w:p>
          <w:p w14:paraId="4AF84BBB">
            <w:pPr>
              <w:pStyle w:val="9"/>
              <w:jc w:val="center"/>
              <w:rPr>
                <w:rFonts w:hint="eastAsia" w:ascii="仿宋" w:hAnsi="仿宋" w:eastAsia="仿宋" w:cs="仿宋"/>
                <w:sz w:val="22"/>
                <w:szCs w:val="24"/>
                <w:highlight w:val="none"/>
              </w:rPr>
            </w:pPr>
          </w:p>
        </w:tc>
        <w:tc>
          <w:tcPr>
            <w:tcW w:w="2342" w:type="dxa"/>
            <w:gridSpan w:val="2"/>
            <w:tcBorders>
              <w:bottom w:val="single" w:color="auto" w:sz="4" w:space="0"/>
            </w:tcBorders>
            <w:vAlign w:val="center"/>
          </w:tcPr>
          <w:p w14:paraId="327E2E6F">
            <w:pPr>
              <w:tabs>
                <w:tab w:val="left" w:pos="1875"/>
              </w:tabs>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设计方案总体评审标准</w:t>
            </w:r>
          </w:p>
        </w:tc>
        <w:tc>
          <w:tcPr>
            <w:tcW w:w="5586" w:type="dxa"/>
            <w:vAlign w:val="center"/>
          </w:tcPr>
          <w:p w14:paraId="2DC82893">
            <w:pPr>
              <w:snapToGrid w:val="0"/>
              <w:spacing w:line="400" w:lineRule="exact"/>
              <w:ind w:firstLine="480" w:firstLineChars="200"/>
              <w:rPr>
                <w:rFonts w:hint="eastAsia" w:ascii="仿宋" w:hAnsi="仿宋" w:eastAsia="仿宋" w:cs="仿宋"/>
                <w:sz w:val="24"/>
                <w:szCs w:val="24"/>
                <w:highlight w:val="none"/>
                <w:u w:val="single"/>
              </w:rPr>
            </w:pPr>
          </w:p>
        </w:tc>
      </w:tr>
      <w:tr w14:paraId="0E6D96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44" w:hRule="atLeast"/>
          <w:jc w:val="center"/>
        </w:trPr>
        <w:tc>
          <w:tcPr>
            <w:tcW w:w="808" w:type="dxa"/>
            <w:vMerge w:val="continue"/>
            <w:tcBorders>
              <w:right w:val="single" w:color="auto" w:sz="4" w:space="0"/>
            </w:tcBorders>
            <w:vAlign w:val="center"/>
          </w:tcPr>
          <w:p w14:paraId="312DFFD9">
            <w:pPr>
              <w:spacing w:line="400" w:lineRule="exact"/>
              <w:jc w:val="center"/>
              <w:rPr>
                <w:rFonts w:hint="eastAsia" w:ascii="仿宋" w:hAnsi="仿宋" w:eastAsia="仿宋" w:cs="仿宋"/>
                <w:sz w:val="24"/>
                <w:szCs w:val="24"/>
                <w:highlight w:val="none"/>
              </w:rPr>
            </w:pPr>
          </w:p>
        </w:tc>
        <w:tc>
          <w:tcPr>
            <w:tcW w:w="1144" w:type="dxa"/>
            <w:vMerge w:val="continue"/>
            <w:tcBorders>
              <w:left w:val="single" w:color="auto" w:sz="4" w:space="0"/>
            </w:tcBorders>
            <w:vAlign w:val="center"/>
          </w:tcPr>
          <w:p w14:paraId="4CBCEC8A">
            <w:pPr>
              <w:spacing w:line="400" w:lineRule="exact"/>
              <w:jc w:val="center"/>
              <w:rPr>
                <w:rFonts w:hint="eastAsia" w:ascii="仿宋" w:hAnsi="仿宋" w:eastAsia="仿宋" w:cs="仿宋"/>
                <w:sz w:val="24"/>
                <w:szCs w:val="24"/>
                <w:highlight w:val="none"/>
              </w:rPr>
            </w:pPr>
          </w:p>
        </w:tc>
        <w:tc>
          <w:tcPr>
            <w:tcW w:w="448" w:type="dxa"/>
            <w:vMerge w:val="restart"/>
            <w:tcBorders>
              <w:top w:val="single" w:color="auto" w:sz="4" w:space="0"/>
              <w:right w:val="single" w:color="auto" w:sz="4" w:space="0"/>
            </w:tcBorders>
            <w:vAlign w:val="center"/>
          </w:tcPr>
          <w:p w14:paraId="06CB59A1">
            <w:pPr>
              <w:tabs>
                <w:tab w:val="left" w:pos="1875"/>
              </w:tabs>
              <w:spacing w:line="400" w:lineRule="exact"/>
              <w:jc w:val="center"/>
              <w:rPr>
                <w:rFonts w:hint="eastAsia" w:ascii="仿宋" w:hAnsi="仿宋" w:eastAsia="仿宋" w:cs="仿宋"/>
                <w:sz w:val="24"/>
                <w:szCs w:val="24"/>
                <w:highlight w:val="none"/>
              </w:rPr>
            </w:pPr>
          </w:p>
        </w:tc>
        <w:tc>
          <w:tcPr>
            <w:tcW w:w="1894" w:type="dxa"/>
            <w:tcBorders>
              <w:left w:val="single" w:color="auto" w:sz="4" w:space="0"/>
            </w:tcBorders>
            <w:vAlign w:val="center"/>
          </w:tcPr>
          <w:p w14:paraId="423A33C1">
            <w:pPr>
              <w:tabs>
                <w:tab w:val="left" w:pos="1875"/>
              </w:tabs>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整体规划与团队保障方案</w:t>
            </w:r>
          </w:p>
          <w:p w14:paraId="4DE04AC7">
            <w:pPr>
              <w:pStyle w:val="9"/>
              <w:jc w:val="center"/>
              <w:rPr>
                <w:rFonts w:hint="eastAsia" w:ascii="仿宋" w:hAnsi="仿宋" w:eastAsia="仿宋" w:cs="仿宋"/>
                <w:highlight w:val="none"/>
              </w:rPr>
            </w:pPr>
            <w:r>
              <w:rPr>
                <w:rFonts w:hint="eastAsia" w:ascii="仿宋" w:hAnsi="仿宋" w:eastAsia="仿宋" w:cs="仿宋"/>
                <w:sz w:val="24"/>
                <w:highlight w:val="none"/>
              </w:rPr>
              <w:t>（10分）</w:t>
            </w:r>
          </w:p>
        </w:tc>
        <w:tc>
          <w:tcPr>
            <w:tcW w:w="5586" w:type="dxa"/>
            <w:vAlign w:val="center"/>
          </w:tcPr>
          <w:p w14:paraId="30A1A210">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比选申请人提供项目整体规划与团队保障方案，方案内容包括但不限于：</w:t>
            </w:r>
          </w:p>
          <w:p w14:paraId="43D31D9F">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①项目“整合+转型”双重目标深度解读；</w:t>
            </w:r>
          </w:p>
          <w:p w14:paraId="1524467D">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②整体实施思路与阶段划分；</w:t>
            </w:r>
          </w:p>
          <w:p w14:paraId="2BB0E834">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③各阶段时间规划及进度管控措施；</w:t>
            </w:r>
          </w:p>
          <w:p w14:paraId="3CC8CE9C">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④拟派团队配置；</w:t>
            </w:r>
          </w:p>
          <w:p w14:paraId="7EAB0797">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⑤沟通协调机制；</w:t>
            </w:r>
          </w:p>
          <w:p w14:paraId="024F32A8">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⑥总体风险识别及应对预案</w:t>
            </w:r>
          </w:p>
          <w:p w14:paraId="335701D1">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（1）方案完整、清晰、针对性强，能够充分满足项目需求的，得10分；</w:t>
            </w:r>
          </w:p>
          <w:p w14:paraId="2BED7DE7">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（2）方案比较完整、清晰、针对性较强，较充分满足项目需求的，得6分；</w:t>
            </w:r>
          </w:p>
          <w:p w14:paraId="5103E2A1">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（3）方案基本完整、基本清晰、具有一定的针对性，基本满足项目需求的，得2分；</w:t>
            </w:r>
          </w:p>
          <w:p w14:paraId="1D1A20EB">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highlight w:val="none"/>
              </w:rPr>
              <w:t>（4）方案不可行或未提供方案的不得分。</w:t>
            </w:r>
          </w:p>
        </w:tc>
      </w:tr>
      <w:tr w14:paraId="0D6BC1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16" w:hRule="atLeast"/>
          <w:jc w:val="center"/>
        </w:trPr>
        <w:tc>
          <w:tcPr>
            <w:tcW w:w="808" w:type="dxa"/>
            <w:vMerge w:val="continue"/>
            <w:tcBorders>
              <w:right w:val="single" w:color="auto" w:sz="4" w:space="0"/>
            </w:tcBorders>
            <w:vAlign w:val="center"/>
          </w:tcPr>
          <w:p w14:paraId="1D320476">
            <w:pPr>
              <w:spacing w:line="400" w:lineRule="exact"/>
              <w:ind w:firstLine="240" w:firstLineChars="100"/>
              <w:jc w:val="center"/>
              <w:rPr>
                <w:rFonts w:hint="eastAsia" w:ascii="仿宋" w:hAnsi="仿宋" w:eastAsia="仿宋" w:cs="仿宋"/>
                <w:sz w:val="24"/>
                <w:szCs w:val="24"/>
                <w:highlight w:val="none"/>
              </w:rPr>
            </w:pPr>
          </w:p>
        </w:tc>
        <w:tc>
          <w:tcPr>
            <w:tcW w:w="1144" w:type="dxa"/>
            <w:vMerge w:val="continue"/>
            <w:tcBorders>
              <w:left w:val="single" w:color="auto" w:sz="4" w:space="0"/>
            </w:tcBorders>
            <w:vAlign w:val="center"/>
          </w:tcPr>
          <w:p w14:paraId="22E1E34F">
            <w:pPr>
              <w:spacing w:line="400" w:lineRule="exact"/>
              <w:ind w:firstLine="240" w:firstLineChars="100"/>
              <w:jc w:val="center"/>
              <w:rPr>
                <w:rFonts w:hint="eastAsia" w:ascii="仿宋" w:hAnsi="仿宋" w:eastAsia="仿宋" w:cs="仿宋"/>
                <w:sz w:val="24"/>
                <w:szCs w:val="24"/>
                <w:highlight w:val="none"/>
              </w:rPr>
            </w:pPr>
          </w:p>
        </w:tc>
        <w:tc>
          <w:tcPr>
            <w:tcW w:w="448" w:type="dxa"/>
            <w:vMerge w:val="continue"/>
            <w:tcBorders>
              <w:right w:val="single" w:color="auto" w:sz="4" w:space="0"/>
            </w:tcBorders>
            <w:vAlign w:val="center"/>
          </w:tcPr>
          <w:p w14:paraId="4EDA0944">
            <w:pPr>
              <w:tabs>
                <w:tab w:val="left" w:pos="1875"/>
              </w:tabs>
              <w:spacing w:line="400" w:lineRule="exact"/>
              <w:jc w:val="left"/>
              <w:rPr>
                <w:rFonts w:hint="eastAsia" w:ascii="仿宋" w:hAnsi="仿宋" w:eastAsia="仿宋" w:cs="仿宋"/>
                <w:sz w:val="24"/>
                <w:szCs w:val="24"/>
                <w:highlight w:val="none"/>
              </w:rPr>
            </w:pPr>
          </w:p>
        </w:tc>
        <w:tc>
          <w:tcPr>
            <w:tcW w:w="1894" w:type="dxa"/>
            <w:tcBorders>
              <w:left w:val="single" w:color="auto" w:sz="4" w:space="0"/>
            </w:tcBorders>
            <w:vAlign w:val="center"/>
          </w:tcPr>
          <w:p w14:paraId="1DA25F0E">
            <w:pPr>
              <w:tabs>
                <w:tab w:val="left" w:pos="1875"/>
              </w:tabs>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核心体系设计方案</w:t>
            </w:r>
          </w:p>
          <w:p w14:paraId="79255E65">
            <w:pPr>
              <w:pStyle w:val="9"/>
              <w:jc w:val="center"/>
              <w:rPr>
                <w:rFonts w:hint="eastAsia" w:ascii="仿宋" w:hAnsi="仿宋" w:eastAsia="仿宋" w:cs="仿宋"/>
                <w:highlight w:val="none"/>
              </w:rPr>
            </w:pPr>
            <w:r>
              <w:rPr>
                <w:rFonts w:hint="eastAsia" w:ascii="仿宋" w:hAnsi="仿宋" w:eastAsia="仿宋" w:cs="仿宋"/>
                <w:sz w:val="24"/>
                <w:highlight w:val="none"/>
              </w:rPr>
              <w:t>（10分）</w:t>
            </w:r>
          </w:p>
        </w:tc>
        <w:tc>
          <w:tcPr>
            <w:tcW w:w="5586" w:type="dxa"/>
            <w:vAlign w:val="center"/>
          </w:tcPr>
          <w:p w14:paraId="29A33F61">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比选申请人提供核心体系设计方案，内容包括但不限于：</w:t>
            </w:r>
          </w:p>
          <w:p w14:paraId="76C33B49">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①转型专项建议</w:t>
            </w:r>
          </w:p>
          <w:p w14:paraId="3AC65190">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②现状诊断与分析</w:t>
            </w:r>
          </w:p>
          <w:p w14:paraId="6533C678">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③职级体系设计</w:t>
            </w:r>
          </w:p>
          <w:p w14:paraId="0E51DC89">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④薪酬激励体系搭建</w:t>
            </w:r>
          </w:p>
          <w:p w14:paraId="75863FAB">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⑤绩效管理体系设计</w:t>
            </w:r>
          </w:p>
          <w:p w14:paraId="3A458366">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（1）方案完整、清晰、针对性强，能够充分满足项目需求的，得10分；</w:t>
            </w:r>
          </w:p>
          <w:p w14:paraId="17CEB8B3">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（2）方案比较完整、清晰、针对性较强，较充分满足项目需求的，得6分；</w:t>
            </w:r>
          </w:p>
          <w:p w14:paraId="709059EE">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（3）方案基本完整、基本清晰、具有一定的针对性，基本满足项目需求的，得2分；</w:t>
            </w:r>
          </w:p>
          <w:p w14:paraId="6CD6F46C">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highlight w:val="none"/>
              </w:rPr>
              <w:t>（4）方案不可行或未提供方案的不得分。</w:t>
            </w:r>
          </w:p>
        </w:tc>
      </w:tr>
      <w:tr w14:paraId="194FCE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58" w:hRule="atLeast"/>
          <w:jc w:val="center"/>
        </w:trPr>
        <w:tc>
          <w:tcPr>
            <w:tcW w:w="808" w:type="dxa"/>
            <w:vMerge w:val="continue"/>
            <w:tcBorders>
              <w:right w:val="single" w:color="auto" w:sz="4" w:space="0"/>
            </w:tcBorders>
            <w:vAlign w:val="center"/>
          </w:tcPr>
          <w:p w14:paraId="79FA9FB1">
            <w:pPr>
              <w:spacing w:line="400" w:lineRule="exact"/>
              <w:ind w:firstLine="240" w:firstLineChars="100"/>
              <w:jc w:val="center"/>
              <w:rPr>
                <w:rFonts w:hint="eastAsia" w:ascii="仿宋" w:hAnsi="仿宋" w:eastAsia="仿宋" w:cs="仿宋"/>
                <w:sz w:val="24"/>
                <w:szCs w:val="24"/>
                <w:highlight w:val="none"/>
              </w:rPr>
            </w:pPr>
          </w:p>
        </w:tc>
        <w:tc>
          <w:tcPr>
            <w:tcW w:w="1144" w:type="dxa"/>
            <w:vMerge w:val="continue"/>
            <w:tcBorders>
              <w:left w:val="single" w:color="auto" w:sz="4" w:space="0"/>
            </w:tcBorders>
            <w:vAlign w:val="center"/>
          </w:tcPr>
          <w:p w14:paraId="1ECD5545">
            <w:pPr>
              <w:spacing w:line="400" w:lineRule="exact"/>
              <w:ind w:firstLine="240" w:firstLineChars="100"/>
              <w:jc w:val="center"/>
              <w:rPr>
                <w:rFonts w:hint="eastAsia" w:ascii="仿宋" w:hAnsi="仿宋" w:eastAsia="仿宋" w:cs="仿宋"/>
                <w:sz w:val="24"/>
                <w:szCs w:val="24"/>
                <w:highlight w:val="none"/>
              </w:rPr>
            </w:pPr>
          </w:p>
        </w:tc>
        <w:tc>
          <w:tcPr>
            <w:tcW w:w="448" w:type="dxa"/>
            <w:vMerge w:val="restart"/>
            <w:tcBorders>
              <w:right w:val="single" w:color="auto" w:sz="4" w:space="0"/>
            </w:tcBorders>
          </w:tcPr>
          <w:p w14:paraId="464CF73B">
            <w:pPr>
              <w:tabs>
                <w:tab w:val="left" w:pos="1875"/>
              </w:tabs>
              <w:spacing w:line="400" w:lineRule="exact"/>
              <w:jc w:val="left"/>
              <w:rPr>
                <w:rFonts w:hint="eastAsia" w:ascii="仿宋" w:hAnsi="仿宋" w:eastAsia="仿宋" w:cs="仿宋"/>
                <w:sz w:val="24"/>
                <w:szCs w:val="24"/>
                <w:highlight w:val="none"/>
              </w:rPr>
            </w:pPr>
          </w:p>
          <w:p w14:paraId="11B570FF">
            <w:pPr>
              <w:tabs>
                <w:tab w:val="left" w:pos="1875"/>
              </w:tabs>
              <w:spacing w:line="400" w:lineRule="exact"/>
              <w:jc w:val="left"/>
              <w:rPr>
                <w:rFonts w:hint="eastAsia" w:ascii="仿宋" w:hAnsi="仿宋" w:eastAsia="仿宋" w:cs="仿宋"/>
                <w:sz w:val="24"/>
                <w:szCs w:val="24"/>
                <w:highlight w:val="none"/>
              </w:rPr>
            </w:pPr>
          </w:p>
          <w:p w14:paraId="78BCA2F3">
            <w:pPr>
              <w:tabs>
                <w:tab w:val="left" w:pos="1875"/>
              </w:tabs>
              <w:spacing w:line="400" w:lineRule="exact"/>
              <w:jc w:val="left"/>
              <w:rPr>
                <w:rFonts w:hint="eastAsia" w:ascii="仿宋" w:hAnsi="仿宋" w:eastAsia="仿宋" w:cs="仿宋"/>
                <w:sz w:val="24"/>
                <w:szCs w:val="24"/>
                <w:highlight w:val="none"/>
              </w:rPr>
            </w:pPr>
          </w:p>
          <w:p w14:paraId="77C44CF2">
            <w:pPr>
              <w:tabs>
                <w:tab w:val="left" w:pos="1875"/>
              </w:tabs>
              <w:spacing w:line="400" w:lineRule="exact"/>
              <w:jc w:val="left"/>
              <w:rPr>
                <w:rFonts w:hint="eastAsia" w:ascii="仿宋" w:hAnsi="仿宋" w:eastAsia="仿宋" w:cs="仿宋"/>
                <w:sz w:val="24"/>
                <w:szCs w:val="24"/>
                <w:highlight w:val="none"/>
              </w:rPr>
            </w:pPr>
          </w:p>
          <w:p w14:paraId="40C8C5BE">
            <w:pPr>
              <w:tabs>
                <w:tab w:val="left" w:pos="1875"/>
              </w:tabs>
              <w:spacing w:line="400" w:lineRule="exact"/>
              <w:jc w:val="left"/>
              <w:rPr>
                <w:rFonts w:hint="eastAsia" w:ascii="仿宋" w:hAnsi="仿宋" w:eastAsia="仿宋" w:cs="仿宋"/>
                <w:sz w:val="24"/>
                <w:szCs w:val="24"/>
                <w:highlight w:val="none"/>
              </w:rPr>
            </w:pPr>
          </w:p>
          <w:p w14:paraId="7156DE2A">
            <w:pPr>
              <w:tabs>
                <w:tab w:val="left" w:pos="1875"/>
              </w:tabs>
              <w:spacing w:line="400" w:lineRule="exact"/>
              <w:jc w:val="left"/>
              <w:rPr>
                <w:rFonts w:hint="eastAsia" w:ascii="仿宋" w:hAnsi="仿宋" w:eastAsia="仿宋" w:cs="仿宋"/>
                <w:sz w:val="24"/>
                <w:szCs w:val="24"/>
                <w:highlight w:val="none"/>
              </w:rPr>
            </w:pPr>
          </w:p>
        </w:tc>
        <w:tc>
          <w:tcPr>
            <w:tcW w:w="1894" w:type="dxa"/>
            <w:tcBorders>
              <w:left w:val="single" w:color="auto" w:sz="4" w:space="0"/>
            </w:tcBorders>
            <w:vAlign w:val="center"/>
          </w:tcPr>
          <w:p w14:paraId="2C95F0CA">
            <w:pPr>
              <w:tabs>
                <w:tab w:val="left" w:pos="1875"/>
              </w:tabs>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专项实施与赋能方案</w:t>
            </w:r>
          </w:p>
          <w:p w14:paraId="0F432EDB">
            <w:pPr>
              <w:pStyle w:val="9"/>
              <w:jc w:val="center"/>
              <w:rPr>
                <w:rFonts w:hint="eastAsia" w:ascii="仿宋" w:hAnsi="仿宋" w:eastAsia="仿宋" w:cs="仿宋"/>
                <w:highlight w:val="none"/>
              </w:rPr>
            </w:pPr>
            <w:r>
              <w:rPr>
                <w:rFonts w:hint="eastAsia" w:ascii="仿宋" w:hAnsi="仿宋" w:eastAsia="仿宋" w:cs="仿宋"/>
                <w:sz w:val="24"/>
                <w:highlight w:val="none"/>
              </w:rPr>
              <w:t>（5分）</w:t>
            </w:r>
          </w:p>
        </w:tc>
        <w:tc>
          <w:tcPr>
            <w:tcW w:w="5586" w:type="dxa"/>
            <w:vAlign w:val="center"/>
          </w:tcPr>
          <w:p w14:paraId="1F694740">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比选申请人提供专项实施与赋能方案，内容包括但不限于：</w:t>
            </w:r>
          </w:p>
          <w:p w14:paraId="24DF24DD">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①干部竞聘实施方案</w:t>
            </w:r>
          </w:p>
          <w:p w14:paraId="1F95F81F">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②实施辅导与赋能</w:t>
            </w:r>
          </w:p>
          <w:p w14:paraId="575C7BD3">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③干部竞聘方案需明确流程、任职标准、评估工具、监督机制等</w:t>
            </w:r>
          </w:p>
          <w:p w14:paraId="12074132">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（1）进度计划完整、清晰、针对性强，能够充分满足项目需求的，得5分；</w:t>
            </w:r>
          </w:p>
          <w:p w14:paraId="3B5CD216">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（2）进度计划比较完整、清晰、针对性较强，较充分满足项目需求的，得3分；</w:t>
            </w:r>
          </w:p>
          <w:p w14:paraId="72F4754C">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（3）进度计划基本完整、基本清晰、具有一定的针对性，基本满足项目需求的，得1分；</w:t>
            </w:r>
          </w:p>
          <w:p w14:paraId="2744E69D">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highlight w:val="none"/>
              </w:rPr>
              <w:t>（4）进度计划不可行或未提供方案的不得分。</w:t>
            </w:r>
          </w:p>
        </w:tc>
      </w:tr>
      <w:tr w14:paraId="6523B1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4" w:hRule="atLeast"/>
          <w:jc w:val="center"/>
        </w:trPr>
        <w:tc>
          <w:tcPr>
            <w:tcW w:w="808" w:type="dxa"/>
            <w:vMerge w:val="continue"/>
            <w:tcBorders>
              <w:right w:val="single" w:color="auto" w:sz="4" w:space="0"/>
            </w:tcBorders>
            <w:vAlign w:val="center"/>
          </w:tcPr>
          <w:p w14:paraId="25A6916F">
            <w:pPr>
              <w:spacing w:line="400" w:lineRule="exact"/>
              <w:ind w:firstLine="240" w:firstLineChars="100"/>
              <w:jc w:val="center"/>
              <w:rPr>
                <w:rFonts w:hint="eastAsia" w:ascii="仿宋" w:hAnsi="仿宋" w:eastAsia="仿宋" w:cs="仿宋"/>
                <w:sz w:val="24"/>
                <w:szCs w:val="24"/>
                <w:highlight w:val="none"/>
              </w:rPr>
            </w:pPr>
          </w:p>
        </w:tc>
        <w:tc>
          <w:tcPr>
            <w:tcW w:w="1144" w:type="dxa"/>
            <w:vMerge w:val="continue"/>
            <w:tcBorders>
              <w:left w:val="single" w:color="auto" w:sz="4" w:space="0"/>
            </w:tcBorders>
            <w:vAlign w:val="center"/>
          </w:tcPr>
          <w:p w14:paraId="0226226C">
            <w:pPr>
              <w:spacing w:line="400" w:lineRule="exact"/>
              <w:ind w:firstLine="240" w:firstLineChars="100"/>
              <w:jc w:val="center"/>
              <w:rPr>
                <w:rFonts w:hint="eastAsia" w:ascii="仿宋" w:hAnsi="仿宋" w:eastAsia="仿宋" w:cs="仿宋"/>
                <w:sz w:val="24"/>
                <w:szCs w:val="24"/>
                <w:highlight w:val="none"/>
              </w:rPr>
            </w:pPr>
          </w:p>
        </w:tc>
        <w:tc>
          <w:tcPr>
            <w:tcW w:w="448" w:type="dxa"/>
            <w:vMerge w:val="continue"/>
            <w:tcBorders>
              <w:right w:val="single" w:color="auto" w:sz="4" w:space="0"/>
            </w:tcBorders>
          </w:tcPr>
          <w:p w14:paraId="0C034D93">
            <w:pPr>
              <w:tabs>
                <w:tab w:val="left" w:pos="1875"/>
              </w:tabs>
              <w:spacing w:line="400" w:lineRule="exact"/>
              <w:jc w:val="left"/>
              <w:rPr>
                <w:rFonts w:hint="eastAsia" w:ascii="仿宋" w:hAnsi="仿宋" w:eastAsia="仿宋" w:cs="仿宋"/>
                <w:sz w:val="24"/>
                <w:szCs w:val="24"/>
                <w:highlight w:val="none"/>
              </w:rPr>
            </w:pPr>
          </w:p>
        </w:tc>
        <w:tc>
          <w:tcPr>
            <w:tcW w:w="1894" w:type="dxa"/>
            <w:tcBorders>
              <w:left w:val="single" w:color="auto" w:sz="4" w:space="0"/>
            </w:tcBorders>
            <w:vAlign w:val="center"/>
          </w:tcPr>
          <w:p w14:paraId="75C3A6B1">
            <w:pPr>
              <w:tabs>
                <w:tab w:val="left" w:pos="1875"/>
              </w:tabs>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团队人员配备方案</w:t>
            </w:r>
          </w:p>
          <w:p w14:paraId="6DDEBE2A">
            <w:pPr>
              <w:pStyle w:val="9"/>
              <w:jc w:val="center"/>
              <w:rPr>
                <w:rFonts w:hint="eastAsia" w:ascii="仿宋" w:hAnsi="仿宋" w:eastAsia="仿宋" w:cs="仿宋"/>
                <w:highlight w:val="none"/>
              </w:rPr>
            </w:pPr>
            <w:r>
              <w:rPr>
                <w:rFonts w:hint="eastAsia" w:ascii="仿宋" w:hAnsi="仿宋" w:eastAsia="仿宋" w:cs="仿宋"/>
                <w:sz w:val="24"/>
                <w:highlight w:val="none"/>
              </w:rPr>
              <w:t>（5分）</w:t>
            </w:r>
          </w:p>
        </w:tc>
        <w:tc>
          <w:tcPr>
            <w:tcW w:w="5586" w:type="dxa"/>
            <w:vAlign w:val="center"/>
          </w:tcPr>
          <w:p w14:paraId="15323524">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比选申请人提供团队人员配备方案，包括但不限于：①全流程质量管控机制</w:t>
            </w:r>
          </w:p>
          <w:p w14:paraId="422D5E80">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②质量自查与验收配合措施</w:t>
            </w:r>
          </w:p>
          <w:p w14:paraId="618F25B8">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③售后服务内容及响应机制；</w:t>
            </w:r>
          </w:p>
          <w:p w14:paraId="4BA70026">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（1）质量保障措施完整、清晰、针对性强，能够充分满足项目需求的，得5分；</w:t>
            </w:r>
          </w:p>
          <w:p w14:paraId="60BD98C1">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（2）质量保障措施比较完整、清晰、针对性较强，较充分满足项目需求的，得3分；</w:t>
            </w:r>
          </w:p>
          <w:p w14:paraId="649A13FB">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（3）质量保障措施基本完整、基本清晰、具有一定的针对性，基本满足项目需求的，得1分；</w:t>
            </w:r>
          </w:p>
          <w:p w14:paraId="05FD654B">
            <w:pPr>
              <w:widowControl/>
              <w:snapToGrid w:val="0"/>
              <w:spacing w:line="320" w:lineRule="exact"/>
              <w:jc w:val="left"/>
              <w:rPr>
                <w:rFonts w:hint="eastAsia" w:ascii="仿宋" w:hAnsi="仿宋" w:eastAsia="仿宋" w:cs="仿宋"/>
                <w:sz w:val="24"/>
                <w:szCs w:val="24"/>
                <w:highlight w:val="none"/>
              </w:rPr>
            </w:pPr>
            <w:r>
              <w:rPr>
                <w:rFonts w:hint="eastAsia" w:ascii="仿宋" w:hAnsi="仿宋" w:eastAsia="仿宋" w:cs="仿宋"/>
                <w:sz w:val="24"/>
                <w:highlight w:val="none"/>
              </w:rPr>
              <w:t>（4）措施不可行或未提供措施的不得分。</w:t>
            </w:r>
          </w:p>
        </w:tc>
      </w:tr>
      <w:tr w14:paraId="56CBC2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952" w:type="dxa"/>
            <w:gridSpan w:val="2"/>
            <w:vAlign w:val="center"/>
          </w:tcPr>
          <w:p w14:paraId="2555ECFB">
            <w:pPr>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2342" w:type="dxa"/>
            <w:gridSpan w:val="2"/>
            <w:vAlign w:val="center"/>
          </w:tcPr>
          <w:p w14:paraId="6C712562">
            <w:pPr>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评分因素</w:t>
            </w:r>
          </w:p>
        </w:tc>
        <w:tc>
          <w:tcPr>
            <w:tcW w:w="5586" w:type="dxa"/>
            <w:vAlign w:val="center"/>
          </w:tcPr>
          <w:p w14:paraId="4BB41663">
            <w:pPr>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评分标准</w:t>
            </w:r>
          </w:p>
        </w:tc>
      </w:tr>
      <w:tr w14:paraId="49D346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808" w:type="dxa"/>
            <w:vMerge w:val="restart"/>
            <w:tcBorders>
              <w:right w:val="single" w:color="auto" w:sz="4" w:space="0"/>
            </w:tcBorders>
            <w:vAlign w:val="center"/>
          </w:tcPr>
          <w:p w14:paraId="61F0E5D0">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2.2.4（2）</w:t>
            </w:r>
          </w:p>
        </w:tc>
        <w:tc>
          <w:tcPr>
            <w:tcW w:w="1144" w:type="dxa"/>
            <w:vMerge w:val="restart"/>
            <w:tcBorders>
              <w:left w:val="single" w:color="auto" w:sz="4" w:space="0"/>
            </w:tcBorders>
            <w:vAlign w:val="center"/>
          </w:tcPr>
          <w:p w14:paraId="71AD4370">
            <w:pPr>
              <w:spacing w:line="400" w:lineRule="exact"/>
              <w:ind w:left="-96" w:leftChars="-30" w:right="-96" w:rightChars="-3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商务部分评分（B）标准</w:t>
            </w:r>
          </w:p>
        </w:tc>
        <w:tc>
          <w:tcPr>
            <w:tcW w:w="2342" w:type="dxa"/>
            <w:gridSpan w:val="2"/>
            <w:vAlign w:val="center"/>
          </w:tcPr>
          <w:p w14:paraId="1F010897">
            <w:pPr>
              <w:tabs>
                <w:tab w:val="left" w:pos="1875"/>
              </w:tabs>
              <w:spacing w:line="400" w:lineRule="exact"/>
              <w:rPr>
                <w:rFonts w:hint="eastAsia" w:ascii="仿宋" w:hAnsi="仿宋" w:eastAsia="仿宋" w:cs="仿宋"/>
                <w:sz w:val="24"/>
                <w:szCs w:val="24"/>
                <w:highlight w:val="none"/>
              </w:rPr>
            </w:pPr>
            <w:r>
              <w:rPr>
                <w:rFonts w:hint="eastAsia" w:ascii="仿宋" w:hAnsi="仿宋" w:eastAsia="仿宋" w:cs="仿宋"/>
                <w:sz w:val="24"/>
                <w:szCs w:val="20"/>
                <w:highlight w:val="none"/>
              </w:rPr>
              <w:t>商务部分总体评审标准</w:t>
            </w:r>
          </w:p>
        </w:tc>
        <w:tc>
          <w:tcPr>
            <w:tcW w:w="5586" w:type="dxa"/>
            <w:vAlign w:val="center"/>
          </w:tcPr>
          <w:p w14:paraId="05B347B9">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18"/>
                <w:highlight w:val="none"/>
              </w:rPr>
              <w:t>商务部分评分为客观评分，评标委员会按以下各评审因素设定的分值进行评分且保证分值统一。</w:t>
            </w:r>
          </w:p>
        </w:tc>
      </w:tr>
      <w:tr w14:paraId="7C18AB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49538BFE">
            <w:pPr>
              <w:spacing w:line="400" w:lineRule="exact"/>
              <w:rPr>
                <w:rFonts w:hint="eastAsia" w:ascii="仿宋" w:hAnsi="仿宋" w:eastAsia="仿宋" w:cs="仿宋"/>
                <w:sz w:val="24"/>
                <w:szCs w:val="24"/>
                <w:highlight w:val="none"/>
              </w:rPr>
            </w:pPr>
          </w:p>
        </w:tc>
        <w:tc>
          <w:tcPr>
            <w:tcW w:w="1144" w:type="dxa"/>
            <w:vMerge w:val="continue"/>
            <w:tcBorders>
              <w:left w:val="single" w:color="auto" w:sz="4" w:space="0"/>
            </w:tcBorders>
            <w:vAlign w:val="center"/>
          </w:tcPr>
          <w:p w14:paraId="252E7015">
            <w:pPr>
              <w:spacing w:line="400" w:lineRule="exact"/>
              <w:ind w:left="-96" w:leftChars="-30" w:right="-96" w:rightChars="-30"/>
              <w:jc w:val="center"/>
              <w:rPr>
                <w:rFonts w:hint="eastAsia" w:ascii="仿宋" w:hAnsi="仿宋" w:eastAsia="仿宋" w:cs="仿宋"/>
                <w:sz w:val="24"/>
                <w:szCs w:val="24"/>
                <w:highlight w:val="none"/>
              </w:rPr>
            </w:pPr>
          </w:p>
        </w:tc>
        <w:tc>
          <w:tcPr>
            <w:tcW w:w="2342" w:type="dxa"/>
            <w:gridSpan w:val="2"/>
            <w:vAlign w:val="center"/>
          </w:tcPr>
          <w:p w14:paraId="018EA32F">
            <w:pPr>
              <w:tabs>
                <w:tab w:val="left" w:pos="1875"/>
              </w:tabs>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比选申请人业绩</w:t>
            </w:r>
          </w:p>
          <w:p w14:paraId="5816F579">
            <w:pPr>
              <w:pStyle w:val="9"/>
              <w:jc w:val="center"/>
              <w:rPr>
                <w:rFonts w:hint="eastAsia" w:ascii="仿宋" w:hAnsi="仿宋" w:eastAsia="仿宋" w:cs="仿宋"/>
                <w:highlight w:val="none"/>
              </w:rPr>
            </w:pPr>
            <w:r>
              <w:rPr>
                <w:rFonts w:hint="eastAsia" w:ascii="仿宋" w:hAnsi="仿宋" w:eastAsia="仿宋" w:cs="仿宋"/>
                <w:sz w:val="24"/>
                <w:szCs w:val="24"/>
                <w:highlight w:val="none"/>
              </w:rPr>
              <w:t>（10分）</w:t>
            </w:r>
          </w:p>
        </w:tc>
        <w:tc>
          <w:tcPr>
            <w:tcW w:w="5586" w:type="dxa"/>
            <w:vAlign w:val="center"/>
          </w:tcPr>
          <w:p w14:paraId="03D41407">
            <w:pPr>
              <w:widowControl/>
              <w:snapToGrid w:val="0"/>
              <w:spacing w:line="320" w:lineRule="exact"/>
              <w:jc w:val="left"/>
              <w:rPr>
                <w:rFonts w:hint="eastAsia" w:ascii="仿宋" w:hAnsi="仿宋" w:eastAsia="仿宋" w:cs="仿宋"/>
                <w:strike/>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在通过资格审查的基础上（通过资格审查的业绩不参与商务评审），</w:t>
            </w:r>
            <w:r>
              <w:rPr>
                <w:rFonts w:hint="eastAsia" w:ascii="仿宋" w:hAnsi="仿宋" w:eastAsia="仿宋" w:cs="仿宋"/>
                <w:color w:val="000000" w:themeColor="text1"/>
                <w:sz w:val="24"/>
                <w:highlight w:val="none"/>
                <w14:textFill>
                  <w14:solidFill>
                    <w14:schemeClr w14:val="tx1"/>
                  </w14:solidFill>
                </w14:textFill>
              </w:rPr>
              <w:t>比选申请人自2022年1月1日至投标截止日（以合同签订时间为准）承担过开展企业管理咨询或组织变革或人力资源体系设计相关服务项目的，每实施一个项目得5分，最高得10分。</w:t>
            </w:r>
          </w:p>
          <w:p w14:paraId="7A111327">
            <w:pPr>
              <w:spacing w:line="360" w:lineRule="auto"/>
              <w:rPr>
                <w:rFonts w:hint="eastAsia" w:ascii="仿宋" w:hAnsi="仿宋" w:eastAsia="仿宋" w:cs="仿宋"/>
                <w:sz w:val="24"/>
                <w:szCs w:val="18"/>
                <w:highlight w:val="none"/>
              </w:rPr>
            </w:pPr>
            <w:r>
              <w:rPr>
                <w:rFonts w:hint="eastAsia" w:ascii="仿宋" w:hAnsi="仿宋" w:eastAsia="仿宋" w:cs="仿宋"/>
                <w:color w:val="000000" w:themeColor="text1"/>
                <w:sz w:val="24"/>
                <w:highlight w:val="none"/>
                <w14:textFill>
                  <w14:solidFill>
                    <w14:schemeClr w14:val="tx1"/>
                  </w14:solidFill>
                </w14:textFill>
              </w:rPr>
              <w:t>【须提供合同复印件加盖公章，原件备查。合同须体现项目内容、签订时间、签章页等。如合同不能体现的需提供相关证明材料，</w:t>
            </w:r>
            <w:r>
              <w:rPr>
                <w:rFonts w:hint="eastAsia" w:ascii="仿宋" w:hAnsi="仿宋" w:eastAsia="仿宋" w:cs="仿宋"/>
                <w:b/>
                <w:bCs/>
                <w:color w:val="000000" w:themeColor="text1"/>
                <w:sz w:val="24"/>
                <w:highlight w:val="none"/>
                <w14:textFill>
                  <w14:solidFill>
                    <w14:schemeClr w14:val="tx1"/>
                  </w14:solidFill>
                </w14:textFill>
              </w:rPr>
              <w:t>此项业绩材料与项目负责人业绩材料不重复计分。</w:t>
            </w:r>
            <w:r>
              <w:rPr>
                <w:rFonts w:hint="eastAsia" w:ascii="仿宋" w:hAnsi="仿宋" w:eastAsia="仿宋" w:cs="仿宋"/>
                <w:color w:val="000000" w:themeColor="text1"/>
                <w:sz w:val="24"/>
                <w:highlight w:val="none"/>
                <w14:textFill>
                  <w14:solidFill>
                    <w14:schemeClr w14:val="tx1"/>
                  </w14:solidFill>
                </w14:textFill>
              </w:rPr>
              <w:t>】</w:t>
            </w:r>
          </w:p>
        </w:tc>
      </w:tr>
      <w:tr w14:paraId="109319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5972F3B6">
            <w:pPr>
              <w:spacing w:line="400" w:lineRule="exact"/>
              <w:rPr>
                <w:rFonts w:hint="eastAsia" w:ascii="仿宋" w:hAnsi="仿宋" w:eastAsia="仿宋" w:cs="仿宋"/>
                <w:sz w:val="24"/>
                <w:szCs w:val="24"/>
                <w:highlight w:val="none"/>
              </w:rPr>
            </w:pPr>
          </w:p>
        </w:tc>
        <w:tc>
          <w:tcPr>
            <w:tcW w:w="1144" w:type="dxa"/>
            <w:vMerge w:val="continue"/>
            <w:tcBorders>
              <w:left w:val="single" w:color="auto" w:sz="4" w:space="0"/>
            </w:tcBorders>
            <w:vAlign w:val="center"/>
          </w:tcPr>
          <w:p w14:paraId="29FC80BC">
            <w:pPr>
              <w:spacing w:line="400" w:lineRule="exact"/>
              <w:ind w:left="-96" w:leftChars="-30" w:right="-96" w:rightChars="-30"/>
              <w:jc w:val="center"/>
              <w:rPr>
                <w:rFonts w:hint="eastAsia" w:ascii="仿宋" w:hAnsi="仿宋" w:eastAsia="仿宋" w:cs="仿宋"/>
                <w:sz w:val="24"/>
                <w:szCs w:val="24"/>
                <w:highlight w:val="none"/>
              </w:rPr>
            </w:pPr>
          </w:p>
        </w:tc>
        <w:tc>
          <w:tcPr>
            <w:tcW w:w="2342" w:type="dxa"/>
            <w:gridSpan w:val="2"/>
            <w:vAlign w:val="center"/>
          </w:tcPr>
          <w:p w14:paraId="56E36A30">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项目负责人业绩</w:t>
            </w:r>
          </w:p>
          <w:p w14:paraId="6D6D8E9F">
            <w:pPr>
              <w:pStyle w:val="9"/>
              <w:jc w:val="center"/>
              <w:rPr>
                <w:rFonts w:hint="eastAsia" w:ascii="仿宋" w:hAnsi="仿宋" w:eastAsia="仿宋" w:cs="仿宋"/>
                <w:highlight w:val="none"/>
              </w:rPr>
            </w:pPr>
            <w:r>
              <w:rPr>
                <w:rFonts w:hint="eastAsia" w:ascii="仿宋" w:hAnsi="仿宋" w:eastAsia="仿宋" w:cs="仿宋"/>
                <w:sz w:val="24"/>
                <w:szCs w:val="24"/>
                <w:highlight w:val="none"/>
              </w:rPr>
              <w:t>（5分）</w:t>
            </w:r>
          </w:p>
        </w:tc>
        <w:tc>
          <w:tcPr>
            <w:tcW w:w="5586" w:type="dxa"/>
            <w:vAlign w:val="center"/>
          </w:tcPr>
          <w:p w14:paraId="1F056C24">
            <w:pPr>
              <w:widowControl/>
              <w:snapToGrid w:val="0"/>
              <w:spacing w:line="32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在通过资格审查的基础上（通过资格审查的业绩不参与商务评审），</w:t>
            </w:r>
            <w:r>
              <w:rPr>
                <w:rFonts w:hint="eastAsia" w:ascii="仿宋" w:hAnsi="仿宋" w:eastAsia="仿宋" w:cs="仿宋"/>
                <w:color w:val="000000" w:themeColor="text1"/>
                <w:sz w:val="24"/>
                <w:highlight w:val="none"/>
                <w14:textFill>
                  <w14:solidFill>
                    <w14:schemeClr w14:val="tx1"/>
                  </w14:solidFill>
                </w14:textFill>
              </w:rPr>
              <w:t>拟派项目负责人自2022年1月1日至今（以合同签订时间为准）承担过开展企业管理咨询或组织变革或人力资源体系设计相关服务项目的，每实施一个项目得5分，最高得5分。</w:t>
            </w:r>
          </w:p>
          <w:p w14:paraId="2E1256A7">
            <w:pPr>
              <w:widowControl/>
              <w:snapToGrid w:val="0"/>
              <w:spacing w:line="320" w:lineRule="exact"/>
              <w:jc w:val="left"/>
              <w:rPr>
                <w:rFonts w:hint="eastAsia" w:ascii="仿宋" w:hAnsi="仿宋" w:eastAsia="仿宋" w:cs="仿宋"/>
                <w:sz w:val="24"/>
                <w:szCs w:val="18"/>
                <w:highlight w:val="none"/>
              </w:rPr>
            </w:pPr>
            <w:r>
              <w:rPr>
                <w:rFonts w:hint="eastAsia" w:ascii="仿宋" w:hAnsi="仿宋" w:eastAsia="仿宋" w:cs="仿宋"/>
                <w:color w:val="000000" w:themeColor="text1"/>
                <w:sz w:val="24"/>
                <w:highlight w:val="none"/>
                <w14:textFill>
                  <w14:solidFill>
                    <w14:schemeClr w14:val="tx1"/>
                  </w14:solidFill>
                </w14:textFill>
              </w:rPr>
              <w:t>【须提供合同复印件加盖公章，原件备查。合同须体现项目内容、签订时间、签章页等。如合同不能体现的需提供相关证明材料】</w:t>
            </w:r>
          </w:p>
        </w:tc>
      </w:tr>
      <w:tr w14:paraId="7D0097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04" w:hRule="atLeast"/>
          <w:jc w:val="center"/>
        </w:trPr>
        <w:tc>
          <w:tcPr>
            <w:tcW w:w="808" w:type="dxa"/>
            <w:vMerge w:val="continue"/>
            <w:tcBorders>
              <w:right w:val="single" w:color="auto" w:sz="4" w:space="0"/>
            </w:tcBorders>
            <w:vAlign w:val="center"/>
          </w:tcPr>
          <w:p w14:paraId="764B5B4D">
            <w:pPr>
              <w:spacing w:line="400" w:lineRule="exact"/>
              <w:rPr>
                <w:rFonts w:hint="eastAsia" w:ascii="仿宋" w:hAnsi="仿宋" w:eastAsia="仿宋" w:cs="仿宋"/>
                <w:sz w:val="24"/>
                <w:szCs w:val="24"/>
                <w:highlight w:val="none"/>
              </w:rPr>
            </w:pPr>
          </w:p>
        </w:tc>
        <w:tc>
          <w:tcPr>
            <w:tcW w:w="1144" w:type="dxa"/>
            <w:vMerge w:val="continue"/>
            <w:tcBorders>
              <w:left w:val="single" w:color="auto" w:sz="4" w:space="0"/>
            </w:tcBorders>
            <w:vAlign w:val="center"/>
          </w:tcPr>
          <w:p w14:paraId="43FA980D">
            <w:pPr>
              <w:spacing w:line="400" w:lineRule="exact"/>
              <w:ind w:left="-96" w:leftChars="-30" w:right="-96" w:rightChars="-30"/>
              <w:jc w:val="center"/>
              <w:rPr>
                <w:rFonts w:hint="eastAsia" w:ascii="仿宋" w:hAnsi="仿宋" w:eastAsia="仿宋" w:cs="仿宋"/>
                <w:sz w:val="24"/>
                <w:szCs w:val="24"/>
                <w:highlight w:val="none"/>
              </w:rPr>
            </w:pPr>
          </w:p>
        </w:tc>
        <w:tc>
          <w:tcPr>
            <w:tcW w:w="2342" w:type="dxa"/>
            <w:gridSpan w:val="2"/>
            <w:vAlign w:val="center"/>
          </w:tcPr>
          <w:p w14:paraId="7FA806F5">
            <w:pPr>
              <w:spacing w:line="400" w:lineRule="exact"/>
              <w:jc w:val="center"/>
              <w:rPr>
                <w:rFonts w:hint="eastAsia" w:ascii="仿宋" w:hAnsi="仿宋" w:eastAsia="仿宋" w:cs="仿宋"/>
                <w:sz w:val="24"/>
                <w:szCs w:val="20"/>
                <w:highlight w:val="none"/>
              </w:rPr>
            </w:pPr>
            <w:r>
              <w:rPr>
                <w:rFonts w:hint="eastAsia" w:ascii="仿宋" w:hAnsi="仿宋" w:eastAsia="仿宋" w:cs="仿宋"/>
                <w:sz w:val="24"/>
                <w:szCs w:val="24"/>
                <w:highlight w:val="none"/>
              </w:rPr>
              <w:t>人员</w:t>
            </w:r>
            <w:r>
              <w:rPr>
                <w:rFonts w:hint="eastAsia" w:ascii="仿宋" w:hAnsi="仿宋" w:eastAsia="仿宋" w:cs="仿宋"/>
                <w:sz w:val="24"/>
                <w:szCs w:val="20"/>
                <w:highlight w:val="none"/>
              </w:rPr>
              <w:t>职称（或执业）证书</w:t>
            </w:r>
          </w:p>
          <w:p w14:paraId="6C1FD5D8">
            <w:pPr>
              <w:pStyle w:val="9"/>
              <w:jc w:val="center"/>
              <w:rPr>
                <w:rFonts w:hint="eastAsia" w:ascii="仿宋" w:hAnsi="仿宋" w:eastAsia="仿宋" w:cs="仿宋"/>
                <w:highlight w:val="none"/>
              </w:rPr>
            </w:pPr>
            <w:r>
              <w:rPr>
                <w:rFonts w:hint="eastAsia" w:ascii="仿宋" w:hAnsi="仿宋" w:eastAsia="仿宋" w:cs="仿宋"/>
                <w:sz w:val="24"/>
                <w:szCs w:val="20"/>
                <w:highlight w:val="none"/>
              </w:rPr>
              <w:t>（5分）</w:t>
            </w:r>
          </w:p>
        </w:tc>
        <w:tc>
          <w:tcPr>
            <w:tcW w:w="5586" w:type="dxa"/>
            <w:vAlign w:val="center"/>
          </w:tcPr>
          <w:p w14:paraId="1C5BAE97">
            <w:pPr>
              <w:widowControl/>
              <w:snapToGrid w:val="0"/>
              <w:spacing w:line="320" w:lineRule="exact"/>
              <w:jc w:val="left"/>
              <w:rPr>
                <w:rFonts w:hint="eastAsia" w:ascii="仿宋" w:hAnsi="仿宋" w:eastAsia="仿宋" w:cs="仿宋"/>
                <w:sz w:val="24"/>
                <w:highlight w:val="none"/>
              </w:rPr>
            </w:pPr>
            <w:r>
              <w:rPr>
                <w:rFonts w:hint="eastAsia" w:ascii="仿宋" w:hAnsi="仿宋" w:eastAsia="仿宋" w:cs="仿宋"/>
                <w:sz w:val="24"/>
                <w:highlight w:val="none"/>
              </w:rPr>
              <w:t>拟派本项目的服务人员中有具备人力资源管理师二级及以上资格证书或相关专业高级职称的，人力资源管理师二级得2分，人力资源管理师一级或高级职称得3分，最高得5分。</w:t>
            </w:r>
          </w:p>
          <w:p w14:paraId="044598B9">
            <w:pPr>
              <w:autoSpaceDE w:val="0"/>
              <w:autoSpaceDN w:val="0"/>
              <w:snapToGrid w:val="0"/>
              <w:spacing w:line="360" w:lineRule="auto"/>
              <w:rPr>
                <w:rFonts w:hint="eastAsia" w:ascii="仿宋" w:hAnsi="仿宋" w:eastAsia="仿宋" w:cs="仿宋"/>
                <w:sz w:val="24"/>
                <w:szCs w:val="18"/>
                <w:highlight w:val="none"/>
              </w:rPr>
            </w:pPr>
            <w:r>
              <w:rPr>
                <w:rFonts w:hint="eastAsia" w:ascii="仿宋" w:hAnsi="仿宋" w:eastAsia="仿宋" w:cs="仿宋"/>
                <w:sz w:val="24"/>
                <w:highlight w:val="none"/>
              </w:rPr>
              <w:t>【提供人员相关证书或证明，以及比选申请人为其缴纳2025年全年度的养老保险证明材料扫描件（或复印件扫描件）。】</w:t>
            </w:r>
          </w:p>
        </w:tc>
      </w:tr>
      <w:tr w14:paraId="040808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restart"/>
            <w:tcBorders>
              <w:right w:val="single" w:color="auto" w:sz="4" w:space="0"/>
            </w:tcBorders>
            <w:vAlign w:val="center"/>
          </w:tcPr>
          <w:p w14:paraId="1AC9559F">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2.2.4（3）</w:t>
            </w:r>
          </w:p>
        </w:tc>
        <w:tc>
          <w:tcPr>
            <w:tcW w:w="1144" w:type="dxa"/>
            <w:vMerge w:val="restart"/>
            <w:tcBorders>
              <w:left w:val="single" w:color="auto" w:sz="4" w:space="0"/>
            </w:tcBorders>
            <w:vAlign w:val="center"/>
          </w:tcPr>
          <w:p w14:paraId="38E67E4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投标函部分评审标准</w:t>
            </w:r>
          </w:p>
        </w:tc>
        <w:tc>
          <w:tcPr>
            <w:tcW w:w="2342" w:type="dxa"/>
            <w:gridSpan w:val="2"/>
            <w:vAlign w:val="center"/>
          </w:tcPr>
          <w:p w14:paraId="7D86D7CF">
            <w:pPr>
              <w:tabs>
                <w:tab w:val="left" w:pos="1875"/>
              </w:tabs>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投标函部分的签名盖章</w:t>
            </w:r>
          </w:p>
        </w:tc>
        <w:tc>
          <w:tcPr>
            <w:tcW w:w="5586" w:type="dxa"/>
            <w:vAlign w:val="center"/>
          </w:tcPr>
          <w:p w14:paraId="391209A0">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投标函部分的格式要求法定代表人（或其委托代理人）签名（或盖章）的须齐全。</w:t>
            </w:r>
            <w:r>
              <w:rPr>
                <w:rFonts w:hint="eastAsia" w:ascii="仿宋" w:hAnsi="仿宋" w:eastAsia="仿宋" w:cs="仿宋"/>
                <w:sz w:val="24"/>
                <w:szCs w:val="18"/>
                <w:highlight w:val="none"/>
              </w:rPr>
              <w:t>要求签名的，</w:t>
            </w:r>
            <w:r>
              <w:rPr>
                <w:rFonts w:hint="eastAsia" w:ascii="仿宋" w:hAnsi="仿宋" w:eastAsia="仿宋" w:cs="仿宋"/>
                <w:sz w:val="24"/>
                <w:szCs w:val="24"/>
                <w:highlight w:val="none"/>
              </w:rPr>
              <w:t>签名采用手写签名</w:t>
            </w:r>
            <w:r>
              <w:rPr>
                <w:rFonts w:hint="eastAsia" w:ascii="仿宋" w:hAnsi="仿宋" w:eastAsia="仿宋" w:cs="仿宋"/>
                <w:sz w:val="24"/>
                <w:szCs w:val="18"/>
                <w:highlight w:val="none"/>
              </w:rPr>
              <w:t>或签章</w:t>
            </w:r>
            <w:r>
              <w:rPr>
                <w:rFonts w:hint="eastAsia" w:ascii="仿宋" w:hAnsi="仿宋" w:eastAsia="仿宋" w:cs="仿宋"/>
                <w:sz w:val="24"/>
                <w:szCs w:val="24"/>
                <w:highlight w:val="none"/>
              </w:rPr>
              <w:t>。要求加盖单位法人章的，应加盖比选申请人的单位印章。</w:t>
            </w:r>
          </w:p>
        </w:tc>
      </w:tr>
      <w:tr w14:paraId="0230F6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08" w:type="dxa"/>
            <w:vMerge w:val="continue"/>
            <w:tcBorders>
              <w:right w:val="single" w:color="auto" w:sz="4" w:space="0"/>
            </w:tcBorders>
            <w:vAlign w:val="center"/>
          </w:tcPr>
          <w:p w14:paraId="433A29DB">
            <w:pPr>
              <w:spacing w:line="400" w:lineRule="exact"/>
              <w:rPr>
                <w:rFonts w:hint="eastAsia" w:ascii="仿宋" w:hAnsi="仿宋" w:eastAsia="仿宋" w:cs="仿宋"/>
                <w:sz w:val="24"/>
                <w:szCs w:val="24"/>
                <w:highlight w:val="none"/>
              </w:rPr>
            </w:pPr>
          </w:p>
        </w:tc>
        <w:tc>
          <w:tcPr>
            <w:tcW w:w="1144" w:type="dxa"/>
            <w:vMerge w:val="continue"/>
            <w:tcBorders>
              <w:left w:val="single" w:color="auto" w:sz="4" w:space="0"/>
            </w:tcBorders>
            <w:vAlign w:val="center"/>
          </w:tcPr>
          <w:p w14:paraId="296481DD">
            <w:pPr>
              <w:spacing w:line="400" w:lineRule="exact"/>
              <w:ind w:firstLine="240" w:firstLineChars="100"/>
              <w:jc w:val="center"/>
              <w:rPr>
                <w:rFonts w:hint="eastAsia" w:ascii="仿宋" w:hAnsi="仿宋" w:eastAsia="仿宋" w:cs="仿宋"/>
                <w:sz w:val="24"/>
                <w:szCs w:val="24"/>
                <w:highlight w:val="none"/>
              </w:rPr>
            </w:pPr>
          </w:p>
        </w:tc>
        <w:tc>
          <w:tcPr>
            <w:tcW w:w="2342" w:type="dxa"/>
            <w:gridSpan w:val="2"/>
            <w:vAlign w:val="center"/>
          </w:tcPr>
          <w:p w14:paraId="0FD6C3D2">
            <w:pPr>
              <w:tabs>
                <w:tab w:val="left" w:pos="1875"/>
              </w:tabs>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5586" w:type="dxa"/>
            <w:vAlign w:val="center"/>
          </w:tcPr>
          <w:p w14:paraId="3D22FC2C">
            <w:pPr>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符合第二章“比选申请人须知”第1.3.2项规定</w:t>
            </w:r>
          </w:p>
        </w:tc>
      </w:tr>
      <w:tr w14:paraId="25A07C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08" w:type="dxa"/>
            <w:vMerge w:val="continue"/>
            <w:tcBorders>
              <w:right w:val="single" w:color="auto" w:sz="4" w:space="0"/>
            </w:tcBorders>
            <w:vAlign w:val="center"/>
          </w:tcPr>
          <w:p w14:paraId="2B640663">
            <w:pPr>
              <w:spacing w:line="400" w:lineRule="exact"/>
              <w:rPr>
                <w:rFonts w:hint="eastAsia" w:ascii="仿宋" w:hAnsi="仿宋" w:eastAsia="仿宋" w:cs="仿宋"/>
                <w:sz w:val="24"/>
                <w:szCs w:val="24"/>
                <w:highlight w:val="none"/>
              </w:rPr>
            </w:pPr>
          </w:p>
        </w:tc>
        <w:tc>
          <w:tcPr>
            <w:tcW w:w="1144" w:type="dxa"/>
            <w:vMerge w:val="continue"/>
            <w:tcBorders>
              <w:left w:val="single" w:color="auto" w:sz="4" w:space="0"/>
            </w:tcBorders>
            <w:vAlign w:val="center"/>
          </w:tcPr>
          <w:p w14:paraId="3755D797">
            <w:pPr>
              <w:spacing w:line="400" w:lineRule="exact"/>
              <w:ind w:firstLine="240" w:firstLineChars="100"/>
              <w:jc w:val="center"/>
              <w:rPr>
                <w:rFonts w:hint="eastAsia" w:ascii="仿宋" w:hAnsi="仿宋" w:eastAsia="仿宋" w:cs="仿宋"/>
                <w:sz w:val="24"/>
                <w:szCs w:val="24"/>
                <w:highlight w:val="none"/>
              </w:rPr>
            </w:pPr>
          </w:p>
        </w:tc>
        <w:tc>
          <w:tcPr>
            <w:tcW w:w="2342" w:type="dxa"/>
            <w:gridSpan w:val="2"/>
            <w:vAlign w:val="center"/>
          </w:tcPr>
          <w:p w14:paraId="733C7B3E">
            <w:pPr>
              <w:tabs>
                <w:tab w:val="left" w:pos="1875"/>
              </w:tabs>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质量标准</w:t>
            </w:r>
          </w:p>
        </w:tc>
        <w:tc>
          <w:tcPr>
            <w:tcW w:w="5586" w:type="dxa"/>
            <w:vAlign w:val="center"/>
          </w:tcPr>
          <w:p w14:paraId="7250ECFC">
            <w:pPr>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符合第二章“比选申请人须知”第1.3.3项规定</w:t>
            </w:r>
          </w:p>
        </w:tc>
      </w:tr>
      <w:tr w14:paraId="29840B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08" w:type="dxa"/>
            <w:vMerge w:val="continue"/>
            <w:tcBorders>
              <w:right w:val="single" w:color="auto" w:sz="4" w:space="0"/>
            </w:tcBorders>
            <w:vAlign w:val="center"/>
          </w:tcPr>
          <w:p w14:paraId="18CD8073">
            <w:pPr>
              <w:spacing w:line="400" w:lineRule="exact"/>
              <w:rPr>
                <w:rFonts w:hint="eastAsia" w:ascii="仿宋" w:hAnsi="仿宋" w:eastAsia="仿宋" w:cs="仿宋"/>
                <w:sz w:val="24"/>
                <w:szCs w:val="24"/>
                <w:highlight w:val="none"/>
              </w:rPr>
            </w:pPr>
          </w:p>
        </w:tc>
        <w:tc>
          <w:tcPr>
            <w:tcW w:w="1144" w:type="dxa"/>
            <w:vMerge w:val="continue"/>
            <w:tcBorders>
              <w:left w:val="single" w:color="auto" w:sz="4" w:space="0"/>
            </w:tcBorders>
            <w:vAlign w:val="center"/>
          </w:tcPr>
          <w:p w14:paraId="1EC57387">
            <w:pPr>
              <w:spacing w:line="400" w:lineRule="exact"/>
              <w:ind w:firstLine="240" w:firstLineChars="100"/>
              <w:jc w:val="center"/>
              <w:rPr>
                <w:rFonts w:hint="eastAsia" w:ascii="仿宋" w:hAnsi="仿宋" w:eastAsia="仿宋" w:cs="仿宋"/>
                <w:sz w:val="24"/>
                <w:szCs w:val="24"/>
                <w:highlight w:val="none"/>
              </w:rPr>
            </w:pPr>
          </w:p>
        </w:tc>
        <w:tc>
          <w:tcPr>
            <w:tcW w:w="2342" w:type="dxa"/>
            <w:gridSpan w:val="2"/>
            <w:vAlign w:val="center"/>
          </w:tcPr>
          <w:p w14:paraId="17EDBAEB">
            <w:pPr>
              <w:tabs>
                <w:tab w:val="left" w:pos="1875"/>
              </w:tabs>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5586" w:type="dxa"/>
            <w:vAlign w:val="center"/>
          </w:tcPr>
          <w:p w14:paraId="162877AE">
            <w:pPr>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符合第二章“比选申请人须知”第3.3.1项规定</w:t>
            </w:r>
          </w:p>
        </w:tc>
      </w:tr>
      <w:tr w14:paraId="575CBE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08" w:type="dxa"/>
            <w:vMerge w:val="continue"/>
            <w:tcBorders>
              <w:right w:val="single" w:color="auto" w:sz="4" w:space="0"/>
            </w:tcBorders>
            <w:vAlign w:val="center"/>
          </w:tcPr>
          <w:p w14:paraId="49B73DCC">
            <w:pPr>
              <w:spacing w:line="400" w:lineRule="exact"/>
              <w:rPr>
                <w:rFonts w:hint="eastAsia" w:ascii="仿宋" w:hAnsi="仿宋" w:eastAsia="仿宋" w:cs="仿宋"/>
                <w:sz w:val="24"/>
                <w:szCs w:val="24"/>
                <w:highlight w:val="none"/>
              </w:rPr>
            </w:pPr>
          </w:p>
        </w:tc>
        <w:tc>
          <w:tcPr>
            <w:tcW w:w="1144" w:type="dxa"/>
            <w:vMerge w:val="continue"/>
            <w:tcBorders>
              <w:left w:val="single" w:color="auto" w:sz="4" w:space="0"/>
            </w:tcBorders>
            <w:vAlign w:val="center"/>
          </w:tcPr>
          <w:p w14:paraId="15CA95DA">
            <w:pPr>
              <w:spacing w:line="400" w:lineRule="exact"/>
              <w:ind w:firstLine="240" w:firstLineChars="100"/>
              <w:jc w:val="center"/>
              <w:rPr>
                <w:rFonts w:hint="eastAsia" w:ascii="仿宋" w:hAnsi="仿宋" w:eastAsia="仿宋" w:cs="仿宋"/>
                <w:sz w:val="24"/>
                <w:szCs w:val="24"/>
                <w:highlight w:val="none"/>
              </w:rPr>
            </w:pPr>
          </w:p>
        </w:tc>
        <w:tc>
          <w:tcPr>
            <w:tcW w:w="2342" w:type="dxa"/>
            <w:gridSpan w:val="2"/>
            <w:vAlign w:val="center"/>
          </w:tcPr>
          <w:p w14:paraId="17E37E66">
            <w:pPr>
              <w:tabs>
                <w:tab w:val="left" w:pos="1875"/>
              </w:tabs>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tc>
        <w:tc>
          <w:tcPr>
            <w:tcW w:w="5586" w:type="dxa"/>
            <w:vAlign w:val="center"/>
          </w:tcPr>
          <w:p w14:paraId="0D74DD5C">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投标函中的投标总报价不得高于招标人公布的投标总报价最高限价。</w:t>
            </w:r>
          </w:p>
        </w:tc>
      </w:tr>
      <w:tr w14:paraId="69F53E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808" w:type="dxa"/>
            <w:vMerge w:val="continue"/>
            <w:tcBorders>
              <w:right w:val="single" w:color="auto" w:sz="4" w:space="0"/>
            </w:tcBorders>
            <w:vAlign w:val="center"/>
          </w:tcPr>
          <w:p w14:paraId="1C0FC684">
            <w:pPr>
              <w:spacing w:line="400" w:lineRule="exact"/>
              <w:rPr>
                <w:rFonts w:hint="eastAsia" w:ascii="仿宋" w:hAnsi="仿宋" w:eastAsia="仿宋" w:cs="仿宋"/>
                <w:sz w:val="24"/>
                <w:szCs w:val="24"/>
                <w:highlight w:val="none"/>
              </w:rPr>
            </w:pPr>
          </w:p>
        </w:tc>
        <w:tc>
          <w:tcPr>
            <w:tcW w:w="1144" w:type="dxa"/>
            <w:vMerge w:val="continue"/>
            <w:tcBorders>
              <w:left w:val="single" w:color="auto" w:sz="4" w:space="0"/>
            </w:tcBorders>
            <w:vAlign w:val="center"/>
          </w:tcPr>
          <w:p w14:paraId="243F70D9">
            <w:pPr>
              <w:spacing w:line="400" w:lineRule="exact"/>
              <w:ind w:firstLine="240" w:firstLineChars="100"/>
              <w:jc w:val="center"/>
              <w:rPr>
                <w:rFonts w:hint="eastAsia" w:ascii="仿宋" w:hAnsi="仿宋" w:eastAsia="仿宋" w:cs="仿宋"/>
                <w:sz w:val="24"/>
                <w:szCs w:val="24"/>
                <w:highlight w:val="none"/>
              </w:rPr>
            </w:pPr>
          </w:p>
        </w:tc>
        <w:tc>
          <w:tcPr>
            <w:tcW w:w="2342" w:type="dxa"/>
            <w:gridSpan w:val="2"/>
            <w:vAlign w:val="center"/>
          </w:tcPr>
          <w:p w14:paraId="30D905D5">
            <w:pPr>
              <w:tabs>
                <w:tab w:val="left" w:pos="1875"/>
              </w:tabs>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报价唯一</w:t>
            </w:r>
          </w:p>
        </w:tc>
        <w:tc>
          <w:tcPr>
            <w:tcW w:w="5586" w:type="dxa"/>
            <w:vAlign w:val="center"/>
          </w:tcPr>
          <w:p w14:paraId="10C17D6B">
            <w:pPr>
              <w:snapToGrid w:val="0"/>
              <w:spacing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只能有一个有效报价，在竞争性比选文件没有规定的情况下，不得提交选择性报价。</w:t>
            </w:r>
          </w:p>
        </w:tc>
      </w:tr>
      <w:tr w14:paraId="21C4FC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97" w:hRule="atLeast"/>
          <w:jc w:val="center"/>
        </w:trPr>
        <w:tc>
          <w:tcPr>
            <w:tcW w:w="808" w:type="dxa"/>
            <w:vMerge w:val="continue"/>
            <w:tcBorders>
              <w:right w:val="single" w:color="auto" w:sz="4" w:space="0"/>
            </w:tcBorders>
            <w:vAlign w:val="center"/>
          </w:tcPr>
          <w:p w14:paraId="0077ED0A">
            <w:pPr>
              <w:spacing w:line="400" w:lineRule="exact"/>
              <w:rPr>
                <w:rFonts w:hint="eastAsia" w:ascii="仿宋" w:hAnsi="仿宋" w:eastAsia="仿宋" w:cs="仿宋"/>
                <w:sz w:val="24"/>
                <w:szCs w:val="24"/>
                <w:highlight w:val="none"/>
              </w:rPr>
            </w:pPr>
          </w:p>
        </w:tc>
        <w:tc>
          <w:tcPr>
            <w:tcW w:w="1144" w:type="dxa"/>
            <w:vMerge w:val="continue"/>
            <w:tcBorders>
              <w:left w:val="single" w:color="auto" w:sz="4" w:space="0"/>
            </w:tcBorders>
            <w:vAlign w:val="center"/>
          </w:tcPr>
          <w:p w14:paraId="13CD3795">
            <w:pPr>
              <w:spacing w:line="400" w:lineRule="exact"/>
              <w:ind w:firstLine="240" w:firstLineChars="100"/>
              <w:jc w:val="center"/>
              <w:rPr>
                <w:rFonts w:hint="eastAsia" w:ascii="仿宋" w:hAnsi="仿宋" w:eastAsia="仿宋" w:cs="仿宋"/>
                <w:sz w:val="24"/>
                <w:szCs w:val="24"/>
                <w:highlight w:val="none"/>
              </w:rPr>
            </w:pPr>
          </w:p>
        </w:tc>
        <w:tc>
          <w:tcPr>
            <w:tcW w:w="2342" w:type="dxa"/>
            <w:gridSpan w:val="2"/>
            <w:vAlign w:val="center"/>
          </w:tcPr>
          <w:p w14:paraId="42DA0348">
            <w:pPr>
              <w:tabs>
                <w:tab w:val="left" w:pos="1875"/>
              </w:tabs>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投标报价算术错误修正</w:t>
            </w:r>
          </w:p>
        </w:tc>
        <w:tc>
          <w:tcPr>
            <w:tcW w:w="5586" w:type="dxa"/>
            <w:vAlign w:val="center"/>
          </w:tcPr>
          <w:p w14:paraId="40BCB051">
            <w:pPr>
              <w:snapToGrid w:val="0"/>
              <w:spacing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符合第三章3.评标程序第3.1.3项规定。</w:t>
            </w:r>
          </w:p>
        </w:tc>
      </w:tr>
      <w:tr w14:paraId="2D1D96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08" w:type="dxa"/>
            <w:vAlign w:val="center"/>
          </w:tcPr>
          <w:p w14:paraId="1D22209B">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2.2.4（4）</w:t>
            </w:r>
          </w:p>
        </w:tc>
        <w:tc>
          <w:tcPr>
            <w:tcW w:w="1144" w:type="dxa"/>
            <w:vAlign w:val="center"/>
          </w:tcPr>
          <w:p w14:paraId="4149AAA2">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投标报价评分（C）标准</w:t>
            </w:r>
          </w:p>
        </w:tc>
        <w:tc>
          <w:tcPr>
            <w:tcW w:w="2342" w:type="dxa"/>
            <w:gridSpan w:val="2"/>
            <w:tcBorders>
              <w:top w:val="single" w:color="auto" w:sz="4" w:space="0"/>
              <w:bottom w:val="single" w:color="auto" w:sz="4" w:space="0"/>
            </w:tcBorders>
            <w:vAlign w:val="center"/>
          </w:tcPr>
          <w:p w14:paraId="4223D7E7">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tc>
        <w:tc>
          <w:tcPr>
            <w:tcW w:w="5586" w:type="dxa"/>
            <w:vAlign w:val="center"/>
          </w:tcPr>
          <w:p w14:paraId="741E8498">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设置允许偏差范围的，投标总报价的偏差在允许偏差范围外，得零分；不设置允许偏差范围或投标总报价偏差在允许范围内的（含上、下限值），得本附表第2.2.1项规定分值的满分 50分。在此基础上，投标总报价与评标基准价相比，每增加1%扣　0.5　分，每减少1%扣0.25 分，扣完为止。</w:t>
            </w:r>
          </w:p>
          <w:p w14:paraId="51D1A697">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按插入法计算得分。</w:t>
            </w:r>
          </w:p>
          <w:p w14:paraId="72F0D3EE">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在偏差范围内，未参与评标基准价计算的竞标报价，仍应参加计算相应分值。</w:t>
            </w:r>
          </w:p>
          <w:p w14:paraId="1BFF52F1">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投标总报价得分最终结果取小数点后两位，第三位四舍五入。</w:t>
            </w:r>
          </w:p>
        </w:tc>
      </w:tr>
      <w:tr w14:paraId="29D3FF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952" w:type="dxa"/>
            <w:gridSpan w:val="2"/>
            <w:vAlign w:val="center"/>
          </w:tcPr>
          <w:p w14:paraId="6319357D">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342" w:type="dxa"/>
            <w:gridSpan w:val="2"/>
            <w:tcBorders>
              <w:top w:val="single" w:color="auto" w:sz="4" w:space="0"/>
              <w:bottom w:val="single" w:color="auto" w:sz="4" w:space="0"/>
            </w:tcBorders>
            <w:vAlign w:val="center"/>
          </w:tcPr>
          <w:p w14:paraId="5925F75E">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评标程序</w:t>
            </w:r>
          </w:p>
        </w:tc>
        <w:tc>
          <w:tcPr>
            <w:tcW w:w="5586" w:type="dxa"/>
            <w:vAlign w:val="center"/>
          </w:tcPr>
          <w:p w14:paraId="208FADC3">
            <w:pPr>
              <w:spacing w:line="400" w:lineRule="exact"/>
              <w:ind w:firstLine="480" w:firstLineChars="200"/>
              <w:rPr>
                <w:rFonts w:hint="eastAsia" w:ascii="仿宋" w:hAnsi="仿宋" w:eastAsia="仿宋" w:cs="仿宋"/>
                <w:sz w:val="24"/>
                <w:szCs w:val="18"/>
                <w:highlight w:val="none"/>
              </w:rPr>
            </w:pPr>
            <w:r>
              <w:rPr>
                <w:rFonts w:hint="eastAsia" w:ascii="仿宋" w:hAnsi="仿宋" w:eastAsia="仿宋" w:cs="仿宋"/>
                <w:sz w:val="24"/>
                <w:szCs w:val="18"/>
                <w:highlight w:val="none"/>
              </w:rPr>
              <w:t>1.按本章评标办法第3.1款进行初步评审。未通过初步评审或评标委员会认定为无效的投标文件的不再进行后续评审。</w:t>
            </w:r>
          </w:p>
          <w:p w14:paraId="4309D8CC">
            <w:pPr>
              <w:spacing w:line="400" w:lineRule="exact"/>
              <w:ind w:firstLine="480" w:firstLineChars="200"/>
              <w:rPr>
                <w:rFonts w:hint="eastAsia" w:ascii="仿宋" w:hAnsi="仿宋" w:eastAsia="仿宋" w:cs="仿宋"/>
                <w:sz w:val="24"/>
                <w:szCs w:val="18"/>
                <w:highlight w:val="none"/>
              </w:rPr>
            </w:pPr>
            <w:r>
              <w:rPr>
                <w:rFonts w:hint="eastAsia" w:ascii="仿宋" w:hAnsi="仿宋" w:eastAsia="仿宋" w:cs="仿宋"/>
                <w:sz w:val="24"/>
                <w:szCs w:val="18"/>
                <w:highlight w:val="none"/>
              </w:rPr>
              <w:t>2.按本章评标办法前附表第2.2.4（1）目的规定对技术部分进行评审。</w:t>
            </w:r>
          </w:p>
          <w:p w14:paraId="6BCEE478">
            <w:pPr>
              <w:spacing w:line="400" w:lineRule="exact"/>
              <w:ind w:firstLine="480" w:firstLineChars="200"/>
              <w:rPr>
                <w:rFonts w:hint="eastAsia" w:ascii="仿宋" w:hAnsi="仿宋" w:eastAsia="仿宋" w:cs="仿宋"/>
                <w:sz w:val="24"/>
                <w:szCs w:val="18"/>
                <w:highlight w:val="none"/>
              </w:rPr>
            </w:pPr>
            <w:r>
              <w:rPr>
                <w:rFonts w:hint="eastAsia" w:ascii="仿宋" w:hAnsi="仿宋" w:eastAsia="仿宋" w:cs="仿宋"/>
                <w:sz w:val="24"/>
                <w:szCs w:val="18"/>
                <w:highlight w:val="none"/>
              </w:rPr>
              <w:t>3.按本章评标办法前附表第2.2.4（2）目的规定对商务部分进行评审。</w:t>
            </w:r>
          </w:p>
          <w:p w14:paraId="7B1FD20A">
            <w:pPr>
              <w:spacing w:line="400" w:lineRule="exact"/>
              <w:ind w:firstLine="480" w:firstLineChars="200"/>
              <w:rPr>
                <w:rFonts w:hint="eastAsia" w:ascii="仿宋" w:hAnsi="仿宋" w:eastAsia="仿宋" w:cs="仿宋"/>
                <w:sz w:val="24"/>
                <w:szCs w:val="18"/>
                <w:highlight w:val="none"/>
              </w:rPr>
            </w:pPr>
            <w:r>
              <w:rPr>
                <w:rFonts w:hint="eastAsia" w:ascii="仿宋" w:hAnsi="仿宋" w:eastAsia="仿宋" w:cs="仿宋"/>
                <w:sz w:val="24"/>
                <w:szCs w:val="18"/>
                <w:highlight w:val="none"/>
              </w:rPr>
              <w:t>4.按本章评标办法前附表第2.2.4（3）目的规定对投标函部分进行评审，经评审不合格的投标文件不再参与后续评审。</w:t>
            </w:r>
          </w:p>
          <w:p w14:paraId="0EC9D2FB">
            <w:pPr>
              <w:spacing w:line="400" w:lineRule="exact"/>
              <w:ind w:firstLine="480" w:firstLineChars="200"/>
              <w:rPr>
                <w:rFonts w:hint="eastAsia" w:ascii="仿宋" w:hAnsi="仿宋" w:eastAsia="仿宋" w:cs="仿宋"/>
                <w:sz w:val="24"/>
                <w:szCs w:val="18"/>
                <w:highlight w:val="none"/>
              </w:rPr>
            </w:pPr>
            <w:r>
              <w:rPr>
                <w:rFonts w:hint="eastAsia" w:ascii="仿宋" w:hAnsi="仿宋" w:eastAsia="仿宋" w:cs="仿宋"/>
                <w:sz w:val="24"/>
                <w:szCs w:val="18"/>
                <w:highlight w:val="none"/>
              </w:rPr>
              <w:t>5.因评标委员会作否决投标处理导致有效比选申请人不足三个的，评标委员会应当</w:t>
            </w:r>
            <w:r>
              <w:rPr>
                <w:rFonts w:hint="eastAsia" w:ascii="仿宋" w:hAnsi="仿宋" w:eastAsia="仿宋" w:cs="仿宋"/>
                <w:spacing w:val="4"/>
                <w:sz w:val="24"/>
                <w:szCs w:val="18"/>
                <w:highlight w:val="none"/>
              </w:rPr>
              <w:t>对有效比选申请人是否仍具有竞争性进行论证。评标委员会认为有效比选申请人的</w:t>
            </w:r>
            <w:r>
              <w:rPr>
                <w:rFonts w:hint="eastAsia" w:ascii="仿宋" w:hAnsi="仿宋" w:eastAsia="仿宋" w:cs="仿宋"/>
                <w:sz w:val="24"/>
                <w:szCs w:val="18"/>
                <w:highlight w:val="none"/>
              </w:rPr>
              <w:t>经济、技术等指标仍然具有市场竞争力，能够满足竞争性比选文件要求的，评标委员会可以继续评标并确定中标候选人。</w:t>
            </w:r>
            <w:r>
              <w:rPr>
                <w:rFonts w:hint="eastAsia" w:ascii="仿宋" w:hAnsi="仿宋" w:eastAsia="仿宋" w:cs="仿宋"/>
                <w:i/>
                <w:iCs/>
                <w:sz w:val="24"/>
                <w:szCs w:val="18"/>
                <w:highlight w:val="none"/>
              </w:rPr>
              <w:t>[提示：本款仅适用于首次招标。]</w:t>
            </w:r>
          </w:p>
          <w:p w14:paraId="6FAF98B5">
            <w:pPr>
              <w:spacing w:line="400" w:lineRule="exact"/>
              <w:ind w:firstLine="480" w:firstLineChars="200"/>
              <w:rPr>
                <w:rFonts w:hint="eastAsia" w:ascii="仿宋" w:hAnsi="仿宋" w:eastAsia="仿宋" w:cs="仿宋"/>
                <w:sz w:val="24"/>
                <w:szCs w:val="18"/>
                <w:highlight w:val="none"/>
              </w:rPr>
            </w:pPr>
            <w:r>
              <w:rPr>
                <w:rFonts w:hint="eastAsia" w:ascii="仿宋" w:hAnsi="仿宋" w:eastAsia="仿宋" w:cs="仿宋"/>
                <w:sz w:val="24"/>
                <w:szCs w:val="18"/>
                <w:highlight w:val="none"/>
              </w:rPr>
              <w:t>6.经评审合格的比选申请人按照本章第2.2.2项计算方法计算评标基准价，并按本附表第2.2.4（4）目规定的评分方法对投标报价进行评分。</w:t>
            </w:r>
          </w:p>
          <w:p w14:paraId="3E825A6E">
            <w:pPr>
              <w:spacing w:line="400" w:lineRule="exact"/>
              <w:ind w:firstLine="480" w:firstLineChars="200"/>
              <w:rPr>
                <w:rFonts w:hint="eastAsia" w:ascii="仿宋" w:hAnsi="仿宋" w:eastAsia="仿宋" w:cs="仿宋"/>
                <w:sz w:val="24"/>
                <w:szCs w:val="18"/>
                <w:highlight w:val="none"/>
              </w:rPr>
            </w:pPr>
            <w:r>
              <w:rPr>
                <w:rFonts w:hint="eastAsia" w:ascii="仿宋" w:hAnsi="仿宋" w:eastAsia="仿宋" w:cs="仿宋"/>
                <w:sz w:val="24"/>
                <w:szCs w:val="18"/>
                <w:highlight w:val="none"/>
              </w:rPr>
              <w:t>7.对技术部分、商务部分、投标报价得分进行汇总，确定得分由高至低前三名比选申请人为中标候选人。</w:t>
            </w:r>
          </w:p>
        </w:tc>
      </w:tr>
      <w:tr w14:paraId="4753EE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952" w:type="dxa"/>
            <w:gridSpan w:val="2"/>
            <w:vAlign w:val="center"/>
          </w:tcPr>
          <w:p w14:paraId="44FA23A1">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3.2.3</w:t>
            </w:r>
          </w:p>
        </w:tc>
        <w:tc>
          <w:tcPr>
            <w:tcW w:w="2342" w:type="dxa"/>
            <w:gridSpan w:val="2"/>
            <w:tcBorders>
              <w:top w:val="single" w:color="auto" w:sz="4" w:space="0"/>
              <w:bottom w:val="single" w:color="auto" w:sz="4" w:space="0"/>
            </w:tcBorders>
            <w:vAlign w:val="center"/>
          </w:tcPr>
          <w:p w14:paraId="4B35B21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比选申请人得分</w:t>
            </w:r>
          </w:p>
        </w:tc>
        <w:tc>
          <w:tcPr>
            <w:tcW w:w="5586" w:type="dxa"/>
            <w:vAlign w:val="center"/>
          </w:tcPr>
          <w:p w14:paraId="65FD73E4">
            <w:pPr>
              <w:spacing w:line="400" w:lineRule="exact"/>
              <w:ind w:firstLine="480" w:firstLineChars="200"/>
              <w:rPr>
                <w:rFonts w:hint="eastAsia" w:ascii="仿宋" w:hAnsi="仿宋" w:eastAsia="仿宋" w:cs="仿宋"/>
                <w:sz w:val="24"/>
                <w:szCs w:val="18"/>
                <w:highlight w:val="none"/>
              </w:rPr>
            </w:pPr>
            <w:r>
              <w:rPr>
                <w:rFonts w:hint="eastAsia" w:ascii="仿宋" w:hAnsi="仿宋" w:eastAsia="仿宋" w:cs="仿宋"/>
                <w:sz w:val="24"/>
                <w:szCs w:val="24"/>
                <w:highlight w:val="none"/>
              </w:rPr>
              <w:t>比选申请人得分=</w:t>
            </w:r>
            <w:r>
              <w:rPr>
                <w:rFonts w:hint="eastAsia" w:ascii="仿宋" w:hAnsi="仿宋" w:eastAsia="仿宋" w:cs="仿宋"/>
                <w:sz w:val="24"/>
                <w:szCs w:val="18"/>
                <w:highlight w:val="none"/>
              </w:rPr>
              <w:t>A+B+C</w:t>
            </w:r>
          </w:p>
        </w:tc>
      </w:tr>
      <w:tr w14:paraId="11F3D0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952" w:type="dxa"/>
            <w:gridSpan w:val="2"/>
            <w:vAlign w:val="center"/>
          </w:tcPr>
          <w:p w14:paraId="79FA744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3.4</w:t>
            </w:r>
          </w:p>
        </w:tc>
        <w:tc>
          <w:tcPr>
            <w:tcW w:w="2342" w:type="dxa"/>
            <w:gridSpan w:val="2"/>
            <w:tcBorders>
              <w:top w:val="single" w:color="auto" w:sz="4" w:space="0"/>
            </w:tcBorders>
            <w:vAlign w:val="center"/>
          </w:tcPr>
          <w:p w14:paraId="184B49F8">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评标结果</w:t>
            </w:r>
          </w:p>
        </w:tc>
        <w:tc>
          <w:tcPr>
            <w:tcW w:w="5586" w:type="dxa"/>
            <w:vAlign w:val="center"/>
          </w:tcPr>
          <w:p w14:paraId="1B616CEA">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3.4.1除第二章“比选申请人须知”前附表授权直接确定中标人外，评标委员会按照得分由高到低的顺序推荐中标候选人，并标明排序。</w:t>
            </w:r>
          </w:p>
          <w:p w14:paraId="039BFADE">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0"/>
                <w:highlight w:val="none"/>
              </w:rPr>
              <w:t>3.4.2 评标委员会完成评标后，应当向招标人提交书面评标报告和中标候选人名单。</w:t>
            </w:r>
          </w:p>
        </w:tc>
      </w:tr>
      <w:bookmarkEnd w:id="462"/>
      <w:bookmarkEnd w:id="463"/>
    </w:tbl>
    <w:p w14:paraId="518F746F">
      <w:pPr>
        <w:widowControl/>
        <w:snapToGrid w:val="0"/>
        <w:spacing w:line="400" w:lineRule="exact"/>
        <w:ind w:firstLine="434" w:firstLineChars="200"/>
        <w:jc w:val="left"/>
        <w:rPr>
          <w:rFonts w:hint="eastAsia" w:ascii="仿宋" w:hAnsi="仿宋" w:eastAsia="仿宋" w:cs="仿宋"/>
          <w:b/>
          <w:bCs/>
          <w:sz w:val="21"/>
          <w:szCs w:val="21"/>
          <w:highlight w:val="none"/>
        </w:rPr>
      </w:pPr>
      <w:bookmarkStart w:id="464" w:name="_Toc22978"/>
      <w:bookmarkStart w:id="465" w:name="_Toc11244"/>
      <w:bookmarkStart w:id="466" w:name="_Toc11909"/>
      <w:r>
        <w:rPr>
          <w:rFonts w:hint="eastAsia" w:ascii="仿宋" w:hAnsi="仿宋" w:eastAsia="仿宋" w:cs="仿宋"/>
          <w:b/>
          <w:bCs/>
          <w:spacing w:val="3"/>
          <w:sz w:val="21"/>
          <w:szCs w:val="21"/>
          <w:highlight w:val="none"/>
        </w:rPr>
        <w:t>1.  评标方</w:t>
      </w:r>
      <w:r>
        <w:rPr>
          <w:rFonts w:hint="eastAsia" w:ascii="仿宋" w:hAnsi="仿宋" w:eastAsia="仿宋" w:cs="仿宋"/>
          <w:b/>
          <w:bCs/>
          <w:spacing w:val="1"/>
          <w:sz w:val="21"/>
          <w:szCs w:val="21"/>
          <w:highlight w:val="none"/>
        </w:rPr>
        <w:t>法</w:t>
      </w:r>
      <w:bookmarkEnd w:id="464"/>
      <w:bookmarkEnd w:id="465"/>
      <w:bookmarkEnd w:id="466"/>
    </w:p>
    <w:p w14:paraId="07729ED1">
      <w:pPr>
        <w:spacing w:before="184" w:line="386" w:lineRule="auto"/>
        <w:ind w:right="13" w:firstLine="422"/>
        <w:rPr>
          <w:rFonts w:hint="eastAsia" w:ascii="仿宋" w:hAnsi="仿宋" w:eastAsia="仿宋" w:cs="仿宋"/>
          <w:b/>
          <w:bCs/>
          <w:sz w:val="21"/>
          <w:szCs w:val="21"/>
          <w:highlight w:val="none"/>
        </w:rPr>
      </w:pPr>
      <w:r>
        <w:rPr>
          <w:rFonts w:hint="eastAsia" w:ascii="仿宋" w:hAnsi="仿宋" w:eastAsia="仿宋" w:cs="仿宋"/>
          <w:b/>
          <w:bCs/>
          <w:spacing w:val="-12"/>
          <w:sz w:val="21"/>
          <w:szCs w:val="21"/>
          <w:highlight w:val="none"/>
        </w:rPr>
        <w:t>本次</w:t>
      </w:r>
      <w:r>
        <w:rPr>
          <w:rFonts w:hint="eastAsia" w:ascii="仿宋" w:hAnsi="仿宋" w:eastAsia="仿宋" w:cs="仿宋"/>
          <w:b/>
          <w:bCs/>
          <w:spacing w:val="-8"/>
          <w:sz w:val="21"/>
          <w:szCs w:val="21"/>
          <w:highlight w:val="none"/>
        </w:rPr>
        <w:t>评</w:t>
      </w:r>
      <w:r>
        <w:rPr>
          <w:rFonts w:hint="eastAsia" w:ascii="仿宋" w:hAnsi="仿宋" w:eastAsia="仿宋" w:cs="仿宋"/>
          <w:b/>
          <w:bCs/>
          <w:spacing w:val="-6"/>
          <w:sz w:val="21"/>
          <w:szCs w:val="21"/>
          <w:highlight w:val="none"/>
        </w:rPr>
        <w:t>标采用综合评估法。评标委员会对满足竞争性比选文件实质性要求的投标文件，按照本章</w:t>
      </w:r>
      <w:r>
        <w:rPr>
          <w:rFonts w:hint="eastAsia" w:ascii="仿宋" w:hAnsi="仿宋" w:eastAsia="仿宋" w:cs="仿宋"/>
          <w:b/>
          <w:bCs/>
          <w:spacing w:val="1"/>
          <w:sz w:val="21"/>
          <w:szCs w:val="21"/>
          <w:highlight w:val="none"/>
        </w:rPr>
        <w:t>规定的评分标准进行打分，按得分由高到低顺序推荐中标候选人。综合评分相等时，以投标报价</w:t>
      </w:r>
      <w:r>
        <w:rPr>
          <w:rFonts w:hint="eastAsia" w:ascii="仿宋" w:hAnsi="仿宋" w:eastAsia="仿宋" w:cs="仿宋"/>
          <w:b/>
          <w:bCs/>
          <w:spacing w:val="-2"/>
          <w:sz w:val="21"/>
          <w:szCs w:val="21"/>
          <w:highlight w:val="none"/>
        </w:rPr>
        <w:t>低的优先</w:t>
      </w:r>
      <w:r>
        <w:rPr>
          <w:rFonts w:hint="eastAsia" w:ascii="仿宋" w:hAnsi="仿宋" w:eastAsia="仿宋" w:cs="仿宋"/>
          <w:b/>
          <w:bCs/>
          <w:spacing w:val="-5"/>
          <w:sz w:val="21"/>
          <w:szCs w:val="21"/>
          <w:highlight w:val="none"/>
        </w:rPr>
        <w:t>。</w:t>
      </w:r>
    </w:p>
    <w:p w14:paraId="53437F42">
      <w:pPr>
        <w:spacing w:before="174" w:line="220" w:lineRule="auto"/>
        <w:ind w:left="436"/>
        <w:outlineLvl w:val="1"/>
        <w:rPr>
          <w:rFonts w:hint="eastAsia" w:ascii="仿宋" w:hAnsi="仿宋" w:eastAsia="仿宋" w:cs="仿宋"/>
          <w:spacing w:val="3"/>
          <w:sz w:val="21"/>
          <w:szCs w:val="21"/>
          <w:highlight w:val="none"/>
        </w:rPr>
      </w:pPr>
      <w:bookmarkStart w:id="467" w:name="_Toc21763"/>
      <w:bookmarkStart w:id="468" w:name="_Toc26935"/>
      <w:bookmarkStart w:id="469" w:name="_Toc5117"/>
      <w:bookmarkStart w:id="470" w:name="_Toc32731"/>
      <w:r>
        <w:rPr>
          <w:rFonts w:hint="eastAsia" w:ascii="仿宋" w:hAnsi="仿宋" w:eastAsia="仿宋" w:cs="仿宋"/>
          <w:spacing w:val="3"/>
          <w:sz w:val="21"/>
          <w:szCs w:val="21"/>
          <w:highlight w:val="none"/>
        </w:rPr>
        <w:t>2.  评审标准 (综合评估法)</w:t>
      </w:r>
      <w:bookmarkEnd w:id="467"/>
      <w:bookmarkEnd w:id="468"/>
      <w:bookmarkEnd w:id="469"/>
      <w:bookmarkEnd w:id="470"/>
    </w:p>
    <w:p w14:paraId="5F75DDD1">
      <w:pPr>
        <w:spacing w:before="201" w:line="220" w:lineRule="auto"/>
        <w:ind w:left="423"/>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2</w:t>
      </w:r>
      <w:r>
        <w:rPr>
          <w:rFonts w:hint="eastAsia" w:ascii="仿宋" w:hAnsi="仿宋" w:eastAsia="仿宋" w:cs="仿宋"/>
          <w:spacing w:val="7"/>
          <w:sz w:val="21"/>
          <w:szCs w:val="21"/>
          <w:highlight w:val="none"/>
        </w:rPr>
        <w:t>.</w:t>
      </w:r>
      <w:r>
        <w:rPr>
          <w:rFonts w:hint="eastAsia" w:ascii="仿宋" w:hAnsi="仿宋" w:eastAsia="仿宋" w:cs="仿宋"/>
          <w:spacing w:val="4"/>
          <w:sz w:val="21"/>
          <w:szCs w:val="21"/>
          <w:highlight w:val="none"/>
        </w:rPr>
        <w:t>1  初步评审标准</w:t>
      </w:r>
    </w:p>
    <w:p w14:paraId="47CB88C5">
      <w:pPr>
        <w:spacing w:before="186" w:line="220" w:lineRule="auto"/>
        <w:ind w:left="423"/>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2.2</w:t>
      </w:r>
      <w:r>
        <w:rPr>
          <w:rFonts w:hint="eastAsia" w:ascii="仿宋" w:hAnsi="仿宋" w:eastAsia="仿宋" w:cs="仿宋"/>
          <w:spacing w:val="4"/>
          <w:sz w:val="21"/>
          <w:szCs w:val="21"/>
          <w:highlight w:val="none"/>
        </w:rPr>
        <w:t xml:space="preserve"> </w:t>
      </w:r>
      <w:r>
        <w:rPr>
          <w:rFonts w:hint="eastAsia" w:ascii="仿宋" w:hAnsi="仿宋" w:eastAsia="仿宋" w:cs="仿宋"/>
          <w:spacing w:val="3"/>
          <w:sz w:val="21"/>
          <w:szCs w:val="21"/>
          <w:highlight w:val="none"/>
        </w:rPr>
        <w:t xml:space="preserve"> 分值构成与评分标准</w:t>
      </w:r>
    </w:p>
    <w:p w14:paraId="664AD258">
      <w:pPr>
        <w:spacing w:before="185" w:line="220" w:lineRule="auto"/>
        <w:ind w:left="423"/>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 xml:space="preserve">2.2.1 </w:t>
      </w:r>
      <w:r>
        <w:rPr>
          <w:rFonts w:hint="eastAsia" w:ascii="仿宋" w:hAnsi="仿宋" w:eastAsia="仿宋" w:cs="仿宋"/>
          <w:sz w:val="21"/>
          <w:szCs w:val="21"/>
          <w:highlight w:val="none"/>
        </w:rPr>
        <w:t xml:space="preserve"> 分值构成</w:t>
      </w:r>
    </w:p>
    <w:p w14:paraId="5F745F92">
      <w:pPr>
        <w:spacing w:before="200" w:line="219" w:lineRule="auto"/>
        <w:ind w:left="427"/>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(1) 技术部分：见评标办法前附表</w:t>
      </w:r>
      <w:r>
        <w:rPr>
          <w:rFonts w:hint="eastAsia" w:ascii="仿宋" w:hAnsi="仿宋" w:eastAsia="仿宋" w:cs="仿宋"/>
          <w:spacing w:val="1"/>
          <w:sz w:val="21"/>
          <w:szCs w:val="21"/>
          <w:highlight w:val="none"/>
        </w:rPr>
        <w:t>；</w:t>
      </w:r>
    </w:p>
    <w:p w14:paraId="0E834992">
      <w:pPr>
        <w:spacing w:before="187" w:line="219" w:lineRule="auto"/>
        <w:ind w:left="427"/>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(2)商务部分：见评标办法前附表；</w:t>
      </w:r>
    </w:p>
    <w:p w14:paraId="5DAA1E3C">
      <w:pPr>
        <w:spacing w:before="187" w:line="218" w:lineRule="auto"/>
        <w:ind w:left="427"/>
        <w:rPr>
          <w:rFonts w:hint="eastAsia" w:ascii="仿宋" w:hAnsi="仿宋" w:eastAsia="仿宋" w:cs="仿宋"/>
          <w:sz w:val="21"/>
          <w:szCs w:val="21"/>
          <w:highlight w:val="none"/>
        </w:rPr>
      </w:pPr>
      <w:r>
        <w:rPr>
          <w:rFonts w:hint="eastAsia" w:ascii="仿宋" w:hAnsi="仿宋" w:eastAsia="仿宋" w:cs="仿宋"/>
          <w:spacing w:val="13"/>
          <w:sz w:val="21"/>
          <w:szCs w:val="21"/>
          <w:highlight w:val="none"/>
        </w:rPr>
        <w:t>(</w:t>
      </w:r>
      <w:r>
        <w:rPr>
          <w:rFonts w:hint="eastAsia" w:ascii="仿宋" w:hAnsi="仿宋" w:eastAsia="仿宋" w:cs="仿宋"/>
          <w:spacing w:val="9"/>
          <w:sz w:val="21"/>
          <w:szCs w:val="21"/>
          <w:highlight w:val="none"/>
        </w:rPr>
        <w:t>3)投标报价：见评标办法前附表；</w:t>
      </w:r>
    </w:p>
    <w:p w14:paraId="6256C67A">
      <w:pPr>
        <w:spacing w:before="202" w:line="218" w:lineRule="auto"/>
        <w:ind w:left="423"/>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 xml:space="preserve">2.2.2 </w:t>
      </w:r>
      <w:r>
        <w:rPr>
          <w:rFonts w:hint="eastAsia" w:ascii="仿宋" w:hAnsi="仿宋" w:eastAsia="仿宋" w:cs="仿宋"/>
          <w:sz w:val="21"/>
          <w:szCs w:val="21"/>
          <w:highlight w:val="none"/>
        </w:rPr>
        <w:t xml:space="preserve"> 评标基准价计算</w:t>
      </w:r>
    </w:p>
    <w:p w14:paraId="360918A1">
      <w:pPr>
        <w:spacing w:before="187" w:line="218" w:lineRule="auto"/>
        <w:ind w:left="420"/>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评标基准价计算方法</w:t>
      </w:r>
      <w:r>
        <w:rPr>
          <w:rFonts w:hint="eastAsia" w:ascii="仿宋" w:hAnsi="仿宋" w:eastAsia="仿宋" w:cs="仿宋"/>
          <w:spacing w:val="-1"/>
          <w:sz w:val="21"/>
          <w:szCs w:val="21"/>
          <w:highlight w:val="none"/>
        </w:rPr>
        <w:t>：见评标办法前附表。</w:t>
      </w:r>
    </w:p>
    <w:p w14:paraId="160297F5">
      <w:pPr>
        <w:spacing w:before="188" w:line="220" w:lineRule="auto"/>
        <w:ind w:left="423"/>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2.2.3评分标准</w:t>
      </w:r>
    </w:p>
    <w:p w14:paraId="7C8C3FB5">
      <w:pPr>
        <w:spacing w:before="200" w:line="219" w:lineRule="auto"/>
        <w:ind w:left="427"/>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(1) 技术部分：见评标办法前附表</w:t>
      </w:r>
      <w:r>
        <w:rPr>
          <w:rFonts w:hint="eastAsia" w:ascii="仿宋" w:hAnsi="仿宋" w:eastAsia="仿宋" w:cs="仿宋"/>
          <w:spacing w:val="1"/>
          <w:sz w:val="21"/>
          <w:szCs w:val="21"/>
          <w:highlight w:val="none"/>
        </w:rPr>
        <w:t>；</w:t>
      </w:r>
    </w:p>
    <w:p w14:paraId="2B74FB51">
      <w:pPr>
        <w:spacing w:before="186" w:line="219" w:lineRule="auto"/>
        <w:ind w:left="427"/>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 商务部分：见评标办法前附表</w:t>
      </w:r>
      <w:r>
        <w:rPr>
          <w:rFonts w:hint="eastAsia" w:ascii="仿宋" w:hAnsi="仿宋" w:eastAsia="仿宋" w:cs="仿宋"/>
          <w:spacing w:val="1"/>
          <w:sz w:val="21"/>
          <w:szCs w:val="21"/>
          <w:highlight w:val="none"/>
        </w:rPr>
        <w:t>；</w:t>
      </w:r>
    </w:p>
    <w:p w14:paraId="41DA0FF1">
      <w:pPr>
        <w:spacing w:before="187" w:line="218" w:lineRule="auto"/>
        <w:ind w:left="427"/>
        <w:rPr>
          <w:rFonts w:hint="eastAsia" w:ascii="仿宋" w:hAnsi="仿宋" w:eastAsia="仿宋" w:cs="仿宋"/>
          <w:sz w:val="21"/>
          <w:szCs w:val="21"/>
          <w:highlight w:val="none"/>
        </w:rPr>
      </w:pPr>
      <w:r>
        <w:rPr>
          <w:rFonts w:hint="eastAsia" w:ascii="仿宋" w:hAnsi="仿宋" w:eastAsia="仿宋" w:cs="仿宋"/>
          <w:spacing w:val="14"/>
          <w:sz w:val="21"/>
          <w:szCs w:val="21"/>
          <w:highlight w:val="none"/>
        </w:rPr>
        <w:t>(</w:t>
      </w:r>
      <w:r>
        <w:rPr>
          <w:rFonts w:hint="eastAsia" w:ascii="仿宋" w:hAnsi="仿宋" w:eastAsia="仿宋" w:cs="仿宋"/>
          <w:spacing w:val="11"/>
          <w:sz w:val="21"/>
          <w:szCs w:val="21"/>
          <w:highlight w:val="none"/>
        </w:rPr>
        <w:t>3</w:t>
      </w:r>
      <w:r>
        <w:rPr>
          <w:rFonts w:hint="eastAsia" w:ascii="仿宋" w:hAnsi="仿宋" w:eastAsia="仿宋" w:cs="仿宋"/>
          <w:spacing w:val="7"/>
          <w:sz w:val="21"/>
          <w:szCs w:val="21"/>
          <w:highlight w:val="none"/>
        </w:rPr>
        <w:t>)投标报价评分标准：见评标办法前附表；</w:t>
      </w:r>
    </w:p>
    <w:p w14:paraId="65A26F42">
      <w:pPr>
        <w:spacing w:before="202" w:line="220" w:lineRule="auto"/>
        <w:ind w:left="425"/>
        <w:outlineLvl w:val="1"/>
        <w:rPr>
          <w:rFonts w:hint="eastAsia" w:ascii="仿宋" w:hAnsi="仿宋" w:eastAsia="仿宋" w:cs="仿宋"/>
          <w:sz w:val="21"/>
          <w:szCs w:val="21"/>
          <w:highlight w:val="none"/>
        </w:rPr>
      </w:pPr>
      <w:bookmarkStart w:id="471" w:name="_Toc621"/>
      <w:bookmarkStart w:id="472" w:name="_Toc24570"/>
      <w:bookmarkStart w:id="473" w:name="_Toc26301"/>
      <w:bookmarkStart w:id="474" w:name="_Toc22803"/>
      <w:r>
        <w:rPr>
          <w:rFonts w:hint="eastAsia" w:ascii="仿宋" w:hAnsi="仿宋" w:eastAsia="仿宋" w:cs="仿宋"/>
          <w:spacing w:val="5"/>
          <w:sz w:val="21"/>
          <w:szCs w:val="21"/>
          <w:highlight w:val="none"/>
        </w:rPr>
        <w:t>3</w:t>
      </w:r>
      <w:r>
        <w:rPr>
          <w:rFonts w:hint="eastAsia" w:ascii="仿宋" w:hAnsi="仿宋" w:eastAsia="仿宋" w:cs="仿宋"/>
          <w:spacing w:val="4"/>
          <w:sz w:val="21"/>
          <w:szCs w:val="21"/>
          <w:highlight w:val="none"/>
        </w:rPr>
        <w:t>.  评标程序</w:t>
      </w:r>
      <w:bookmarkEnd w:id="471"/>
      <w:bookmarkEnd w:id="472"/>
      <w:bookmarkEnd w:id="473"/>
      <w:bookmarkEnd w:id="474"/>
    </w:p>
    <w:p w14:paraId="23932799">
      <w:pPr>
        <w:spacing w:before="184" w:line="220" w:lineRule="auto"/>
        <w:ind w:left="425"/>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3.1  初步评</w:t>
      </w:r>
      <w:r>
        <w:rPr>
          <w:rFonts w:hint="eastAsia" w:ascii="仿宋" w:hAnsi="仿宋" w:eastAsia="仿宋" w:cs="仿宋"/>
          <w:spacing w:val="2"/>
          <w:sz w:val="21"/>
          <w:szCs w:val="21"/>
          <w:highlight w:val="none"/>
        </w:rPr>
        <w:t>审</w:t>
      </w:r>
    </w:p>
    <w:p w14:paraId="5F62CC48">
      <w:pPr>
        <w:spacing w:before="187" w:line="389" w:lineRule="auto"/>
        <w:ind w:left="1" w:right="2" w:firstLine="423"/>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3.1.1 评标委员</w:t>
      </w:r>
      <w:r>
        <w:rPr>
          <w:rFonts w:hint="eastAsia" w:ascii="仿宋" w:hAnsi="仿宋" w:eastAsia="仿宋" w:cs="仿宋"/>
          <w:spacing w:val="-1"/>
          <w:sz w:val="21"/>
          <w:szCs w:val="21"/>
          <w:highlight w:val="none"/>
        </w:rPr>
        <w:t>会依据本章第 2.1 款规定的标准对投标文件进行初步评审。有一项不符合评审</w:t>
      </w:r>
      <w:r>
        <w:rPr>
          <w:rFonts w:hint="eastAsia" w:ascii="仿宋" w:hAnsi="仿宋" w:eastAsia="仿宋" w:cs="仿宋"/>
          <w:sz w:val="21"/>
          <w:szCs w:val="21"/>
          <w:highlight w:val="none"/>
        </w:rPr>
        <w:t xml:space="preserve"> </w:t>
      </w:r>
      <w:r>
        <w:rPr>
          <w:rFonts w:hint="eastAsia" w:ascii="仿宋" w:hAnsi="仿宋" w:eastAsia="仿宋" w:cs="仿宋"/>
          <w:spacing w:val="-4"/>
          <w:sz w:val="21"/>
          <w:szCs w:val="21"/>
          <w:highlight w:val="none"/>
        </w:rPr>
        <w:t>标</w:t>
      </w:r>
      <w:r>
        <w:rPr>
          <w:rFonts w:hint="eastAsia" w:ascii="仿宋" w:hAnsi="仿宋" w:eastAsia="仿宋" w:cs="仿宋"/>
          <w:spacing w:val="-3"/>
          <w:sz w:val="21"/>
          <w:szCs w:val="21"/>
          <w:highlight w:val="none"/>
        </w:rPr>
        <w:t>准</w:t>
      </w:r>
      <w:r>
        <w:rPr>
          <w:rFonts w:hint="eastAsia" w:ascii="仿宋" w:hAnsi="仿宋" w:eastAsia="仿宋" w:cs="仿宋"/>
          <w:spacing w:val="-2"/>
          <w:sz w:val="21"/>
          <w:szCs w:val="21"/>
          <w:highlight w:val="none"/>
        </w:rPr>
        <w:t>的，作否决投标处理。</w:t>
      </w:r>
    </w:p>
    <w:p w14:paraId="6C43CCBB">
      <w:pPr>
        <w:spacing w:line="219" w:lineRule="auto"/>
        <w:ind w:left="425"/>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3.1.2 比选申请人有以下情形之一的， 其投标作否决投标处</w:t>
      </w:r>
      <w:r>
        <w:rPr>
          <w:rFonts w:hint="eastAsia" w:ascii="仿宋" w:hAnsi="仿宋" w:eastAsia="仿宋" w:cs="仿宋"/>
          <w:spacing w:val="-2"/>
          <w:sz w:val="21"/>
          <w:szCs w:val="21"/>
          <w:highlight w:val="none"/>
        </w:rPr>
        <w:t>理</w:t>
      </w:r>
      <w:r>
        <w:rPr>
          <w:rFonts w:hint="eastAsia" w:ascii="仿宋" w:hAnsi="仿宋" w:eastAsia="仿宋" w:cs="仿宋"/>
          <w:sz w:val="21"/>
          <w:szCs w:val="21"/>
          <w:highlight w:val="none"/>
        </w:rPr>
        <w:t>：</w:t>
      </w:r>
    </w:p>
    <w:p w14:paraId="00121554">
      <w:pPr>
        <w:spacing w:before="186" w:line="219" w:lineRule="auto"/>
        <w:ind w:left="427"/>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(1)第二章“比选申请人须知”第 1.4.3项规定的任何一种情形的；</w:t>
      </w:r>
    </w:p>
    <w:p w14:paraId="50C8E080">
      <w:pPr>
        <w:spacing w:before="201" w:line="219" w:lineRule="auto"/>
        <w:ind w:left="427"/>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w:t>
      </w:r>
      <w:r>
        <w:rPr>
          <w:rFonts w:hint="eastAsia" w:ascii="仿宋" w:hAnsi="仿宋" w:eastAsia="仿宋" w:cs="仿宋"/>
          <w:spacing w:val="7"/>
          <w:sz w:val="21"/>
          <w:szCs w:val="21"/>
          <w:highlight w:val="none"/>
        </w:rPr>
        <w:t>2)串通投标或弄虚作假或有其他违法行为的；</w:t>
      </w:r>
    </w:p>
    <w:p w14:paraId="4559760D">
      <w:pPr>
        <w:spacing w:before="186" w:line="219" w:lineRule="auto"/>
        <w:ind w:left="427"/>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w:t>
      </w:r>
      <w:r>
        <w:rPr>
          <w:rFonts w:hint="eastAsia" w:ascii="仿宋" w:hAnsi="仿宋" w:eastAsia="仿宋" w:cs="仿宋"/>
          <w:spacing w:val="7"/>
          <w:sz w:val="21"/>
          <w:szCs w:val="21"/>
          <w:highlight w:val="none"/>
        </w:rPr>
        <w:t>3)不按评标委员会要求澄清、说明或补正的；</w:t>
      </w:r>
    </w:p>
    <w:p w14:paraId="1412B940">
      <w:pPr>
        <w:spacing w:before="187" w:line="219" w:lineRule="auto"/>
        <w:ind w:left="427"/>
        <w:rPr>
          <w:rFonts w:hint="eastAsia" w:ascii="仿宋" w:hAnsi="仿宋" w:eastAsia="仿宋" w:cs="仿宋"/>
          <w:sz w:val="21"/>
          <w:szCs w:val="21"/>
          <w:highlight w:val="none"/>
        </w:rPr>
      </w:pPr>
      <w:r>
        <w:rPr>
          <w:rFonts w:hint="eastAsia" w:ascii="仿宋" w:hAnsi="仿宋" w:eastAsia="仿宋" w:cs="仿宋"/>
          <w:spacing w:val="20"/>
          <w:sz w:val="21"/>
          <w:szCs w:val="21"/>
          <w:highlight w:val="none"/>
        </w:rPr>
        <w:t>(</w:t>
      </w:r>
      <w:r>
        <w:rPr>
          <w:rFonts w:hint="eastAsia" w:ascii="仿宋" w:hAnsi="仿宋" w:eastAsia="仿宋" w:cs="仿宋"/>
          <w:spacing w:val="12"/>
          <w:sz w:val="21"/>
          <w:szCs w:val="21"/>
          <w:highlight w:val="none"/>
        </w:rPr>
        <w:t>4</w:t>
      </w:r>
      <w:r>
        <w:rPr>
          <w:rFonts w:hint="eastAsia" w:ascii="仿宋" w:hAnsi="仿宋" w:eastAsia="仿宋" w:cs="仿宋"/>
          <w:spacing w:val="10"/>
          <w:sz w:val="21"/>
          <w:szCs w:val="21"/>
          <w:highlight w:val="none"/>
        </w:rPr>
        <w:t>)本竞争性比选文件规定的其它条款。</w:t>
      </w:r>
    </w:p>
    <w:p w14:paraId="2D598EA3">
      <w:pPr>
        <w:widowControl/>
        <w:kinsoku w:val="0"/>
        <w:autoSpaceDE w:val="0"/>
        <w:autoSpaceDN w:val="0"/>
        <w:snapToGrid w:val="0"/>
        <w:spacing w:before="201" w:line="360" w:lineRule="auto"/>
        <w:ind w:firstLine="380" w:firstLineChars="200"/>
        <w:textAlignment w:val="baseline"/>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3.1.3 投</w:t>
      </w:r>
      <w:r>
        <w:rPr>
          <w:rFonts w:hint="eastAsia" w:ascii="仿宋" w:hAnsi="仿宋" w:eastAsia="仿宋" w:cs="仿宋"/>
          <w:spacing w:val="-9"/>
          <w:sz w:val="21"/>
          <w:szCs w:val="21"/>
          <w:highlight w:val="none"/>
        </w:rPr>
        <w:t>标</w:t>
      </w:r>
      <w:r>
        <w:rPr>
          <w:rFonts w:hint="eastAsia" w:ascii="仿宋" w:hAnsi="仿宋" w:eastAsia="仿宋" w:cs="仿宋"/>
          <w:spacing w:val="-5"/>
          <w:sz w:val="21"/>
          <w:szCs w:val="21"/>
          <w:highlight w:val="none"/>
        </w:rPr>
        <w:t>报价有算术错误的，评标委员会按以下原则对投标报价进行修正，修正的价格经比选申请人书面确认后具有约束力。</w:t>
      </w:r>
      <w:r>
        <w:rPr>
          <w:rFonts w:hint="eastAsia" w:ascii="仿宋" w:hAnsi="仿宋" w:eastAsia="仿宋" w:cs="仿宋"/>
          <w:spacing w:val="-2"/>
          <w:sz w:val="21"/>
          <w:szCs w:val="21"/>
          <w:highlight w:val="none"/>
        </w:rPr>
        <w:t>比选申请人不接受修正价格的，其投标作否决投标</w:t>
      </w:r>
      <w:r>
        <w:rPr>
          <w:rFonts w:hint="eastAsia" w:ascii="仿宋" w:hAnsi="仿宋" w:eastAsia="仿宋" w:cs="仿宋"/>
          <w:sz w:val="21"/>
          <w:szCs w:val="21"/>
          <w:highlight w:val="none"/>
        </w:rPr>
        <w:t>处理。</w:t>
      </w:r>
    </w:p>
    <w:p w14:paraId="5FC1DA81">
      <w:pPr>
        <w:widowControl/>
        <w:kinsoku w:val="0"/>
        <w:autoSpaceDE w:val="0"/>
        <w:autoSpaceDN w:val="0"/>
        <w:snapToGrid w:val="0"/>
        <w:spacing w:before="201" w:line="360" w:lineRule="auto"/>
        <w:ind w:firstLine="460" w:firstLineChars="200"/>
        <w:textAlignment w:val="baseline"/>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w:t>
      </w:r>
      <w:r>
        <w:rPr>
          <w:rFonts w:hint="eastAsia" w:ascii="仿宋" w:hAnsi="仿宋" w:eastAsia="仿宋" w:cs="仿宋"/>
          <w:spacing w:val="5"/>
          <w:sz w:val="21"/>
          <w:szCs w:val="21"/>
          <w:highlight w:val="none"/>
        </w:rPr>
        <w:t>1)投标文件中的大写金额与小写金额不一致的，以大写金额为准；</w:t>
      </w:r>
    </w:p>
    <w:p w14:paraId="2AE87828">
      <w:pPr>
        <w:spacing w:before="186" w:line="389" w:lineRule="auto"/>
        <w:ind w:right="24" w:firstLine="427"/>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(2) 投标报价金额与按投标费率计算出的结果不一致时，以投标费率为准修正投标报价金额</w:t>
      </w:r>
      <w:r>
        <w:rPr>
          <w:rFonts w:hint="eastAsia" w:ascii="仿宋" w:hAnsi="仿宋" w:eastAsia="仿宋" w:cs="仿宋"/>
          <w:sz w:val="21"/>
          <w:szCs w:val="21"/>
          <w:highlight w:val="none"/>
        </w:rPr>
        <w:t xml:space="preserve">， </w:t>
      </w:r>
      <w:r>
        <w:rPr>
          <w:rFonts w:hint="eastAsia" w:ascii="仿宋" w:hAnsi="仿宋" w:eastAsia="仿宋" w:cs="仿宋"/>
          <w:spacing w:val="4"/>
          <w:sz w:val="21"/>
          <w:szCs w:val="21"/>
          <w:highlight w:val="none"/>
        </w:rPr>
        <w:t>但投标费</w:t>
      </w:r>
      <w:r>
        <w:rPr>
          <w:rFonts w:hint="eastAsia" w:ascii="仿宋" w:hAnsi="仿宋" w:eastAsia="仿宋" w:cs="仿宋"/>
          <w:spacing w:val="2"/>
          <w:sz w:val="21"/>
          <w:szCs w:val="21"/>
          <w:highlight w:val="none"/>
        </w:rPr>
        <w:t>率小数点有明显错误的除外。</w:t>
      </w:r>
    </w:p>
    <w:p w14:paraId="33566296">
      <w:pPr>
        <w:spacing w:line="220" w:lineRule="auto"/>
        <w:ind w:left="426"/>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3.2  详细评</w:t>
      </w:r>
      <w:r>
        <w:rPr>
          <w:rFonts w:hint="eastAsia" w:ascii="仿宋" w:hAnsi="仿宋" w:eastAsia="仿宋" w:cs="仿宋"/>
          <w:spacing w:val="2"/>
          <w:sz w:val="21"/>
          <w:szCs w:val="21"/>
          <w:highlight w:val="none"/>
        </w:rPr>
        <w:t>审</w:t>
      </w:r>
    </w:p>
    <w:p w14:paraId="1410D5FC">
      <w:pPr>
        <w:spacing w:before="184" w:line="218" w:lineRule="auto"/>
        <w:ind w:left="426"/>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3.2.1  评标委员会按本章第2.2款规定的量化因</w:t>
      </w:r>
      <w:r>
        <w:rPr>
          <w:rFonts w:hint="eastAsia" w:ascii="仿宋" w:hAnsi="仿宋" w:eastAsia="仿宋" w:cs="仿宋"/>
          <w:sz w:val="21"/>
          <w:szCs w:val="21"/>
          <w:highlight w:val="none"/>
        </w:rPr>
        <w:t>素和分值进行打分，并计算出综合评估得分。</w:t>
      </w:r>
    </w:p>
    <w:p w14:paraId="64EDCE94">
      <w:pPr>
        <w:spacing w:before="203" w:line="219" w:lineRule="auto"/>
        <w:ind w:left="427"/>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(1)按本章规定的评审因素和分值对技术部分计算出得分</w:t>
      </w:r>
      <w:r>
        <w:rPr>
          <w:rFonts w:hint="eastAsia" w:ascii="仿宋" w:hAnsi="仿宋" w:eastAsia="仿宋" w:cs="仿宋"/>
          <w:spacing w:val="5"/>
          <w:sz w:val="21"/>
          <w:szCs w:val="21"/>
          <w:highlight w:val="none"/>
        </w:rPr>
        <w:t>；</w:t>
      </w:r>
    </w:p>
    <w:p w14:paraId="121B0026">
      <w:pPr>
        <w:spacing w:before="186" w:line="219" w:lineRule="auto"/>
        <w:ind w:left="427"/>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(2)按本章规定的评审因素和分值对商务部分计算出得分</w:t>
      </w:r>
      <w:r>
        <w:rPr>
          <w:rFonts w:hint="eastAsia" w:ascii="仿宋" w:hAnsi="仿宋" w:eastAsia="仿宋" w:cs="仿宋"/>
          <w:spacing w:val="5"/>
          <w:sz w:val="21"/>
          <w:szCs w:val="21"/>
          <w:highlight w:val="none"/>
        </w:rPr>
        <w:t>；</w:t>
      </w:r>
    </w:p>
    <w:p w14:paraId="30E1795D">
      <w:pPr>
        <w:spacing w:before="186" w:line="218" w:lineRule="auto"/>
        <w:ind w:left="427"/>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(3)按本章规定的评审因素和分值对投标报价计算出得分</w:t>
      </w:r>
      <w:r>
        <w:rPr>
          <w:rFonts w:hint="eastAsia" w:ascii="仿宋" w:hAnsi="仿宋" w:eastAsia="仿宋" w:cs="仿宋"/>
          <w:spacing w:val="5"/>
          <w:sz w:val="21"/>
          <w:szCs w:val="21"/>
          <w:highlight w:val="none"/>
        </w:rPr>
        <w:t>；</w:t>
      </w:r>
    </w:p>
    <w:p w14:paraId="54F9AA2B">
      <w:pPr>
        <w:spacing w:before="202" w:line="220" w:lineRule="auto"/>
        <w:ind w:left="426"/>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3.2.2</w:t>
      </w:r>
      <w:r>
        <w:rPr>
          <w:rFonts w:hint="eastAsia" w:ascii="仿宋" w:hAnsi="仿宋" w:eastAsia="仿宋" w:cs="仿宋"/>
          <w:sz w:val="21"/>
          <w:szCs w:val="21"/>
          <w:highlight w:val="none"/>
        </w:rPr>
        <w:t xml:space="preserve">  评分分值计算保留小数点后两位，小数点后第三位“四舍五入”。</w:t>
      </w:r>
    </w:p>
    <w:p w14:paraId="0902151B">
      <w:pPr>
        <w:spacing w:before="185" w:line="220" w:lineRule="auto"/>
        <w:ind w:left="426"/>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3.2.3  比选申请人</w:t>
      </w:r>
      <w:r>
        <w:rPr>
          <w:rFonts w:hint="eastAsia" w:ascii="仿宋" w:hAnsi="仿宋" w:eastAsia="仿宋" w:cs="仿宋"/>
          <w:sz w:val="21"/>
          <w:szCs w:val="21"/>
          <w:highlight w:val="none"/>
        </w:rPr>
        <w:t>得分=投标报价部分+商务部分+技术部分</w:t>
      </w:r>
    </w:p>
    <w:p w14:paraId="2FF06C59">
      <w:pPr>
        <w:spacing w:before="188" w:line="389" w:lineRule="auto"/>
        <w:ind w:left="2" w:right="1" w:firstLine="423"/>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3.2.4</w:t>
      </w:r>
      <w:r>
        <w:rPr>
          <w:rFonts w:hint="eastAsia" w:ascii="仿宋" w:hAnsi="仿宋" w:eastAsia="仿宋" w:cs="仿宋"/>
          <w:spacing w:val="-6"/>
          <w:sz w:val="21"/>
          <w:szCs w:val="21"/>
          <w:highlight w:val="none"/>
        </w:rPr>
        <w:t xml:space="preserve"> </w:t>
      </w:r>
      <w:r>
        <w:rPr>
          <w:rFonts w:hint="eastAsia" w:ascii="仿宋" w:hAnsi="仿宋" w:eastAsia="仿宋" w:cs="仿宋"/>
          <w:spacing w:val="-4"/>
          <w:sz w:val="21"/>
          <w:szCs w:val="21"/>
          <w:highlight w:val="none"/>
        </w:rPr>
        <w:t>评标委员会发现比选申请人的报价明显低于其他投标报价， 或者在设有标底时明显低于标底，</w:t>
      </w:r>
      <w:r>
        <w:rPr>
          <w:rFonts w:hint="eastAsia" w:ascii="仿宋" w:hAnsi="仿宋" w:eastAsia="仿宋" w:cs="仿宋"/>
          <w:sz w:val="21"/>
          <w:szCs w:val="21"/>
          <w:highlight w:val="none"/>
        </w:rPr>
        <w:t xml:space="preserve"> </w:t>
      </w:r>
      <w:r>
        <w:rPr>
          <w:rFonts w:hint="eastAsia" w:ascii="仿宋" w:hAnsi="仿宋" w:eastAsia="仿宋" w:cs="仿宋"/>
          <w:spacing w:val="-1"/>
          <w:sz w:val="21"/>
          <w:szCs w:val="21"/>
          <w:highlight w:val="none"/>
        </w:rPr>
        <w:t>使得其投标报价可能低于其个别成本的，应</w:t>
      </w:r>
      <w:r>
        <w:rPr>
          <w:rFonts w:hint="eastAsia" w:ascii="仿宋" w:hAnsi="仿宋" w:eastAsia="仿宋" w:cs="仿宋"/>
          <w:sz w:val="21"/>
          <w:szCs w:val="21"/>
          <w:highlight w:val="none"/>
        </w:rPr>
        <w:t xml:space="preserve">当要求该比选申请人做出书面说明并提供相应的证明材料。 </w:t>
      </w:r>
      <w:r>
        <w:rPr>
          <w:rFonts w:hint="eastAsia" w:ascii="仿宋" w:hAnsi="仿宋" w:eastAsia="仿宋" w:cs="仿宋"/>
          <w:spacing w:val="1"/>
          <w:sz w:val="21"/>
          <w:szCs w:val="21"/>
          <w:highlight w:val="none"/>
        </w:rPr>
        <w:t>比选申请人不能合理说明或者</w:t>
      </w:r>
      <w:r>
        <w:rPr>
          <w:rFonts w:hint="eastAsia" w:ascii="仿宋" w:hAnsi="仿宋" w:eastAsia="仿宋" w:cs="仿宋"/>
          <w:sz w:val="21"/>
          <w:szCs w:val="21"/>
          <w:highlight w:val="none"/>
        </w:rPr>
        <w:t xml:space="preserve">不能提供相应证明材料的，由评标委员会认定该比选申请人以低于成本报价竞 </w:t>
      </w:r>
      <w:r>
        <w:rPr>
          <w:rFonts w:hint="eastAsia" w:ascii="仿宋" w:hAnsi="仿宋" w:eastAsia="仿宋" w:cs="仿宋"/>
          <w:spacing w:val="2"/>
          <w:sz w:val="21"/>
          <w:szCs w:val="21"/>
          <w:highlight w:val="none"/>
        </w:rPr>
        <w:t>标，其投标作</w:t>
      </w:r>
      <w:r>
        <w:rPr>
          <w:rFonts w:hint="eastAsia" w:ascii="仿宋" w:hAnsi="仿宋" w:eastAsia="仿宋" w:cs="仿宋"/>
          <w:spacing w:val="1"/>
          <w:sz w:val="21"/>
          <w:szCs w:val="21"/>
          <w:highlight w:val="none"/>
        </w:rPr>
        <w:t>否决投标处理。</w:t>
      </w:r>
    </w:p>
    <w:p w14:paraId="35796D5F">
      <w:pPr>
        <w:spacing w:line="219" w:lineRule="auto"/>
        <w:ind w:left="426"/>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3.</w:t>
      </w:r>
      <w:r>
        <w:rPr>
          <w:rFonts w:hint="eastAsia" w:ascii="仿宋" w:hAnsi="仿宋" w:eastAsia="仿宋" w:cs="仿宋"/>
          <w:spacing w:val="3"/>
          <w:sz w:val="21"/>
          <w:szCs w:val="21"/>
          <w:highlight w:val="none"/>
        </w:rPr>
        <w:t>3  投标文件的澄清和补正</w:t>
      </w:r>
    </w:p>
    <w:p w14:paraId="0E65A397">
      <w:pPr>
        <w:spacing w:before="186" w:line="387" w:lineRule="auto"/>
        <w:ind w:right="62" w:firstLine="426"/>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3.3.1  在评标过程</w:t>
      </w:r>
      <w:r>
        <w:rPr>
          <w:rFonts w:hint="eastAsia" w:ascii="仿宋" w:hAnsi="仿宋" w:eastAsia="仿宋" w:cs="仿宋"/>
          <w:spacing w:val="-1"/>
          <w:sz w:val="21"/>
          <w:szCs w:val="21"/>
          <w:highlight w:val="none"/>
        </w:rPr>
        <w:t>中，评标委员会可以书面形式要求比选申请人对所提交投标文件中不明确的内容</w:t>
      </w:r>
      <w:r>
        <w:rPr>
          <w:rFonts w:hint="eastAsia" w:ascii="仿宋" w:hAnsi="仿宋" w:eastAsia="仿宋" w:cs="仿宋"/>
          <w:sz w:val="21"/>
          <w:szCs w:val="21"/>
          <w:highlight w:val="none"/>
        </w:rPr>
        <w:t xml:space="preserve"> </w:t>
      </w:r>
      <w:r>
        <w:rPr>
          <w:rFonts w:hint="eastAsia" w:ascii="仿宋" w:hAnsi="仿宋" w:eastAsia="仿宋" w:cs="仿宋"/>
          <w:spacing w:val="1"/>
          <w:sz w:val="21"/>
          <w:szCs w:val="21"/>
          <w:highlight w:val="none"/>
        </w:rPr>
        <w:t>进行书面澄清或说明，或者对细</w:t>
      </w:r>
      <w:r>
        <w:rPr>
          <w:rFonts w:hint="eastAsia" w:ascii="仿宋" w:hAnsi="仿宋" w:eastAsia="仿宋" w:cs="仿宋"/>
          <w:sz w:val="21"/>
          <w:szCs w:val="21"/>
          <w:highlight w:val="none"/>
        </w:rPr>
        <w:t xml:space="preserve">微偏差进行补正。评标委员会不接受比选申请人主动提出的澄清、说明 </w:t>
      </w:r>
      <w:r>
        <w:rPr>
          <w:rFonts w:hint="eastAsia" w:ascii="仿宋" w:hAnsi="仿宋" w:eastAsia="仿宋" w:cs="仿宋"/>
          <w:spacing w:val="-9"/>
          <w:sz w:val="21"/>
          <w:szCs w:val="21"/>
          <w:highlight w:val="none"/>
        </w:rPr>
        <w:t>或</w:t>
      </w:r>
      <w:r>
        <w:rPr>
          <w:rFonts w:hint="eastAsia" w:ascii="仿宋" w:hAnsi="仿宋" w:eastAsia="仿宋" w:cs="仿宋"/>
          <w:spacing w:val="-6"/>
          <w:sz w:val="21"/>
          <w:szCs w:val="21"/>
          <w:highlight w:val="none"/>
        </w:rPr>
        <w:t>补正。</w:t>
      </w:r>
    </w:p>
    <w:p w14:paraId="6C4195AB">
      <w:pPr>
        <w:spacing w:before="1" w:line="389" w:lineRule="auto"/>
        <w:ind w:left="18" w:right="63" w:firstLine="407"/>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3</w:t>
      </w:r>
      <w:r>
        <w:rPr>
          <w:rFonts w:hint="eastAsia" w:ascii="仿宋" w:hAnsi="仿宋" w:eastAsia="仿宋" w:cs="仿宋"/>
          <w:spacing w:val="1"/>
          <w:sz w:val="21"/>
          <w:szCs w:val="21"/>
          <w:highlight w:val="none"/>
        </w:rPr>
        <w:t>.3.2  澄清、说明和补正不得改变投标文件的实质性内容(算术性错误修正的除外) 。比选申请人</w:t>
      </w:r>
      <w:r>
        <w:rPr>
          <w:rFonts w:hint="eastAsia" w:ascii="仿宋" w:hAnsi="仿宋" w:eastAsia="仿宋" w:cs="仿宋"/>
          <w:sz w:val="21"/>
          <w:szCs w:val="21"/>
          <w:highlight w:val="none"/>
        </w:rPr>
        <w:t xml:space="preserve"> </w:t>
      </w:r>
      <w:r>
        <w:rPr>
          <w:rFonts w:hint="eastAsia" w:ascii="仿宋" w:hAnsi="仿宋" w:eastAsia="仿宋" w:cs="仿宋"/>
          <w:spacing w:val="-2"/>
          <w:sz w:val="21"/>
          <w:szCs w:val="21"/>
          <w:highlight w:val="none"/>
        </w:rPr>
        <w:t>的书面澄清、说明和补正属于投标文件的组成部</w:t>
      </w:r>
      <w:r>
        <w:rPr>
          <w:rFonts w:hint="eastAsia" w:ascii="仿宋" w:hAnsi="仿宋" w:eastAsia="仿宋" w:cs="仿宋"/>
          <w:spacing w:val="-1"/>
          <w:sz w:val="21"/>
          <w:szCs w:val="21"/>
          <w:highlight w:val="none"/>
        </w:rPr>
        <w:t>分</w:t>
      </w:r>
      <w:r>
        <w:rPr>
          <w:rFonts w:hint="eastAsia" w:ascii="仿宋" w:hAnsi="仿宋" w:eastAsia="仿宋" w:cs="仿宋"/>
          <w:sz w:val="21"/>
          <w:szCs w:val="21"/>
          <w:highlight w:val="none"/>
        </w:rPr>
        <w:t>。</w:t>
      </w:r>
    </w:p>
    <w:p w14:paraId="2B17BBB5">
      <w:pPr>
        <w:spacing w:before="2" w:line="382" w:lineRule="auto"/>
        <w:ind w:left="4" w:firstLine="422"/>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 xml:space="preserve">3.3.3 </w:t>
      </w:r>
      <w:r>
        <w:rPr>
          <w:rFonts w:hint="eastAsia" w:ascii="仿宋" w:hAnsi="仿宋" w:eastAsia="仿宋" w:cs="仿宋"/>
          <w:sz w:val="21"/>
          <w:szCs w:val="21"/>
          <w:highlight w:val="none"/>
        </w:rPr>
        <w:t xml:space="preserve"> 评标委员会对比选申请人提交的澄清、说明或补正有疑问的，可以要求比选申请人进一步澄清、 </w:t>
      </w:r>
      <w:r>
        <w:rPr>
          <w:rFonts w:hint="eastAsia" w:ascii="仿宋" w:hAnsi="仿宋" w:eastAsia="仿宋" w:cs="仿宋"/>
          <w:spacing w:val="-2"/>
          <w:sz w:val="21"/>
          <w:szCs w:val="21"/>
          <w:highlight w:val="none"/>
        </w:rPr>
        <w:t>说明或补正，直至满足评标</w:t>
      </w:r>
      <w:r>
        <w:rPr>
          <w:rFonts w:hint="eastAsia" w:ascii="仿宋" w:hAnsi="仿宋" w:eastAsia="仿宋" w:cs="仿宋"/>
          <w:spacing w:val="-1"/>
          <w:sz w:val="21"/>
          <w:szCs w:val="21"/>
          <w:highlight w:val="none"/>
        </w:rPr>
        <w:t>委员会的要求。</w:t>
      </w:r>
    </w:p>
    <w:p w14:paraId="4888C886">
      <w:pPr>
        <w:spacing w:line="220" w:lineRule="auto"/>
        <w:ind w:left="426"/>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3.4  评标结</w:t>
      </w:r>
      <w:r>
        <w:rPr>
          <w:rFonts w:hint="eastAsia" w:ascii="仿宋" w:hAnsi="仿宋" w:eastAsia="仿宋" w:cs="仿宋"/>
          <w:spacing w:val="2"/>
          <w:sz w:val="21"/>
          <w:szCs w:val="21"/>
          <w:highlight w:val="none"/>
        </w:rPr>
        <w:t>果</w:t>
      </w:r>
    </w:p>
    <w:p w14:paraId="4281983E">
      <w:pPr>
        <w:spacing w:before="199" w:line="383" w:lineRule="auto"/>
        <w:ind w:left="18" w:right="112" w:firstLine="407"/>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3.</w:t>
      </w:r>
      <w:r>
        <w:rPr>
          <w:rFonts w:hint="eastAsia" w:ascii="仿宋" w:hAnsi="仿宋" w:eastAsia="仿宋" w:cs="仿宋"/>
          <w:sz w:val="21"/>
          <w:szCs w:val="21"/>
          <w:highlight w:val="none"/>
        </w:rPr>
        <w:t xml:space="preserve">4.1 除第二章“比选申请人须知”前附表授权直接确定中标人外，评标委员会按照得分由高到低 </w:t>
      </w:r>
      <w:r>
        <w:rPr>
          <w:rFonts w:hint="eastAsia" w:ascii="仿宋" w:hAnsi="仿宋" w:eastAsia="仿宋" w:cs="仿宋"/>
          <w:spacing w:val="-7"/>
          <w:sz w:val="21"/>
          <w:szCs w:val="21"/>
          <w:highlight w:val="none"/>
        </w:rPr>
        <w:t>的</w:t>
      </w:r>
      <w:r>
        <w:rPr>
          <w:rFonts w:hint="eastAsia" w:ascii="仿宋" w:hAnsi="仿宋" w:eastAsia="仿宋" w:cs="仿宋"/>
          <w:spacing w:val="-4"/>
          <w:sz w:val="21"/>
          <w:szCs w:val="21"/>
          <w:highlight w:val="none"/>
        </w:rPr>
        <w:t>顺序推荐中标候选人。</w:t>
      </w:r>
    </w:p>
    <w:p w14:paraId="00BA5B05">
      <w:pPr>
        <w:spacing w:line="218" w:lineRule="auto"/>
        <w:ind w:left="426"/>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3.4.2  评标委员会完成评标后，应当向招标人提交书面评标</w:t>
      </w:r>
      <w:r>
        <w:rPr>
          <w:rFonts w:hint="eastAsia" w:ascii="仿宋" w:hAnsi="仿宋" w:eastAsia="仿宋" w:cs="仿宋"/>
          <w:sz w:val="21"/>
          <w:szCs w:val="21"/>
          <w:highlight w:val="none"/>
        </w:rPr>
        <w:t>报告。</w:t>
      </w:r>
    </w:p>
    <w:p w14:paraId="08426FCA">
      <w:pPr>
        <w:rPr>
          <w:rFonts w:hint="eastAsia" w:ascii="仿宋" w:hAnsi="仿宋" w:eastAsia="仿宋" w:cs="仿宋"/>
          <w:highlight w:val="none"/>
        </w:rPr>
        <w:sectPr>
          <w:footerReference r:id="rId8" w:type="default"/>
          <w:pgSz w:w="11910" w:h="16845"/>
          <w:pgMar w:top="1431" w:right="1328" w:bottom="1022" w:left="1433" w:header="0" w:footer="862" w:gutter="0"/>
          <w:cols w:space="720" w:num="1"/>
        </w:sectPr>
      </w:pPr>
    </w:p>
    <w:p w14:paraId="77C748DC">
      <w:pPr>
        <w:pStyle w:val="17"/>
        <w:adjustRightInd/>
        <w:spacing w:line="360" w:lineRule="auto"/>
        <w:rPr>
          <w:rFonts w:hint="eastAsia" w:ascii="仿宋" w:hAnsi="仿宋" w:eastAsia="仿宋" w:cs="仿宋"/>
          <w:b/>
          <w:sz w:val="28"/>
          <w:szCs w:val="28"/>
          <w:highlight w:val="none"/>
          <w:u w:val="none"/>
          <w:lang w:eastAsia="zh-CN"/>
        </w:rPr>
      </w:pPr>
      <w:r>
        <w:rPr>
          <w:rFonts w:hint="eastAsia" w:ascii="仿宋" w:hAnsi="仿宋" w:eastAsia="仿宋" w:cs="仿宋"/>
          <w:b/>
          <w:sz w:val="28"/>
          <w:szCs w:val="28"/>
          <w:highlight w:val="none"/>
          <w:u w:val="none"/>
          <w:lang w:eastAsia="zh-CN"/>
        </w:rPr>
        <w:t>附件 A：综合评估法否决投标情况一览表</w:t>
      </w:r>
    </w:p>
    <w:p w14:paraId="33431945">
      <w:pPr>
        <w:pStyle w:val="17"/>
        <w:spacing w:line="360" w:lineRule="auto"/>
        <w:ind w:firstLine="420" w:firstLineChars="200"/>
        <w:jc w:val="both"/>
        <w:rPr>
          <w:rFonts w:hint="eastAsia" w:ascii="仿宋" w:hAnsi="仿宋" w:eastAsia="仿宋" w:cs="仿宋"/>
          <w:sz w:val="21"/>
          <w:szCs w:val="21"/>
          <w:highlight w:val="none"/>
          <w:u w:val="none"/>
          <w:lang w:eastAsia="zh-CN"/>
        </w:rPr>
      </w:pPr>
      <w:r>
        <w:rPr>
          <w:rFonts w:hint="eastAsia" w:ascii="仿宋" w:hAnsi="仿宋" w:eastAsia="仿宋" w:cs="仿宋"/>
          <w:sz w:val="21"/>
          <w:szCs w:val="21"/>
          <w:highlight w:val="none"/>
          <w:u w:val="none"/>
          <w:lang w:eastAsia="zh-CN"/>
        </w:rPr>
        <w:t>投标文件存在本一览表下列情形之一的，投标文件视为重大偏差并作否决投标处理，否则，评标委员会不得视为重大偏差而否决比选申请人的投标文件。</w:t>
      </w:r>
    </w:p>
    <w:tbl>
      <w:tblPr>
        <w:tblStyle w:val="24"/>
        <w:tblW w:w="949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91"/>
      </w:tblGrid>
      <w:tr w14:paraId="51F6F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9491" w:type="dxa"/>
            <w:tcBorders>
              <w:top w:val="single" w:color="000000" w:sz="2" w:space="0"/>
              <w:bottom w:val="single" w:color="auto" w:sz="4" w:space="0"/>
            </w:tcBorders>
          </w:tcPr>
          <w:p w14:paraId="302D392B">
            <w:pPr>
              <w:spacing w:before="159" w:line="220" w:lineRule="auto"/>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否</w:t>
            </w:r>
            <w:r>
              <w:rPr>
                <w:rFonts w:hint="eastAsia" w:ascii="仿宋" w:hAnsi="仿宋" w:eastAsia="仿宋" w:cs="仿宋"/>
                <w:spacing w:val="10"/>
                <w:sz w:val="21"/>
                <w:szCs w:val="21"/>
                <w:highlight w:val="none"/>
              </w:rPr>
              <w:t>决投标条件</w:t>
            </w:r>
          </w:p>
        </w:tc>
      </w:tr>
      <w:tr w14:paraId="0F9FC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67" w:hRule="atLeast"/>
        </w:trPr>
        <w:tc>
          <w:tcPr>
            <w:tcW w:w="9491" w:type="dxa"/>
            <w:tcBorders>
              <w:top w:val="single" w:color="auto" w:sz="4" w:space="0"/>
              <w:left w:val="single" w:color="auto" w:sz="4" w:space="0"/>
              <w:bottom w:val="single" w:color="auto" w:sz="4" w:space="0"/>
              <w:right w:val="single" w:color="auto" w:sz="4" w:space="0"/>
            </w:tcBorders>
          </w:tcPr>
          <w:p w14:paraId="0B52669F">
            <w:pPr>
              <w:spacing w:line="218" w:lineRule="auto"/>
              <w:ind w:left="125"/>
              <w:rPr>
                <w:rFonts w:hint="eastAsia" w:ascii="仿宋" w:hAnsi="仿宋" w:eastAsia="仿宋" w:cs="仿宋"/>
                <w:sz w:val="21"/>
                <w:szCs w:val="21"/>
                <w:highlight w:val="none"/>
              </w:rPr>
            </w:pPr>
            <w:r>
              <w:rPr>
                <w:rFonts w:hint="eastAsia" w:ascii="仿宋" w:hAnsi="仿宋" w:eastAsia="仿宋" w:cs="仿宋"/>
                <w:sz w:val="21"/>
                <w:szCs w:val="21"/>
                <w:highlight w:val="none"/>
              </w:rPr>
              <w:t>一、比选申请人或其投标文件出现下列情况之一者，应为无效投标：</w:t>
            </w:r>
          </w:p>
          <w:p w14:paraId="733796A9">
            <w:pPr>
              <w:spacing w:line="218" w:lineRule="auto"/>
              <w:ind w:left="125"/>
              <w:rPr>
                <w:rFonts w:hint="eastAsia" w:ascii="仿宋" w:hAnsi="仿宋" w:eastAsia="仿宋" w:cs="仿宋"/>
                <w:sz w:val="21"/>
                <w:szCs w:val="21"/>
                <w:highlight w:val="none"/>
              </w:rPr>
            </w:pPr>
            <w:r>
              <w:rPr>
                <w:rFonts w:hint="eastAsia" w:ascii="仿宋" w:hAnsi="仿宋" w:eastAsia="仿宋" w:cs="仿宋"/>
                <w:sz w:val="21"/>
                <w:szCs w:val="21"/>
                <w:highlight w:val="none"/>
              </w:rPr>
              <w:t>（一）投标文件未按竞争性比选文件要求签署、盖章的；</w:t>
            </w:r>
          </w:p>
          <w:p w14:paraId="369BB460">
            <w:pPr>
              <w:spacing w:line="218" w:lineRule="auto"/>
              <w:ind w:left="125"/>
              <w:rPr>
                <w:rFonts w:hint="eastAsia" w:ascii="仿宋" w:hAnsi="仿宋" w:eastAsia="仿宋" w:cs="仿宋"/>
                <w:sz w:val="21"/>
                <w:szCs w:val="21"/>
                <w:highlight w:val="none"/>
              </w:rPr>
            </w:pPr>
            <w:r>
              <w:rPr>
                <w:rFonts w:hint="eastAsia" w:ascii="仿宋" w:hAnsi="仿宋" w:eastAsia="仿宋" w:cs="仿宋"/>
                <w:sz w:val="21"/>
                <w:szCs w:val="21"/>
                <w:highlight w:val="none"/>
              </w:rPr>
              <w:t>（二）不具备竞争性比选文件中规定的资格要求的；</w:t>
            </w:r>
          </w:p>
          <w:p w14:paraId="0E639EC5">
            <w:pPr>
              <w:spacing w:line="218" w:lineRule="auto"/>
              <w:ind w:left="125"/>
              <w:rPr>
                <w:rFonts w:hint="eastAsia" w:ascii="仿宋" w:hAnsi="仿宋" w:eastAsia="仿宋" w:cs="仿宋"/>
                <w:sz w:val="21"/>
                <w:szCs w:val="21"/>
                <w:highlight w:val="none"/>
              </w:rPr>
            </w:pPr>
            <w:r>
              <w:rPr>
                <w:rFonts w:hint="eastAsia" w:ascii="仿宋" w:hAnsi="仿宋" w:eastAsia="仿宋" w:cs="仿宋"/>
                <w:sz w:val="21"/>
                <w:szCs w:val="21"/>
                <w:highlight w:val="none"/>
              </w:rPr>
              <w:t>（三）报价超过竞争性比选文件中规定的预算金额或者最高限价的；</w:t>
            </w:r>
          </w:p>
          <w:p w14:paraId="1ECEA184">
            <w:pPr>
              <w:spacing w:line="218" w:lineRule="auto"/>
              <w:ind w:left="125"/>
              <w:rPr>
                <w:rFonts w:hint="eastAsia" w:ascii="仿宋" w:hAnsi="仿宋" w:eastAsia="仿宋" w:cs="仿宋"/>
                <w:sz w:val="21"/>
                <w:szCs w:val="21"/>
                <w:highlight w:val="none"/>
              </w:rPr>
            </w:pPr>
            <w:r>
              <w:rPr>
                <w:rFonts w:hint="eastAsia" w:ascii="仿宋" w:hAnsi="仿宋" w:eastAsia="仿宋" w:cs="仿宋"/>
                <w:sz w:val="21"/>
                <w:szCs w:val="21"/>
                <w:highlight w:val="none"/>
              </w:rPr>
              <w:t>（四）投标文件含有招标人不能接受的附加条件的；</w:t>
            </w:r>
          </w:p>
          <w:p w14:paraId="78171666">
            <w:pPr>
              <w:spacing w:line="218" w:lineRule="auto"/>
              <w:ind w:left="125"/>
              <w:rPr>
                <w:rFonts w:hint="eastAsia" w:ascii="仿宋" w:hAnsi="仿宋" w:eastAsia="仿宋" w:cs="仿宋"/>
                <w:sz w:val="21"/>
                <w:szCs w:val="21"/>
                <w:highlight w:val="none"/>
              </w:rPr>
            </w:pPr>
            <w:r>
              <w:rPr>
                <w:rFonts w:hint="eastAsia" w:ascii="仿宋" w:hAnsi="仿宋" w:eastAsia="仿宋" w:cs="仿宋"/>
                <w:sz w:val="21"/>
                <w:szCs w:val="21"/>
                <w:highlight w:val="none"/>
              </w:rPr>
              <w:t>（五）比选申请人串通投标的；</w:t>
            </w:r>
          </w:p>
          <w:p w14:paraId="28C331E7">
            <w:pPr>
              <w:spacing w:line="218" w:lineRule="auto"/>
              <w:ind w:left="125"/>
              <w:rPr>
                <w:rFonts w:hint="eastAsia" w:ascii="仿宋" w:hAnsi="仿宋" w:eastAsia="仿宋" w:cs="仿宋"/>
                <w:sz w:val="21"/>
                <w:szCs w:val="21"/>
                <w:highlight w:val="none"/>
              </w:rPr>
            </w:pPr>
            <w:r>
              <w:rPr>
                <w:rFonts w:hint="eastAsia" w:ascii="仿宋" w:hAnsi="仿宋" w:eastAsia="仿宋" w:cs="仿宋"/>
                <w:sz w:val="21"/>
                <w:szCs w:val="21"/>
                <w:highlight w:val="none"/>
              </w:rPr>
              <w:t>（六）法律、法规和竞争性比选文件规定的其他无效情形。</w:t>
            </w:r>
          </w:p>
          <w:p w14:paraId="635E45A8">
            <w:pPr>
              <w:rPr>
                <w:rFonts w:hint="eastAsia" w:ascii="仿宋" w:hAnsi="仿宋" w:eastAsia="仿宋" w:cs="仿宋"/>
                <w:sz w:val="21"/>
                <w:szCs w:val="21"/>
                <w:highlight w:val="none"/>
              </w:rPr>
            </w:pPr>
            <w:r>
              <w:rPr>
                <w:rFonts w:hint="eastAsia" w:ascii="仿宋" w:hAnsi="仿宋" w:eastAsia="仿宋" w:cs="仿宋"/>
                <w:sz w:val="21"/>
                <w:szCs w:val="21"/>
                <w:highlight w:val="none"/>
              </w:rPr>
              <w:t>二、在比选中，出现下列情形之一的，应予废标：</w:t>
            </w:r>
          </w:p>
          <w:p w14:paraId="32A31699">
            <w:pPr>
              <w:rPr>
                <w:rFonts w:hint="eastAsia" w:ascii="仿宋" w:hAnsi="仿宋" w:eastAsia="仿宋" w:cs="仿宋"/>
                <w:sz w:val="21"/>
                <w:szCs w:val="21"/>
                <w:highlight w:val="none"/>
              </w:rPr>
            </w:pPr>
            <w:r>
              <w:rPr>
                <w:rFonts w:hint="eastAsia" w:ascii="仿宋" w:hAnsi="仿宋" w:eastAsia="仿宋" w:cs="仿宋"/>
                <w:sz w:val="21"/>
                <w:szCs w:val="21"/>
                <w:highlight w:val="none"/>
              </w:rPr>
              <w:t>（一）符合专业条件的比选申请人或者对竞争性比选文件作实质响应的比选申请人不足三家的；</w:t>
            </w:r>
          </w:p>
          <w:p w14:paraId="35A6B9E2">
            <w:pPr>
              <w:rPr>
                <w:rFonts w:hint="eastAsia" w:ascii="仿宋" w:hAnsi="仿宋" w:eastAsia="仿宋" w:cs="仿宋"/>
                <w:sz w:val="21"/>
                <w:szCs w:val="21"/>
                <w:highlight w:val="none"/>
              </w:rPr>
            </w:pPr>
            <w:r>
              <w:rPr>
                <w:rFonts w:hint="eastAsia" w:ascii="仿宋" w:hAnsi="仿宋" w:eastAsia="仿宋" w:cs="仿宋"/>
                <w:sz w:val="21"/>
                <w:szCs w:val="21"/>
                <w:highlight w:val="none"/>
              </w:rPr>
              <w:t>（二）比选申请人的报价均超过了采购预算，招标人不能支付的；</w:t>
            </w:r>
          </w:p>
          <w:p w14:paraId="5835E5D2">
            <w:pPr>
              <w:rPr>
                <w:rFonts w:hint="eastAsia" w:ascii="仿宋" w:hAnsi="仿宋" w:eastAsia="仿宋" w:cs="仿宋"/>
                <w:sz w:val="21"/>
                <w:szCs w:val="21"/>
                <w:highlight w:val="none"/>
              </w:rPr>
            </w:pPr>
            <w:r>
              <w:rPr>
                <w:rFonts w:hint="eastAsia" w:ascii="仿宋" w:hAnsi="仿宋" w:eastAsia="仿宋" w:cs="仿宋"/>
                <w:sz w:val="21"/>
                <w:szCs w:val="21"/>
                <w:highlight w:val="none"/>
              </w:rPr>
              <w:t>（三）出现影响采购公正的违法、违规行为的；</w:t>
            </w:r>
          </w:p>
          <w:p w14:paraId="26BE9783">
            <w:pPr>
              <w:rPr>
                <w:rFonts w:hint="eastAsia" w:ascii="仿宋" w:hAnsi="仿宋" w:eastAsia="仿宋" w:cs="仿宋"/>
                <w:sz w:val="21"/>
                <w:szCs w:val="21"/>
                <w:highlight w:val="none"/>
              </w:rPr>
            </w:pPr>
            <w:r>
              <w:rPr>
                <w:rFonts w:hint="eastAsia" w:ascii="仿宋" w:hAnsi="仿宋" w:eastAsia="仿宋" w:cs="仿宋"/>
                <w:sz w:val="21"/>
                <w:szCs w:val="21"/>
                <w:highlight w:val="none"/>
              </w:rPr>
              <w:t>（四）因重大变故，采购任务取消的。</w:t>
            </w:r>
          </w:p>
          <w:p w14:paraId="78C7377B">
            <w:pPr>
              <w:rPr>
                <w:rFonts w:hint="eastAsia" w:ascii="仿宋" w:hAnsi="仿宋" w:eastAsia="仿宋" w:cs="仿宋"/>
                <w:sz w:val="21"/>
                <w:szCs w:val="21"/>
                <w:highlight w:val="none"/>
              </w:rPr>
            </w:pPr>
            <w:r>
              <w:rPr>
                <w:rFonts w:hint="eastAsia" w:ascii="仿宋" w:hAnsi="仿宋" w:eastAsia="仿宋" w:cs="仿宋"/>
                <w:sz w:val="21"/>
                <w:szCs w:val="21"/>
                <w:highlight w:val="none"/>
              </w:rPr>
              <w:t>三、比选申请单位资格、符合性不满足比选文件要求的应予废标</w:t>
            </w:r>
          </w:p>
          <w:p w14:paraId="0DA8610C">
            <w:pPr>
              <w:rPr>
                <w:rFonts w:hint="eastAsia" w:ascii="仿宋" w:hAnsi="仿宋" w:eastAsia="仿宋" w:cs="仿宋"/>
                <w:highlight w:val="none"/>
              </w:rPr>
            </w:pPr>
          </w:p>
        </w:tc>
      </w:tr>
    </w:tbl>
    <w:p w14:paraId="002757E2">
      <w:pPr>
        <w:spacing w:line="126" w:lineRule="exact"/>
        <w:rPr>
          <w:rFonts w:hint="eastAsia" w:ascii="仿宋" w:hAnsi="仿宋" w:eastAsia="仿宋" w:cs="仿宋"/>
          <w:highlight w:val="none"/>
        </w:rPr>
      </w:pPr>
    </w:p>
    <w:p w14:paraId="00631701">
      <w:pPr>
        <w:rPr>
          <w:rFonts w:hint="eastAsia" w:ascii="仿宋" w:hAnsi="仿宋" w:eastAsia="仿宋" w:cs="仿宋"/>
          <w:highlight w:val="none"/>
        </w:rPr>
        <w:sectPr>
          <w:footerReference r:id="rId9" w:type="default"/>
          <w:pgSz w:w="11910" w:h="16845"/>
          <w:pgMar w:top="1414" w:right="1201" w:bottom="1022" w:left="1216" w:header="0" w:footer="862" w:gutter="0"/>
          <w:cols w:space="720" w:num="1"/>
        </w:sectPr>
      </w:pPr>
    </w:p>
    <w:p w14:paraId="747620AF">
      <w:pPr>
        <w:pStyle w:val="42"/>
        <w:rPr>
          <w:rFonts w:ascii="仿宋" w:hAnsi="仿宋" w:eastAsia="仿宋" w:cs="仿宋"/>
          <w:color w:val="auto"/>
          <w:highlight w:val="none"/>
        </w:rPr>
      </w:pPr>
    </w:p>
    <w:p w14:paraId="72D0BEF0">
      <w:pPr>
        <w:pStyle w:val="42"/>
        <w:rPr>
          <w:rFonts w:ascii="仿宋" w:hAnsi="仿宋" w:eastAsia="仿宋" w:cs="仿宋"/>
          <w:color w:val="auto"/>
          <w:highlight w:val="none"/>
        </w:rPr>
      </w:pPr>
    </w:p>
    <w:p w14:paraId="4D39EE8E">
      <w:pPr>
        <w:pStyle w:val="2"/>
        <w:keepNext w:val="0"/>
        <w:keepLines w:val="0"/>
        <w:tabs>
          <w:tab w:val="left" w:pos="0"/>
        </w:tabs>
        <w:wordWrap w:val="0"/>
        <w:autoSpaceDE w:val="0"/>
        <w:autoSpaceDN w:val="0"/>
        <w:snapToGrid w:val="0"/>
        <w:spacing w:before="0" w:after="0" w:line="288" w:lineRule="auto"/>
        <w:jc w:val="center"/>
        <w:rPr>
          <w:rFonts w:hint="eastAsia" w:ascii="仿宋" w:hAnsi="仿宋" w:eastAsia="仿宋" w:cs="仿宋"/>
          <w:kern w:val="0"/>
          <w:highlight w:val="none"/>
        </w:rPr>
      </w:pPr>
      <w:bookmarkStart w:id="475" w:name="_Toc17233"/>
      <w:r>
        <w:rPr>
          <w:rFonts w:hint="eastAsia" w:ascii="仿宋" w:hAnsi="仿宋" w:eastAsia="仿宋" w:cs="仿宋"/>
          <w:kern w:val="0"/>
          <w:highlight w:val="none"/>
        </w:rPr>
        <w:t>第四章 合同条款及格式</w:t>
      </w:r>
      <w:bookmarkEnd w:id="475"/>
    </w:p>
    <w:p w14:paraId="56B16B2E">
      <w:pPr>
        <w:rPr>
          <w:rFonts w:ascii="宋体" w:hAnsi="宋体"/>
          <w:sz w:val="32"/>
          <w:highlight w:val="none"/>
        </w:rPr>
      </w:pPr>
      <w:r>
        <w:rPr>
          <w:rFonts w:hint="eastAsia" w:ascii="宋体" w:hAnsi="宋体"/>
          <w:sz w:val="32"/>
          <w:highlight w:val="none"/>
        </w:rPr>
        <w:t>合同编号：</w:t>
      </w:r>
    </w:p>
    <w:p w14:paraId="440681AD">
      <w:pPr>
        <w:rPr>
          <w:rFonts w:hint="eastAsia" w:ascii="宋体" w:hAnsi="宋体"/>
          <w:highlight w:val="none"/>
        </w:rPr>
      </w:pPr>
    </w:p>
    <w:p w14:paraId="2465A1A6">
      <w:pPr>
        <w:rPr>
          <w:rFonts w:hint="eastAsia" w:ascii="宋体" w:hAnsi="宋体"/>
          <w:highlight w:val="none"/>
        </w:rPr>
      </w:pPr>
    </w:p>
    <w:p w14:paraId="56A3518E">
      <w:pPr>
        <w:jc w:val="center"/>
        <w:rPr>
          <w:rFonts w:hint="eastAsia" w:ascii="宋体" w:hAnsi="宋体"/>
          <w:b/>
          <w:bCs/>
          <w:sz w:val="44"/>
          <w:highlight w:val="none"/>
        </w:rPr>
      </w:pPr>
    </w:p>
    <w:p w14:paraId="3677B28B">
      <w:pPr>
        <w:jc w:val="center"/>
        <w:rPr>
          <w:rFonts w:hint="eastAsia" w:ascii="宋体" w:hAnsi="宋体"/>
          <w:b/>
          <w:bCs/>
          <w:sz w:val="44"/>
          <w:highlight w:val="none"/>
        </w:rPr>
      </w:pPr>
    </w:p>
    <w:p w14:paraId="51495118">
      <w:pPr>
        <w:jc w:val="center"/>
        <w:rPr>
          <w:rFonts w:hint="eastAsia" w:ascii="宋体" w:hAnsi="宋体"/>
          <w:b/>
          <w:bCs/>
          <w:sz w:val="44"/>
          <w:highlight w:val="none"/>
        </w:rPr>
      </w:pPr>
    </w:p>
    <w:p w14:paraId="02D5721C">
      <w:pPr>
        <w:jc w:val="center"/>
        <w:rPr>
          <w:rFonts w:hint="eastAsia" w:ascii="宋体" w:hAnsi="宋体"/>
          <w:b/>
          <w:bCs/>
          <w:sz w:val="52"/>
          <w:highlight w:val="none"/>
        </w:rPr>
      </w:pPr>
      <w:r>
        <w:rPr>
          <w:rFonts w:hint="eastAsia" w:ascii="宋体" w:hAnsi="宋体"/>
          <w:b/>
          <w:bCs/>
          <w:sz w:val="52"/>
          <w:highlight w:val="none"/>
        </w:rPr>
        <w:t>项目合作协议</w:t>
      </w:r>
    </w:p>
    <w:p w14:paraId="113F1BF3">
      <w:pPr>
        <w:spacing w:line="480" w:lineRule="auto"/>
        <w:rPr>
          <w:rFonts w:hint="eastAsia" w:ascii="宋体" w:hAnsi="宋体"/>
          <w:sz w:val="32"/>
          <w:highlight w:val="none"/>
        </w:rPr>
      </w:pPr>
    </w:p>
    <w:p w14:paraId="1746128E">
      <w:pPr>
        <w:spacing w:line="480" w:lineRule="auto"/>
        <w:rPr>
          <w:rFonts w:hint="eastAsia" w:ascii="宋体" w:hAnsi="宋体"/>
          <w:sz w:val="32"/>
          <w:highlight w:val="none"/>
        </w:rPr>
      </w:pPr>
    </w:p>
    <w:p w14:paraId="05B2F041">
      <w:pPr>
        <w:spacing w:line="480" w:lineRule="auto"/>
        <w:rPr>
          <w:rFonts w:hint="eastAsia" w:ascii="宋体" w:hAnsi="宋体"/>
          <w:sz w:val="32"/>
          <w:highlight w:val="none"/>
        </w:rPr>
      </w:pPr>
    </w:p>
    <w:p w14:paraId="0A3C6CEA">
      <w:pPr>
        <w:spacing w:line="480" w:lineRule="auto"/>
        <w:rPr>
          <w:rFonts w:hint="eastAsia" w:ascii="宋体" w:hAnsi="宋体"/>
          <w:sz w:val="32"/>
          <w:highlight w:val="none"/>
        </w:rPr>
      </w:pPr>
    </w:p>
    <w:p w14:paraId="5B365F60">
      <w:pPr>
        <w:spacing w:line="480" w:lineRule="auto"/>
        <w:rPr>
          <w:rFonts w:hint="eastAsia" w:ascii="宋体" w:hAnsi="宋体"/>
          <w:sz w:val="28"/>
          <w:szCs w:val="28"/>
          <w:highlight w:val="none"/>
        </w:rPr>
      </w:pPr>
      <w:r>
        <w:rPr>
          <w:rFonts w:hint="eastAsia" w:ascii="宋体" w:hAnsi="宋体"/>
          <w:sz w:val="28"/>
          <w:szCs w:val="28"/>
          <w:highlight w:val="none"/>
        </w:rPr>
        <w:t>项目名称：</w:t>
      </w:r>
    </w:p>
    <w:p w14:paraId="0385D51A">
      <w:pPr>
        <w:spacing w:line="480" w:lineRule="auto"/>
        <w:rPr>
          <w:rFonts w:hint="eastAsia" w:ascii="宋体" w:hAnsi="宋体"/>
          <w:sz w:val="28"/>
          <w:szCs w:val="28"/>
          <w:highlight w:val="none"/>
        </w:rPr>
      </w:pPr>
      <w:r>
        <w:rPr>
          <w:rFonts w:hint="eastAsia" w:ascii="宋体" w:hAnsi="宋体"/>
          <w:sz w:val="28"/>
          <w:szCs w:val="28"/>
          <w:highlight w:val="none"/>
        </w:rPr>
        <w:t>甲    方：</w:t>
      </w:r>
    </w:p>
    <w:p w14:paraId="7FC1BD3B">
      <w:pPr>
        <w:spacing w:line="480" w:lineRule="auto"/>
        <w:rPr>
          <w:rFonts w:hint="eastAsia" w:ascii="宋体" w:hAnsi="宋体"/>
          <w:sz w:val="32"/>
          <w:highlight w:val="none"/>
        </w:rPr>
      </w:pPr>
      <w:r>
        <w:rPr>
          <w:rFonts w:hint="eastAsia" w:ascii="宋体" w:hAnsi="宋体"/>
          <w:sz w:val="28"/>
          <w:szCs w:val="28"/>
          <w:highlight w:val="none"/>
        </w:rPr>
        <w:t>乙    方：</w:t>
      </w:r>
    </w:p>
    <w:p w14:paraId="513204FE">
      <w:pPr>
        <w:spacing w:line="480" w:lineRule="auto"/>
        <w:rPr>
          <w:rFonts w:hint="eastAsia" w:ascii="宋体" w:hAnsi="宋体"/>
          <w:sz w:val="32"/>
          <w:highlight w:val="none"/>
        </w:rPr>
      </w:pPr>
    </w:p>
    <w:p w14:paraId="76C7B8D9">
      <w:pPr>
        <w:spacing w:line="480" w:lineRule="auto"/>
        <w:rPr>
          <w:rFonts w:hint="eastAsia" w:ascii="宋体" w:hAnsi="宋体"/>
          <w:sz w:val="32"/>
          <w:highlight w:val="none"/>
        </w:rPr>
      </w:pPr>
    </w:p>
    <w:p w14:paraId="3CA0F305">
      <w:pPr>
        <w:spacing w:line="480" w:lineRule="auto"/>
        <w:rPr>
          <w:rFonts w:hint="eastAsia" w:ascii="宋体" w:hAnsi="宋体"/>
          <w:sz w:val="32"/>
          <w:highlight w:val="none"/>
        </w:rPr>
      </w:pPr>
    </w:p>
    <w:p w14:paraId="335D49AF">
      <w:pPr>
        <w:spacing w:line="480" w:lineRule="auto"/>
        <w:ind w:firstLine="1540" w:firstLineChars="550"/>
        <w:rPr>
          <w:rFonts w:hint="eastAsia" w:ascii="宋体" w:hAnsi="宋体"/>
          <w:sz w:val="28"/>
          <w:szCs w:val="28"/>
          <w:highlight w:val="none"/>
        </w:rPr>
      </w:pPr>
      <w:r>
        <w:rPr>
          <w:rFonts w:hint="eastAsia" w:ascii="宋体" w:hAnsi="宋体"/>
          <w:sz w:val="28"/>
          <w:szCs w:val="28"/>
          <w:highlight w:val="none"/>
        </w:rPr>
        <w:t xml:space="preserve">签订地点： </w:t>
      </w:r>
    </w:p>
    <w:p w14:paraId="29F38AB3">
      <w:pPr>
        <w:ind w:firstLine="1540" w:firstLineChars="550"/>
        <w:rPr>
          <w:rFonts w:hint="eastAsia" w:ascii="宋体" w:hAnsi="宋体"/>
          <w:sz w:val="28"/>
          <w:szCs w:val="28"/>
          <w:highlight w:val="none"/>
        </w:rPr>
      </w:pPr>
      <w:r>
        <w:rPr>
          <w:rFonts w:hint="eastAsia" w:ascii="宋体" w:hAnsi="宋体"/>
          <w:sz w:val="28"/>
          <w:szCs w:val="28"/>
          <w:highlight w:val="none"/>
        </w:rPr>
        <w:t>签订日期：   年   月   日</w:t>
      </w:r>
    </w:p>
    <w:p w14:paraId="44915E13">
      <w:pPr>
        <w:jc w:val="center"/>
        <w:rPr>
          <w:rFonts w:hint="eastAsia" w:ascii="宋体" w:hAnsi="宋体"/>
          <w:b/>
          <w:bCs/>
          <w:sz w:val="52"/>
          <w:highlight w:val="none"/>
        </w:rPr>
      </w:pPr>
      <w:r>
        <w:rPr>
          <w:rFonts w:hint="eastAsia" w:ascii="宋体" w:hAnsi="宋体"/>
          <w:b/>
          <w:bCs/>
          <w:sz w:val="52"/>
          <w:highlight w:val="none"/>
        </w:rPr>
        <w:t>项目合作协议</w:t>
      </w:r>
    </w:p>
    <w:p w14:paraId="748649AD">
      <w:pPr>
        <w:ind w:firstLine="1540" w:firstLineChars="550"/>
        <w:rPr>
          <w:rFonts w:hint="eastAsia" w:ascii="宋体" w:hAnsi="宋体"/>
          <w:sz w:val="28"/>
          <w:szCs w:val="28"/>
          <w:highlight w:val="none"/>
        </w:rPr>
      </w:pPr>
    </w:p>
    <w:p w14:paraId="34FEE708">
      <w:pPr>
        <w:spacing w:line="470" w:lineRule="exact"/>
        <w:ind w:firstLine="480" w:firstLineChars="200"/>
        <w:rPr>
          <w:rFonts w:hint="eastAsia" w:ascii="宋体" w:hAnsi="宋体"/>
          <w:b/>
          <w:bCs/>
          <w:sz w:val="24"/>
          <w:highlight w:val="none"/>
        </w:rPr>
      </w:pPr>
      <w:r>
        <w:rPr>
          <w:rFonts w:hint="eastAsia" w:ascii="宋体" w:hAnsi="宋体"/>
          <w:sz w:val="24"/>
          <w:highlight w:val="none"/>
        </w:rPr>
        <w:t>甲方委托乙方就</w:t>
      </w:r>
      <w:r>
        <w:rPr>
          <w:rFonts w:hint="eastAsia" w:ascii="宋体" w:hAnsi="宋体"/>
          <w:b/>
          <w:sz w:val="24"/>
          <w:highlight w:val="none"/>
        </w:rPr>
        <w:t>“</w:t>
      </w:r>
      <w:r>
        <w:rPr>
          <w:rFonts w:hint="eastAsia" w:ascii="宋体" w:hAnsi="宋体"/>
          <w:b/>
          <w:sz w:val="24"/>
          <w:highlight w:val="none"/>
          <w:lang w:val="en-US" w:eastAsia="zh-CN"/>
        </w:rPr>
        <w:t xml:space="preserve">   </w:t>
      </w:r>
      <w:r>
        <w:rPr>
          <w:rFonts w:hint="eastAsia" w:ascii="宋体" w:hAnsi="宋体"/>
          <w:b/>
          <w:sz w:val="24"/>
          <w:highlight w:val="none"/>
        </w:rPr>
        <w:t>”</w:t>
      </w:r>
      <w:r>
        <w:rPr>
          <w:rFonts w:hint="eastAsia" w:ascii="宋体" w:hAnsi="宋体"/>
          <w:sz w:val="24"/>
          <w:highlight w:val="none"/>
        </w:rPr>
        <w:t>进行管理咨询服务。为了明确双方的权利和义务，保证项目的顺利进行，双方根据《中华人民共和国民法典》以及相关法律法规，在自愿、平等、互利的基础上签订本协议。</w:t>
      </w:r>
    </w:p>
    <w:p w14:paraId="493B67A5">
      <w:pPr>
        <w:numPr>
          <w:ilvl w:val="0"/>
          <w:numId w:val="0"/>
        </w:numPr>
        <w:spacing w:line="470" w:lineRule="exact"/>
        <w:ind w:firstLine="482" w:firstLineChars="200"/>
        <w:rPr>
          <w:rFonts w:hint="eastAsia" w:ascii="宋体" w:hAnsi="宋体"/>
          <w:b/>
          <w:bCs/>
          <w:sz w:val="24"/>
          <w:highlight w:val="none"/>
        </w:rPr>
      </w:pPr>
      <w:r>
        <w:rPr>
          <w:rFonts w:hint="eastAsia" w:ascii="宋体" w:hAnsi="宋体" w:eastAsia="方正仿宋_GBK" w:cs="Times New Roman"/>
          <w:b/>
          <w:bCs/>
          <w:sz w:val="24"/>
          <w:szCs w:val="32"/>
          <w:lang w:val="en-US" w:eastAsia="zh-CN" w:bidi="ar-SA"/>
        </w:rPr>
        <w:t>第一条</w:t>
      </w:r>
      <w:r>
        <w:rPr>
          <w:rFonts w:hint="eastAsia" w:ascii="宋体" w:hAnsi="宋体"/>
          <w:b/>
          <w:bCs/>
          <w:sz w:val="24"/>
          <w:highlight w:val="none"/>
        </w:rPr>
        <w:t>项目范围及质量要求</w:t>
      </w:r>
    </w:p>
    <w:p w14:paraId="6DA362AE">
      <w:pPr>
        <w:spacing w:line="470" w:lineRule="exact"/>
        <w:ind w:firstLine="480" w:firstLineChars="200"/>
        <w:rPr>
          <w:rFonts w:hint="eastAsia" w:ascii="宋体" w:hAnsi="宋体"/>
          <w:sz w:val="24"/>
          <w:highlight w:val="none"/>
        </w:rPr>
      </w:pPr>
      <w:r>
        <w:rPr>
          <w:rFonts w:hint="eastAsia" w:ascii="宋体" w:hAnsi="宋体"/>
          <w:sz w:val="24"/>
          <w:highlight w:val="none"/>
        </w:rPr>
        <w:t>一．项目内容：</w:t>
      </w:r>
    </w:p>
    <w:p w14:paraId="495E22A5">
      <w:pPr>
        <w:numPr>
          <w:ilvl w:val="0"/>
          <w:numId w:val="2"/>
        </w:numPr>
        <w:spacing w:line="470" w:lineRule="exact"/>
        <w:rPr>
          <w:rFonts w:ascii="宋体" w:hAnsi="宋体"/>
          <w:sz w:val="24"/>
          <w:highlight w:val="none"/>
        </w:rPr>
      </w:pPr>
      <w:r>
        <w:rPr>
          <w:rFonts w:hint="eastAsia" w:ascii="宋体" w:hAnsi="宋体"/>
          <w:sz w:val="24"/>
          <w:highlight w:val="none"/>
        </w:rPr>
        <w:t>项目内容：根据甲方</w:t>
      </w:r>
      <w:r>
        <w:rPr>
          <w:rFonts w:hint="eastAsia" w:ascii="宋体" w:hAnsi="宋体"/>
          <w:sz w:val="24"/>
          <w:highlight w:val="none"/>
          <w:lang w:val="en-US" w:eastAsia="zh-CN"/>
        </w:rPr>
        <w:t>整合后</w:t>
      </w:r>
      <w:r>
        <w:rPr>
          <w:rFonts w:hint="eastAsia" w:ascii="宋体" w:hAnsi="宋体"/>
          <w:sz w:val="24"/>
          <w:highlight w:val="none"/>
        </w:rPr>
        <w:t>的</w:t>
      </w:r>
      <w:r>
        <w:rPr>
          <w:rFonts w:hint="eastAsia" w:ascii="宋体" w:hAnsi="宋体"/>
          <w:sz w:val="24"/>
          <w:highlight w:val="none"/>
          <w:lang w:val="en-US" w:eastAsia="zh-CN"/>
        </w:rPr>
        <w:t>现状</w:t>
      </w:r>
      <w:r>
        <w:rPr>
          <w:rFonts w:hint="eastAsia" w:ascii="宋体" w:hAnsi="宋体"/>
          <w:sz w:val="24"/>
          <w:highlight w:val="none"/>
        </w:rPr>
        <w:t>和对</w:t>
      </w:r>
      <w:r>
        <w:rPr>
          <w:rFonts w:hint="eastAsia" w:ascii="宋体" w:hAnsi="宋体"/>
          <w:sz w:val="24"/>
          <w:highlight w:val="none"/>
          <w:lang w:val="en-US" w:eastAsia="zh-CN"/>
        </w:rPr>
        <w:t>薪酬绩效等变革</w:t>
      </w:r>
      <w:r>
        <w:rPr>
          <w:rFonts w:hint="eastAsia" w:ascii="宋体" w:hAnsi="宋体"/>
          <w:sz w:val="24"/>
          <w:highlight w:val="none"/>
        </w:rPr>
        <w:t>需求，乙方为甲方提供的咨询项目内容包括</w:t>
      </w:r>
      <w:r>
        <w:rPr>
          <w:rFonts w:ascii="宋体" w:hAnsi="宋体"/>
          <w:sz w:val="24"/>
          <w:highlight w:val="none"/>
        </w:rPr>
        <w:t>如下</w:t>
      </w:r>
      <w:r>
        <w:rPr>
          <w:rFonts w:hint="eastAsia" w:ascii="宋体" w:hAnsi="宋体"/>
          <w:sz w:val="24"/>
          <w:highlight w:val="none"/>
        </w:rPr>
        <w:t>几个部分，其成果的</w:t>
      </w:r>
      <w:r>
        <w:rPr>
          <w:rFonts w:ascii="宋体" w:hAnsi="宋体"/>
          <w:sz w:val="24"/>
          <w:highlight w:val="none"/>
        </w:rPr>
        <w:t>产出</w:t>
      </w:r>
      <w:r>
        <w:rPr>
          <w:rFonts w:hint="eastAsia" w:ascii="宋体" w:hAnsi="宋体"/>
          <w:sz w:val="24"/>
          <w:highlight w:val="none"/>
        </w:rPr>
        <w:t>呈现为PPT、</w:t>
      </w:r>
      <w:r>
        <w:rPr>
          <w:rFonts w:ascii="宋体" w:hAnsi="宋体"/>
          <w:sz w:val="24"/>
          <w:highlight w:val="none"/>
        </w:rPr>
        <w:t>Word</w:t>
      </w:r>
      <w:r>
        <w:rPr>
          <w:rFonts w:hint="eastAsia" w:ascii="宋体" w:hAnsi="宋体"/>
          <w:sz w:val="24"/>
          <w:highlight w:val="none"/>
        </w:rPr>
        <w:t>、</w:t>
      </w:r>
      <w:r>
        <w:rPr>
          <w:rFonts w:ascii="宋体" w:hAnsi="宋体"/>
          <w:sz w:val="24"/>
          <w:highlight w:val="none"/>
        </w:rPr>
        <w:t>Excel</w:t>
      </w:r>
      <w:r>
        <w:rPr>
          <w:rFonts w:hint="eastAsia" w:ascii="宋体" w:hAnsi="宋体"/>
          <w:sz w:val="24"/>
          <w:highlight w:val="none"/>
        </w:rPr>
        <w:t>等</w:t>
      </w:r>
      <w:r>
        <w:rPr>
          <w:rFonts w:ascii="宋体" w:hAnsi="宋体"/>
          <w:sz w:val="24"/>
          <w:highlight w:val="none"/>
        </w:rPr>
        <w:t>方式</w:t>
      </w:r>
      <w:r>
        <w:rPr>
          <w:rFonts w:hint="eastAsia" w:ascii="宋体" w:hAnsi="宋体"/>
          <w:sz w:val="24"/>
          <w:highlight w:val="none"/>
        </w:rPr>
        <w:t>。</w:t>
      </w:r>
    </w:p>
    <w:p w14:paraId="33B98CFD">
      <w:pPr>
        <w:spacing w:line="470" w:lineRule="exact"/>
        <w:ind w:firstLine="480" w:firstLineChars="200"/>
        <w:rPr>
          <w:rFonts w:ascii="宋体" w:hAnsi="宋体"/>
          <w:sz w:val="24"/>
          <w:highlight w:val="none"/>
        </w:rPr>
      </w:pPr>
      <w:r>
        <w:rPr>
          <w:rFonts w:hint="eastAsia" w:ascii="宋体" w:hAnsi="宋体"/>
          <w:sz w:val="24"/>
          <w:highlight w:val="none"/>
        </w:rPr>
        <w:t>项目启动：启动阶段主要是访谈和信息收集，成果产出为：项目启动会方案；</w:t>
      </w:r>
    </w:p>
    <w:p w14:paraId="395C0BDB">
      <w:pPr>
        <w:spacing w:line="470" w:lineRule="exact"/>
        <w:rPr>
          <w:rFonts w:hint="eastAsia" w:ascii="宋体" w:hAnsi="宋体"/>
          <w:sz w:val="24"/>
          <w:highlight w:val="none"/>
        </w:rPr>
      </w:pPr>
      <w:r>
        <w:rPr>
          <w:rFonts w:hint="eastAsia" w:ascii="宋体" w:hAnsi="宋体"/>
          <w:sz w:val="24"/>
          <w:highlight w:val="none"/>
        </w:rPr>
        <w:t>访谈总结；问卷调研分析；信息收集清单；公司诊断报告。</w:t>
      </w:r>
    </w:p>
    <w:p w14:paraId="192423C6">
      <w:pPr>
        <w:spacing w:line="470" w:lineRule="exact"/>
        <w:ind w:firstLine="480" w:firstLineChars="200"/>
        <w:rPr>
          <w:rFonts w:ascii="宋体" w:hAnsi="宋体"/>
          <w:sz w:val="24"/>
          <w:highlight w:val="none"/>
        </w:rPr>
      </w:pPr>
      <w:r>
        <w:rPr>
          <w:rFonts w:hint="eastAsia" w:ascii="宋体" w:hAnsi="宋体"/>
          <w:sz w:val="24"/>
          <w:highlight w:val="none"/>
        </w:rPr>
        <w:t>模块一：转型专项建议</w:t>
      </w:r>
    </w:p>
    <w:p w14:paraId="044BE0DF">
      <w:pPr>
        <w:spacing w:line="470" w:lineRule="exact"/>
        <w:ind w:firstLine="480" w:firstLineChars="200"/>
        <w:rPr>
          <w:rFonts w:hint="eastAsia" w:ascii="宋体" w:hAnsi="宋体"/>
          <w:sz w:val="24"/>
          <w:highlight w:val="none"/>
        </w:rPr>
      </w:pPr>
      <w:r>
        <w:rPr>
          <w:rFonts w:hint="eastAsia" w:ascii="宋体" w:hAnsi="宋体"/>
          <w:sz w:val="24"/>
          <w:highlight w:val="none"/>
        </w:rPr>
        <w:t>结合面向科技公司转型的战略设想，提供关于组织建设、人才发展的总体思考以及薪酬绩效创新突破性改革等方面的专项咨询建议和风险评估，确保转型方向正确、路径可行。</w:t>
      </w:r>
    </w:p>
    <w:p w14:paraId="373C4018">
      <w:pPr>
        <w:spacing w:line="470" w:lineRule="exact"/>
        <w:ind w:firstLine="480" w:firstLineChars="200"/>
        <w:rPr>
          <w:rFonts w:hint="eastAsia" w:ascii="宋体" w:hAnsi="宋体"/>
          <w:sz w:val="24"/>
          <w:highlight w:val="none"/>
        </w:rPr>
      </w:pPr>
      <w:r>
        <w:rPr>
          <w:rFonts w:hint="eastAsia" w:ascii="宋体" w:hAnsi="宋体"/>
          <w:sz w:val="24"/>
          <w:highlight w:val="none"/>
        </w:rPr>
        <w:t>模块二：现状诊断与分析</w:t>
      </w:r>
    </w:p>
    <w:p w14:paraId="19AAC831">
      <w:pPr>
        <w:spacing w:line="470" w:lineRule="exact"/>
        <w:ind w:firstLine="480" w:firstLineChars="200"/>
        <w:rPr>
          <w:rFonts w:hint="eastAsia" w:ascii="宋体" w:hAnsi="宋体"/>
          <w:sz w:val="24"/>
          <w:highlight w:val="none"/>
        </w:rPr>
      </w:pPr>
      <w:r>
        <w:rPr>
          <w:rFonts w:hint="eastAsia" w:ascii="宋体" w:hAnsi="宋体"/>
          <w:sz w:val="24"/>
          <w:highlight w:val="none"/>
        </w:rPr>
        <w:t>全面梳理两家公司现有组织架构、岗位体系、职级序列、薪酬结构、绩效管理等现状，开展系统比对与综合分析，识别整合痛点与转型基础，为后续体系设计提供依据。</w:t>
      </w:r>
    </w:p>
    <w:p w14:paraId="4B901007">
      <w:pPr>
        <w:spacing w:line="470" w:lineRule="exact"/>
        <w:ind w:firstLine="480" w:firstLineChars="200"/>
        <w:rPr>
          <w:rFonts w:hint="eastAsia" w:ascii="宋体" w:hAnsi="宋体"/>
          <w:sz w:val="24"/>
          <w:highlight w:val="none"/>
        </w:rPr>
      </w:pPr>
      <w:r>
        <w:rPr>
          <w:rFonts w:hint="eastAsia" w:ascii="宋体" w:hAnsi="宋体"/>
          <w:sz w:val="24"/>
          <w:highlight w:val="none"/>
        </w:rPr>
        <w:t>模块三：职级体系设计</w:t>
      </w:r>
    </w:p>
    <w:p w14:paraId="34A2352E">
      <w:pPr>
        <w:spacing w:line="470" w:lineRule="exact"/>
        <w:ind w:firstLine="480" w:firstLineChars="200"/>
        <w:rPr>
          <w:rFonts w:hint="eastAsia" w:ascii="宋体" w:hAnsi="宋体"/>
          <w:sz w:val="24"/>
          <w:highlight w:val="none"/>
        </w:rPr>
      </w:pPr>
      <w:r>
        <w:rPr>
          <w:rFonts w:hint="eastAsia" w:ascii="宋体" w:hAnsi="宋体"/>
          <w:sz w:val="24"/>
          <w:highlight w:val="none"/>
        </w:rPr>
        <w:t>基于整合后的组织架构，设计统一、规范的职级体系与任职资格标准，打通员工职业发展通道，并确保职级体系明确对应至每个岗位和人员，实现人员有序融合及清晰发展。</w:t>
      </w:r>
    </w:p>
    <w:p w14:paraId="1602DEA7">
      <w:pPr>
        <w:spacing w:line="470" w:lineRule="exact"/>
        <w:ind w:firstLine="480" w:firstLineChars="200"/>
        <w:rPr>
          <w:rFonts w:hint="eastAsia" w:ascii="宋体" w:hAnsi="宋体"/>
          <w:sz w:val="24"/>
          <w:highlight w:val="none"/>
        </w:rPr>
      </w:pPr>
      <w:r>
        <w:rPr>
          <w:rFonts w:hint="eastAsia" w:ascii="宋体" w:hAnsi="宋体"/>
          <w:sz w:val="24"/>
          <w:highlight w:val="none"/>
        </w:rPr>
        <w:t>模块四：薪酬激励体系搭建</w:t>
      </w:r>
    </w:p>
    <w:p w14:paraId="19B5B1C4">
      <w:pPr>
        <w:spacing w:line="470" w:lineRule="exact"/>
        <w:ind w:firstLine="480" w:firstLineChars="200"/>
        <w:rPr>
          <w:rFonts w:hint="eastAsia" w:ascii="宋体" w:hAnsi="宋体"/>
          <w:sz w:val="24"/>
          <w:highlight w:val="none"/>
        </w:rPr>
      </w:pPr>
      <w:r>
        <w:rPr>
          <w:rFonts w:hint="eastAsia" w:ascii="宋体" w:hAnsi="宋体"/>
          <w:sz w:val="24"/>
          <w:highlight w:val="none"/>
        </w:rPr>
        <w:t>设计兼顾内部公平性与外部竞争力的一体化薪酬体系，重点解决整合过程中的薪酬套改与平衡问题，并融入科技行业激励理念，确保薪酬结构和标准可落实到每个岗位及员工个人，支持创新与绩效导向。</w:t>
      </w:r>
    </w:p>
    <w:p w14:paraId="01790367">
      <w:pPr>
        <w:spacing w:line="470" w:lineRule="exact"/>
        <w:ind w:firstLine="480" w:firstLineChars="200"/>
        <w:rPr>
          <w:rFonts w:ascii="宋体" w:hAnsi="宋体"/>
          <w:sz w:val="24"/>
          <w:highlight w:val="none"/>
        </w:rPr>
      </w:pPr>
      <w:r>
        <w:rPr>
          <w:rFonts w:hint="eastAsia" w:ascii="宋体" w:hAnsi="宋体"/>
          <w:sz w:val="24"/>
          <w:highlight w:val="none"/>
        </w:rPr>
        <w:t>模块五：绩效管理体系设计</w:t>
      </w:r>
    </w:p>
    <w:p w14:paraId="27AB10B0">
      <w:pPr>
        <w:spacing w:line="470" w:lineRule="exact"/>
        <w:ind w:firstLine="480" w:firstLineChars="200"/>
        <w:rPr>
          <w:rFonts w:hint="eastAsia" w:ascii="宋体" w:hAnsi="宋体"/>
          <w:sz w:val="24"/>
          <w:highlight w:val="none"/>
        </w:rPr>
      </w:pPr>
      <w:r>
        <w:rPr>
          <w:rFonts w:hint="eastAsia" w:ascii="宋体" w:hAnsi="宋体"/>
          <w:sz w:val="24"/>
          <w:highlight w:val="none"/>
        </w:rPr>
        <w:t>构建目标清晰、响应敏捷、激励有效的绩效管理体系，突出对科技创新、项目孵化、客户价值创造等关键指标的牵引，支撑战略落地与价值提升。</w:t>
      </w:r>
    </w:p>
    <w:p w14:paraId="0C4E47F0">
      <w:pPr>
        <w:spacing w:line="470" w:lineRule="exact"/>
        <w:ind w:firstLine="480" w:firstLineChars="200"/>
        <w:rPr>
          <w:rFonts w:hint="eastAsia" w:ascii="宋体" w:hAnsi="宋体"/>
          <w:sz w:val="24"/>
          <w:highlight w:val="none"/>
        </w:rPr>
      </w:pPr>
      <w:r>
        <w:rPr>
          <w:rFonts w:hint="eastAsia" w:ascii="宋体" w:hAnsi="宋体"/>
          <w:sz w:val="24"/>
          <w:highlight w:val="none"/>
        </w:rPr>
        <w:t>模块六：干部竞聘</w:t>
      </w:r>
    </w:p>
    <w:p w14:paraId="3AD4BA2C">
      <w:pPr>
        <w:spacing w:line="470" w:lineRule="exact"/>
        <w:ind w:firstLine="480" w:firstLineChars="200"/>
        <w:rPr>
          <w:rFonts w:hint="eastAsia" w:ascii="宋体" w:hAnsi="宋体"/>
          <w:sz w:val="24"/>
          <w:highlight w:val="none"/>
        </w:rPr>
      </w:pPr>
      <w:r>
        <w:rPr>
          <w:rFonts w:hint="eastAsia" w:ascii="宋体" w:hAnsi="宋体"/>
          <w:sz w:val="24"/>
          <w:highlight w:val="none"/>
        </w:rPr>
        <w:t>针对整合后新组织架构中的关键管理岗位，设计公平、公开、公正的干部竞聘实施方案并协助完成实施过程。包括但不限于竞聘流程、任职标准、评估工具、评委组成等，确保干部选拔工作科学规范、平稳有序，保障组织过渡期稳定与未来领导力。</w:t>
      </w:r>
    </w:p>
    <w:p w14:paraId="226254AA">
      <w:pPr>
        <w:spacing w:line="470" w:lineRule="exact"/>
        <w:ind w:firstLine="480" w:firstLineChars="200"/>
        <w:rPr>
          <w:rFonts w:ascii="宋体" w:hAnsi="宋体"/>
          <w:sz w:val="24"/>
          <w:highlight w:val="none"/>
        </w:rPr>
      </w:pPr>
      <w:r>
        <w:rPr>
          <w:rFonts w:hint="eastAsia" w:ascii="宋体" w:hAnsi="宋体"/>
          <w:sz w:val="24"/>
          <w:highlight w:val="none"/>
        </w:rPr>
        <w:t>模块七：实施辅导与赋能</w:t>
      </w:r>
    </w:p>
    <w:p w14:paraId="594835E1">
      <w:pPr>
        <w:spacing w:line="470" w:lineRule="exact"/>
        <w:ind w:firstLine="480" w:firstLineChars="200"/>
        <w:rPr>
          <w:rFonts w:hint="eastAsia" w:ascii="宋体" w:hAnsi="宋体"/>
          <w:sz w:val="24"/>
          <w:highlight w:val="none"/>
        </w:rPr>
      </w:pPr>
      <w:r>
        <w:rPr>
          <w:rFonts w:hint="eastAsia" w:ascii="宋体" w:hAnsi="宋体"/>
          <w:sz w:val="24"/>
          <w:highlight w:val="none"/>
        </w:rPr>
        <w:t>提供全套方案、工具与培训，辅导以上最终方案落地实施，重点协助完成职级套接、薪酬核定等个人层面落地方案，推动理念共识与操作顺畅，确保新体系顺畅运行并持续优化。</w:t>
      </w:r>
    </w:p>
    <w:p w14:paraId="2B048802">
      <w:pPr>
        <w:numPr>
          <w:ilvl w:val="0"/>
          <w:numId w:val="2"/>
        </w:numPr>
        <w:spacing w:line="470" w:lineRule="exact"/>
        <w:rPr>
          <w:rFonts w:hint="eastAsia" w:ascii="宋体" w:hAnsi="宋体"/>
          <w:sz w:val="24"/>
          <w:highlight w:val="none"/>
        </w:rPr>
      </w:pPr>
      <w:r>
        <w:rPr>
          <w:rFonts w:hint="eastAsia" w:ascii="宋体" w:hAnsi="宋体"/>
          <w:sz w:val="24"/>
          <w:highlight w:val="none"/>
        </w:rPr>
        <w:t>项目范围：本次乙方为甲方服务的范围包括甲方公司总部</w:t>
      </w:r>
      <w:r>
        <w:rPr>
          <w:rFonts w:ascii="宋体" w:hAnsi="宋体"/>
          <w:sz w:val="24"/>
          <w:highlight w:val="none"/>
        </w:rPr>
        <w:t>以及下属</w:t>
      </w:r>
      <w:r>
        <w:rPr>
          <w:rFonts w:hint="eastAsia" w:ascii="宋体" w:hAnsi="宋体"/>
          <w:sz w:val="24"/>
          <w:highlight w:val="none"/>
        </w:rPr>
        <w:t>公司，主要以甲方公司总部人员以及下属公司各岗位为分析对象，结合甲方公司的</w:t>
      </w:r>
      <w:r>
        <w:rPr>
          <w:rFonts w:ascii="宋体" w:hAnsi="宋体"/>
          <w:sz w:val="24"/>
          <w:highlight w:val="none"/>
        </w:rPr>
        <w:t>现状及未来</w:t>
      </w:r>
      <w:r>
        <w:rPr>
          <w:rFonts w:hint="eastAsia" w:ascii="宋体" w:hAnsi="宋体"/>
          <w:sz w:val="24"/>
          <w:highlight w:val="none"/>
        </w:rPr>
        <w:t>，为甲方</w:t>
      </w:r>
      <w:r>
        <w:rPr>
          <w:rFonts w:ascii="宋体" w:hAnsi="宋体"/>
          <w:sz w:val="24"/>
          <w:highlight w:val="none"/>
        </w:rPr>
        <w:t>的</w:t>
      </w:r>
      <w:r>
        <w:rPr>
          <w:rFonts w:hint="eastAsia" w:ascii="宋体" w:hAnsi="宋体"/>
          <w:sz w:val="24"/>
          <w:highlight w:val="none"/>
        </w:rPr>
        <w:t>职级体系搭建、薪酬体系搭建、绩效管理体系搭建、干部竞聘提供专业咨询服务。本咨询</w:t>
      </w:r>
      <w:r>
        <w:rPr>
          <w:rFonts w:ascii="宋体" w:hAnsi="宋体"/>
          <w:sz w:val="24"/>
          <w:highlight w:val="none"/>
        </w:rPr>
        <w:t>项目针对的</w:t>
      </w:r>
      <w:r>
        <w:rPr>
          <w:rFonts w:hint="eastAsia" w:ascii="宋体" w:hAnsi="宋体"/>
          <w:sz w:val="24"/>
          <w:highlight w:val="none"/>
        </w:rPr>
        <w:t>具体</w:t>
      </w:r>
      <w:r>
        <w:rPr>
          <w:rFonts w:ascii="宋体" w:hAnsi="宋体"/>
          <w:sz w:val="24"/>
          <w:highlight w:val="none"/>
        </w:rPr>
        <w:t>岗位</w:t>
      </w:r>
      <w:r>
        <w:rPr>
          <w:rFonts w:hint="eastAsia" w:ascii="宋体" w:hAnsi="宋体"/>
          <w:sz w:val="24"/>
          <w:highlight w:val="none"/>
        </w:rPr>
        <w:t>为</w:t>
      </w:r>
      <w:r>
        <w:rPr>
          <w:rFonts w:ascii="宋体" w:hAnsi="宋体"/>
          <w:sz w:val="24"/>
          <w:highlight w:val="none"/>
        </w:rPr>
        <w:t>：</w:t>
      </w:r>
      <w:r>
        <w:rPr>
          <w:rFonts w:hint="eastAsia" w:ascii="宋体" w:hAnsi="宋体"/>
          <w:sz w:val="24"/>
          <w:highlight w:val="none"/>
        </w:rPr>
        <w:t>甲乙</w:t>
      </w:r>
      <w:r>
        <w:rPr>
          <w:rFonts w:ascii="宋体" w:hAnsi="宋体"/>
          <w:sz w:val="24"/>
          <w:highlight w:val="none"/>
        </w:rPr>
        <w:t>双方</w:t>
      </w:r>
      <w:r>
        <w:rPr>
          <w:rFonts w:hint="eastAsia" w:ascii="宋体" w:hAnsi="宋体"/>
          <w:sz w:val="24"/>
          <w:highlight w:val="none"/>
        </w:rPr>
        <w:t>确认</w:t>
      </w:r>
      <w:r>
        <w:rPr>
          <w:rFonts w:ascii="宋体" w:hAnsi="宋体"/>
          <w:sz w:val="24"/>
          <w:highlight w:val="none"/>
        </w:rPr>
        <w:t>的</w:t>
      </w:r>
      <w:r>
        <w:rPr>
          <w:rFonts w:hint="eastAsia" w:ascii="宋体" w:hAnsi="宋体"/>
          <w:sz w:val="24"/>
          <w:highlight w:val="none"/>
        </w:rPr>
        <w:t>最新</w:t>
      </w:r>
      <w:r>
        <w:rPr>
          <w:rFonts w:ascii="宋体" w:hAnsi="宋体"/>
          <w:sz w:val="24"/>
          <w:highlight w:val="none"/>
        </w:rPr>
        <w:t>管理体系</w:t>
      </w:r>
      <w:r>
        <w:rPr>
          <w:rFonts w:hint="eastAsia" w:ascii="宋体" w:hAnsi="宋体"/>
          <w:sz w:val="24"/>
          <w:highlight w:val="none"/>
        </w:rPr>
        <w:t>及</w:t>
      </w:r>
      <w:r>
        <w:rPr>
          <w:rFonts w:ascii="宋体" w:hAnsi="宋体"/>
          <w:sz w:val="24"/>
          <w:highlight w:val="none"/>
        </w:rPr>
        <w:t>组织架构下的</w:t>
      </w:r>
      <w:r>
        <w:rPr>
          <w:rFonts w:hint="eastAsia" w:ascii="宋体" w:hAnsi="宋体"/>
          <w:sz w:val="24"/>
          <w:highlight w:val="none"/>
        </w:rPr>
        <w:t>甲方公司</w:t>
      </w:r>
      <w:r>
        <w:rPr>
          <w:rFonts w:ascii="宋体" w:hAnsi="宋体"/>
          <w:sz w:val="24"/>
          <w:highlight w:val="none"/>
        </w:rPr>
        <w:t>总部及下属</w:t>
      </w:r>
      <w:r>
        <w:rPr>
          <w:rFonts w:hint="eastAsia" w:ascii="宋体" w:hAnsi="宋体"/>
          <w:sz w:val="24"/>
          <w:highlight w:val="none"/>
        </w:rPr>
        <w:t>公司</w:t>
      </w:r>
      <w:r>
        <w:rPr>
          <w:rFonts w:ascii="宋体" w:hAnsi="宋体"/>
          <w:sz w:val="24"/>
          <w:highlight w:val="none"/>
        </w:rPr>
        <w:t>的</w:t>
      </w:r>
      <w:r>
        <w:rPr>
          <w:rFonts w:hint="eastAsia" w:ascii="宋体" w:hAnsi="宋体"/>
          <w:sz w:val="24"/>
          <w:highlight w:val="none"/>
        </w:rPr>
        <w:t>所有在编</w:t>
      </w:r>
      <w:r>
        <w:rPr>
          <w:rFonts w:ascii="宋体" w:hAnsi="宋体"/>
          <w:sz w:val="24"/>
          <w:highlight w:val="none"/>
        </w:rPr>
        <w:t>岗位。</w:t>
      </w:r>
    </w:p>
    <w:p w14:paraId="24975010">
      <w:pPr>
        <w:numPr>
          <w:ilvl w:val="0"/>
          <w:numId w:val="2"/>
        </w:numPr>
        <w:spacing w:line="470" w:lineRule="exact"/>
        <w:rPr>
          <w:rFonts w:ascii="宋体" w:hAnsi="宋体"/>
          <w:sz w:val="24"/>
          <w:highlight w:val="none"/>
        </w:rPr>
      </w:pPr>
      <w:r>
        <w:rPr>
          <w:rFonts w:hint="eastAsia" w:ascii="宋体" w:hAnsi="宋体"/>
          <w:sz w:val="24"/>
          <w:highlight w:val="none"/>
        </w:rPr>
        <w:t>项目工作计划：详见附件一。</w:t>
      </w:r>
    </w:p>
    <w:p w14:paraId="0EB6D6C0">
      <w:pPr>
        <w:spacing w:line="470" w:lineRule="exact"/>
        <w:rPr>
          <w:rFonts w:hint="eastAsia" w:ascii="宋体" w:hAnsi="宋体"/>
          <w:color w:val="FF0000"/>
          <w:sz w:val="24"/>
          <w:highlight w:val="none"/>
        </w:rPr>
      </w:pPr>
    </w:p>
    <w:p w14:paraId="377FE484">
      <w:pPr>
        <w:numPr>
          <w:ilvl w:val="0"/>
          <w:numId w:val="0"/>
        </w:numPr>
        <w:spacing w:line="470" w:lineRule="exact"/>
        <w:ind w:firstLine="482" w:firstLineChars="200"/>
        <w:rPr>
          <w:rFonts w:hint="eastAsia" w:ascii="宋体" w:hAnsi="宋体"/>
          <w:b/>
          <w:bCs/>
          <w:sz w:val="24"/>
          <w:highlight w:val="none"/>
        </w:rPr>
      </w:pPr>
      <w:r>
        <w:rPr>
          <w:rFonts w:hint="eastAsia" w:ascii="宋体" w:hAnsi="宋体" w:eastAsia="方正仿宋_GBK" w:cs="Times New Roman"/>
          <w:b/>
          <w:bCs/>
          <w:sz w:val="24"/>
          <w:szCs w:val="32"/>
          <w:lang w:val="en-US" w:eastAsia="zh-CN" w:bidi="ar-SA"/>
        </w:rPr>
        <w:t>第二条</w:t>
      </w:r>
      <w:r>
        <w:rPr>
          <w:rFonts w:hint="eastAsia" w:ascii="宋体" w:hAnsi="宋体" w:cs="Times New Roman"/>
          <w:b/>
          <w:bCs/>
          <w:sz w:val="24"/>
          <w:szCs w:val="32"/>
          <w:lang w:val="en-US" w:eastAsia="zh-CN" w:bidi="ar-SA"/>
        </w:rPr>
        <w:t xml:space="preserve">  </w:t>
      </w:r>
      <w:r>
        <w:rPr>
          <w:rFonts w:hint="eastAsia" w:ascii="宋体" w:hAnsi="宋体"/>
          <w:b/>
          <w:bCs/>
          <w:sz w:val="24"/>
          <w:highlight w:val="none"/>
        </w:rPr>
        <w:t>履行期限、地点和方式</w:t>
      </w:r>
    </w:p>
    <w:p w14:paraId="700D0E2A">
      <w:pPr>
        <w:pStyle w:val="10"/>
        <w:spacing w:line="470" w:lineRule="exact"/>
        <w:ind w:left="0" w:leftChars="0" w:firstLine="480" w:firstLineChars="200"/>
        <w:rPr>
          <w:rFonts w:hint="eastAsia" w:ascii="宋体" w:hAnsi="宋体"/>
          <w:kern w:val="2"/>
          <w:sz w:val="24"/>
          <w:highlight w:val="none"/>
        </w:rPr>
      </w:pPr>
      <w:r>
        <w:rPr>
          <w:rFonts w:hint="eastAsia" w:ascii="宋体" w:hAnsi="宋体"/>
          <w:kern w:val="2"/>
          <w:sz w:val="24"/>
          <w:highlight w:val="none"/>
        </w:rPr>
        <w:t>年 月 日至 年 月 日期间，乙方将派驻咨询顾问 名作为本合同项目小组在甲方，并在该期间内完成方案设计工作，在方案设计工作完成后3个月内完成辅助实施工作。</w:t>
      </w:r>
    </w:p>
    <w:p w14:paraId="4E7B38F1">
      <w:pPr>
        <w:pStyle w:val="10"/>
        <w:spacing w:line="470" w:lineRule="exact"/>
        <w:ind w:left="0" w:leftChars="0" w:firstLine="480" w:firstLineChars="200"/>
        <w:rPr>
          <w:rFonts w:hint="eastAsia" w:ascii="宋体" w:hAnsi="宋体"/>
          <w:sz w:val="24"/>
          <w:highlight w:val="none"/>
        </w:rPr>
      </w:pPr>
      <w:r>
        <w:rPr>
          <w:rFonts w:hint="eastAsia" w:ascii="宋体" w:hAnsi="宋体"/>
          <w:sz w:val="24"/>
          <w:highlight w:val="none"/>
        </w:rPr>
        <w:t>咨询顾问主要负责以下工作：</w:t>
      </w:r>
    </w:p>
    <w:p w14:paraId="7EF46744">
      <w:pPr>
        <w:numPr>
          <w:ilvl w:val="0"/>
          <w:numId w:val="0"/>
        </w:numPr>
        <w:spacing w:line="470" w:lineRule="exact"/>
        <w:ind w:leftChars="0" w:firstLine="480" w:firstLineChars="200"/>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乙方</w:t>
      </w:r>
      <w:r>
        <w:rPr>
          <w:rFonts w:ascii="宋体" w:hAnsi="宋体"/>
          <w:sz w:val="24"/>
          <w:highlight w:val="none"/>
        </w:rPr>
        <w:t>对</w:t>
      </w:r>
      <w:r>
        <w:rPr>
          <w:rFonts w:hint="eastAsia" w:ascii="宋体" w:hAnsi="宋体"/>
          <w:sz w:val="24"/>
          <w:highlight w:val="none"/>
        </w:rPr>
        <w:t>甲方公司总部、下属公司以及重庆区域同类型企业进行</w:t>
      </w:r>
      <w:r>
        <w:rPr>
          <w:rFonts w:ascii="宋体" w:hAnsi="宋体"/>
          <w:sz w:val="24"/>
          <w:highlight w:val="none"/>
        </w:rPr>
        <w:t>调研</w:t>
      </w:r>
      <w:r>
        <w:rPr>
          <w:rFonts w:hint="eastAsia" w:ascii="宋体" w:hAnsi="宋体"/>
          <w:sz w:val="24"/>
          <w:highlight w:val="none"/>
        </w:rPr>
        <w:t>；</w:t>
      </w:r>
    </w:p>
    <w:p w14:paraId="1ABE7A1A">
      <w:pPr>
        <w:numPr>
          <w:ilvl w:val="0"/>
          <w:numId w:val="0"/>
        </w:numPr>
        <w:spacing w:line="470" w:lineRule="exact"/>
        <w:ind w:leftChars="0"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人力资源方案（岗位职级/薪酬/绩效/干部竞聘）</w:t>
      </w:r>
      <w:r>
        <w:rPr>
          <w:rFonts w:ascii="宋体" w:hAnsi="宋体"/>
          <w:sz w:val="24"/>
          <w:highlight w:val="none"/>
        </w:rPr>
        <w:t>的</w:t>
      </w:r>
      <w:r>
        <w:rPr>
          <w:rFonts w:hint="eastAsia" w:ascii="宋体" w:hAnsi="宋体"/>
          <w:sz w:val="24"/>
          <w:highlight w:val="none"/>
        </w:rPr>
        <w:t>方案</w:t>
      </w:r>
      <w:r>
        <w:rPr>
          <w:rFonts w:ascii="宋体" w:hAnsi="宋体"/>
          <w:sz w:val="24"/>
          <w:highlight w:val="none"/>
        </w:rPr>
        <w:t>设计</w:t>
      </w:r>
      <w:r>
        <w:rPr>
          <w:rFonts w:hint="eastAsia" w:ascii="宋体" w:hAnsi="宋体"/>
          <w:sz w:val="24"/>
          <w:highlight w:val="none"/>
        </w:rPr>
        <w:t>；</w:t>
      </w:r>
    </w:p>
    <w:p w14:paraId="129DC7EA">
      <w:pPr>
        <w:numPr>
          <w:ilvl w:val="0"/>
          <w:numId w:val="0"/>
        </w:numPr>
        <w:spacing w:line="470" w:lineRule="exact"/>
        <w:ind w:leftChars="0"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人力资源方案（岗位职级/薪酬/绩效/干部竞聘）的方案</w:t>
      </w:r>
      <w:r>
        <w:rPr>
          <w:rFonts w:ascii="宋体" w:hAnsi="宋体"/>
          <w:sz w:val="24"/>
          <w:highlight w:val="none"/>
        </w:rPr>
        <w:t>落地实施</w:t>
      </w:r>
      <w:r>
        <w:rPr>
          <w:rFonts w:hint="eastAsia" w:ascii="宋体" w:hAnsi="宋体"/>
          <w:sz w:val="24"/>
          <w:highlight w:val="none"/>
        </w:rPr>
        <w:t>。</w:t>
      </w:r>
    </w:p>
    <w:p w14:paraId="2A071175">
      <w:pPr>
        <w:numPr>
          <w:ilvl w:val="0"/>
          <w:numId w:val="0"/>
        </w:numPr>
        <w:spacing w:line="470" w:lineRule="exact"/>
        <w:ind w:firstLine="482" w:firstLineChars="200"/>
        <w:rPr>
          <w:rFonts w:hint="eastAsia" w:ascii="宋体" w:hAnsi="宋体"/>
          <w:b/>
          <w:bCs/>
          <w:sz w:val="24"/>
          <w:highlight w:val="none"/>
        </w:rPr>
      </w:pPr>
      <w:r>
        <w:rPr>
          <w:rFonts w:hint="eastAsia" w:ascii="宋体" w:hAnsi="宋体" w:eastAsia="方正仿宋_GBK" w:cs="Times New Roman"/>
          <w:b/>
          <w:bCs/>
          <w:sz w:val="24"/>
          <w:szCs w:val="32"/>
          <w:lang w:val="en-US" w:eastAsia="zh-CN" w:bidi="ar-SA"/>
        </w:rPr>
        <w:t>第三条</w:t>
      </w:r>
      <w:r>
        <w:rPr>
          <w:rFonts w:hint="eastAsia" w:ascii="宋体" w:hAnsi="宋体" w:cs="Times New Roman"/>
          <w:b/>
          <w:bCs/>
          <w:sz w:val="24"/>
          <w:szCs w:val="32"/>
          <w:lang w:val="en-US" w:eastAsia="zh-CN" w:bidi="ar-SA"/>
        </w:rPr>
        <w:t xml:space="preserve">  </w:t>
      </w:r>
      <w:r>
        <w:rPr>
          <w:rFonts w:hint="eastAsia" w:ascii="宋体" w:hAnsi="宋体"/>
          <w:b/>
          <w:bCs/>
          <w:sz w:val="24"/>
          <w:highlight w:val="none"/>
        </w:rPr>
        <w:t>甲方义务</w:t>
      </w:r>
    </w:p>
    <w:p w14:paraId="36D4134D">
      <w:pPr>
        <w:spacing w:line="470" w:lineRule="exact"/>
        <w:ind w:firstLine="480" w:firstLineChars="200"/>
        <w:rPr>
          <w:rFonts w:hint="eastAsia" w:ascii="宋体" w:hAnsi="宋体"/>
          <w:sz w:val="24"/>
          <w:highlight w:val="none"/>
        </w:rPr>
      </w:pPr>
      <w:r>
        <w:rPr>
          <w:rFonts w:hint="eastAsia" w:ascii="宋体" w:hAnsi="宋体"/>
          <w:sz w:val="24"/>
          <w:highlight w:val="none"/>
        </w:rPr>
        <w:t>一．为乙方派驻甲方的项目小组提供必要的工作便利和办公条件。</w:t>
      </w:r>
    </w:p>
    <w:p w14:paraId="1F56BD56">
      <w:pPr>
        <w:spacing w:line="470" w:lineRule="exact"/>
        <w:ind w:firstLine="480" w:firstLineChars="200"/>
        <w:rPr>
          <w:rFonts w:hint="eastAsia" w:ascii="宋体" w:hAnsi="宋体"/>
          <w:sz w:val="24"/>
          <w:highlight w:val="none"/>
        </w:rPr>
      </w:pPr>
      <w:r>
        <w:rPr>
          <w:rFonts w:hint="eastAsia" w:ascii="宋体" w:hAnsi="宋体"/>
          <w:sz w:val="24"/>
          <w:highlight w:val="none"/>
        </w:rPr>
        <w:t>二．为乙方派驻甲方的咨询顾问项目小组配备1名专职联络人员，协助项目小组工作。</w:t>
      </w:r>
    </w:p>
    <w:p w14:paraId="2E1DCC85">
      <w:pPr>
        <w:spacing w:line="470" w:lineRule="exact"/>
        <w:ind w:firstLine="480" w:firstLineChars="200"/>
        <w:rPr>
          <w:rFonts w:hint="eastAsia" w:ascii="宋体" w:hAnsi="宋体"/>
          <w:sz w:val="24"/>
          <w:highlight w:val="none"/>
        </w:rPr>
      </w:pPr>
      <w:r>
        <w:rPr>
          <w:rFonts w:hint="eastAsia" w:ascii="宋体" w:hAnsi="宋体"/>
          <w:sz w:val="24"/>
          <w:highlight w:val="none"/>
        </w:rPr>
        <w:t>三．项目进行期间，甲方应及时向乙方提供其经营、管理等方面的真实材料。</w:t>
      </w:r>
    </w:p>
    <w:p w14:paraId="3EA7FDC4">
      <w:pPr>
        <w:spacing w:line="470" w:lineRule="exact"/>
        <w:ind w:left="480" w:leftChars="150" w:firstLine="0" w:firstLineChars="0"/>
        <w:rPr>
          <w:rFonts w:hint="eastAsia" w:ascii="宋体" w:hAnsi="宋体"/>
          <w:sz w:val="24"/>
          <w:highlight w:val="none"/>
        </w:rPr>
      </w:pPr>
      <w:r>
        <w:rPr>
          <w:rFonts w:hint="eastAsia" w:ascii="宋体" w:hAnsi="宋体"/>
          <w:sz w:val="24"/>
          <w:highlight w:val="none"/>
        </w:rPr>
        <w:t>四．项目工作期间，当乙方的项目小组因项目需要而对甲方的人员进行访谈和调查时，甲方及甲方人员应予以配合。</w:t>
      </w:r>
    </w:p>
    <w:p w14:paraId="4487151A">
      <w:pPr>
        <w:numPr>
          <w:ilvl w:val="0"/>
          <w:numId w:val="0"/>
        </w:numPr>
        <w:spacing w:line="470" w:lineRule="exact"/>
        <w:ind w:firstLine="482" w:firstLineChars="200"/>
        <w:rPr>
          <w:rFonts w:hint="eastAsia" w:ascii="宋体" w:hAnsi="宋体"/>
          <w:b/>
          <w:bCs/>
          <w:sz w:val="24"/>
          <w:highlight w:val="none"/>
        </w:rPr>
      </w:pPr>
      <w:r>
        <w:rPr>
          <w:rFonts w:hint="eastAsia" w:ascii="宋体" w:hAnsi="宋体" w:eastAsia="方正仿宋_GBK" w:cs="Times New Roman"/>
          <w:b/>
          <w:bCs/>
          <w:sz w:val="24"/>
          <w:szCs w:val="32"/>
          <w:lang w:val="en-US" w:eastAsia="zh-CN" w:bidi="ar-SA"/>
        </w:rPr>
        <w:t>第四条</w:t>
      </w:r>
      <w:r>
        <w:rPr>
          <w:rFonts w:hint="eastAsia" w:ascii="宋体" w:hAnsi="宋体" w:cs="Times New Roman"/>
          <w:b/>
          <w:bCs/>
          <w:sz w:val="24"/>
          <w:szCs w:val="32"/>
          <w:lang w:val="en-US" w:eastAsia="zh-CN" w:bidi="ar-SA"/>
        </w:rPr>
        <w:t xml:space="preserve">  </w:t>
      </w:r>
      <w:r>
        <w:rPr>
          <w:rFonts w:hint="eastAsia" w:ascii="宋体" w:hAnsi="宋体"/>
          <w:b/>
          <w:bCs/>
          <w:sz w:val="24"/>
          <w:highlight w:val="none"/>
        </w:rPr>
        <w:t>乙方义务</w:t>
      </w:r>
    </w:p>
    <w:p w14:paraId="423FFE3C">
      <w:pPr>
        <w:spacing w:line="470" w:lineRule="exact"/>
        <w:ind w:firstLine="480" w:firstLineChars="200"/>
        <w:rPr>
          <w:rFonts w:hint="eastAsia" w:ascii="宋体" w:hAnsi="宋体"/>
          <w:sz w:val="24"/>
          <w:highlight w:val="none"/>
        </w:rPr>
      </w:pPr>
      <w:r>
        <w:rPr>
          <w:rFonts w:hint="eastAsia" w:ascii="宋体" w:hAnsi="宋体"/>
          <w:sz w:val="24"/>
          <w:highlight w:val="none"/>
        </w:rPr>
        <w:t>一．本协议生效以后，乙方应于</w:t>
      </w:r>
      <w:r>
        <w:rPr>
          <w:rFonts w:ascii="宋体" w:hAnsi="宋体"/>
          <w:sz w:val="24"/>
          <w:highlight w:val="none"/>
        </w:rPr>
        <w:t>3</w:t>
      </w:r>
      <w:r>
        <w:rPr>
          <w:rFonts w:hint="eastAsia" w:ascii="宋体" w:hAnsi="宋体"/>
          <w:sz w:val="24"/>
          <w:highlight w:val="none"/>
        </w:rPr>
        <w:t>个</w:t>
      </w:r>
      <w:r>
        <w:rPr>
          <w:rFonts w:ascii="宋体" w:hAnsi="宋体"/>
          <w:sz w:val="24"/>
          <w:highlight w:val="none"/>
        </w:rPr>
        <w:t>工作</w:t>
      </w:r>
      <w:r>
        <w:rPr>
          <w:rFonts w:hint="eastAsia" w:ascii="宋体" w:hAnsi="宋体"/>
          <w:sz w:val="24"/>
          <w:highlight w:val="none"/>
        </w:rPr>
        <w:t>日内向甲方提交项目小组人员名单及工作计划。</w:t>
      </w:r>
    </w:p>
    <w:p w14:paraId="6306F289">
      <w:pPr>
        <w:spacing w:line="470" w:lineRule="exact"/>
        <w:ind w:firstLine="480" w:firstLineChars="200"/>
        <w:rPr>
          <w:rFonts w:hint="eastAsia" w:ascii="宋体" w:hAnsi="宋体"/>
          <w:sz w:val="24"/>
          <w:highlight w:val="none"/>
        </w:rPr>
      </w:pPr>
      <w:r>
        <w:rPr>
          <w:rFonts w:hint="eastAsia" w:ascii="宋体" w:hAnsi="宋体"/>
          <w:sz w:val="24"/>
          <w:highlight w:val="none"/>
        </w:rPr>
        <w:t>二．派驻项目小组进入甲方，进行本协议项目范围内的信息收集、整理及方案设计工作。</w:t>
      </w:r>
    </w:p>
    <w:p w14:paraId="5128A0C7">
      <w:pPr>
        <w:spacing w:line="470" w:lineRule="exact"/>
        <w:ind w:firstLine="480" w:firstLineChars="200"/>
        <w:rPr>
          <w:rFonts w:hint="eastAsia" w:ascii="宋体" w:hAnsi="宋体"/>
          <w:sz w:val="24"/>
          <w:highlight w:val="none"/>
        </w:rPr>
      </w:pPr>
      <w:r>
        <w:rPr>
          <w:rFonts w:hint="eastAsia" w:ascii="宋体" w:hAnsi="宋体"/>
          <w:sz w:val="24"/>
          <w:highlight w:val="none"/>
        </w:rPr>
        <w:t>三．乙方项目小组成员应遵守甲方的各项规章制度，不得从事有损甲方声誉及利益的活动。</w:t>
      </w:r>
    </w:p>
    <w:p w14:paraId="23EE7DA5">
      <w:pPr>
        <w:spacing w:line="470" w:lineRule="exact"/>
        <w:ind w:firstLine="480" w:firstLineChars="200"/>
        <w:rPr>
          <w:rFonts w:hint="eastAsia" w:ascii="宋体" w:hAnsi="宋体"/>
          <w:sz w:val="24"/>
          <w:highlight w:val="none"/>
        </w:rPr>
      </w:pPr>
      <w:r>
        <w:rPr>
          <w:rFonts w:hint="eastAsia" w:ascii="宋体" w:hAnsi="宋体"/>
          <w:sz w:val="24"/>
          <w:highlight w:val="none"/>
        </w:rPr>
        <w:t>四．项目小组应按其所提交的工作计划向甲方汇报项目的进程。</w:t>
      </w:r>
    </w:p>
    <w:p w14:paraId="2FB6E2AE">
      <w:pPr>
        <w:spacing w:line="470" w:lineRule="exact"/>
        <w:ind w:firstLine="480" w:firstLineChars="200"/>
        <w:rPr>
          <w:rFonts w:hint="eastAsia" w:ascii="宋体" w:hAnsi="宋体"/>
          <w:sz w:val="24"/>
          <w:highlight w:val="none"/>
        </w:rPr>
      </w:pPr>
      <w:r>
        <w:rPr>
          <w:rFonts w:hint="eastAsia" w:ascii="宋体" w:hAnsi="宋体"/>
          <w:sz w:val="24"/>
          <w:highlight w:val="none"/>
        </w:rPr>
        <w:t>五．乙方负有其对甲方派遣的项目小组人员进行培训的义务，培训内容围绕项目进行。</w:t>
      </w:r>
    </w:p>
    <w:p w14:paraId="1E3535BC">
      <w:pPr>
        <w:spacing w:line="470" w:lineRule="exact"/>
        <w:ind w:firstLine="480" w:firstLineChars="200"/>
        <w:rPr>
          <w:rFonts w:hint="eastAsia" w:ascii="宋体" w:hAnsi="宋体"/>
          <w:sz w:val="24"/>
          <w:highlight w:val="none"/>
        </w:rPr>
      </w:pPr>
      <w:r>
        <w:rPr>
          <w:rFonts w:hint="eastAsia" w:ascii="宋体" w:hAnsi="宋体"/>
          <w:sz w:val="24"/>
          <w:highlight w:val="none"/>
        </w:rPr>
        <w:t>六．乙方项目小组应向甲方汇报项目的阶段成果。</w:t>
      </w:r>
    </w:p>
    <w:p w14:paraId="33603CBD">
      <w:pPr>
        <w:spacing w:line="470" w:lineRule="exact"/>
        <w:ind w:firstLine="480" w:firstLineChars="200"/>
        <w:rPr>
          <w:rFonts w:hint="eastAsia" w:ascii="宋体" w:hAnsi="宋体"/>
          <w:sz w:val="24"/>
          <w:highlight w:val="none"/>
        </w:rPr>
      </w:pPr>
      <w:r>
        <w:rPr>
          <w:rFonts w:hint="eastAsia" w:ascii="宋体" w:hAnsi="宋体"/>
          <w:sz w:val="24"/>
          <w:highlight w:val="none"/>
        </w:rPr>
        <w:t>七. 乙方在下阶段工作中，有对前阶段成果根据甲方要求进行补充和修改的义务。</w:t>
      </w:r>
    </w:p>
    <w:p w14:paraId="55D4E1FF">
      <w:pPr>
        <w:numPr>
          <w:ilvl w:val="0"/>
          <w:numId w:val="0"/>
        </w:numPr>
        <w:spacing w:line="470" w:lineRule="exact"/>
        <w:ind w:firstLine="482" w:firstLineChars="200"/>
        <w:rPr>
          <w:rFonts w:hint="eastAsia" w:ascii="宋体" w:hAnsi="宋体"/>
          <w:b/>
          <w:bCs/>
          <w:sz w:val="24"/>
          <w:highlight w:val="none"/>
        </w:rPr>
      </w:pPr>
      <w:r>
        <w:rPr>
          <w:rFonts w:hint="eastAsia" w:ascii="宋体" w:hAnsi="宋体" w:eastAsia="方正仿宋_GBK" w:cs="Times New Roman"/>
          <w:b/>
          <w:bCs/>
          <w:sz w:val="24"/>
          <w:szCs w:val="32"/>
          <w:lang w:val="en-US" w:eastAsia="zh-CN" w:bidi="ar-SA"/>
        </w:rPr>
        <w:t>第五条</w:t>
      </w:r>
      <w:r>
        <w:rPr>
          <w:rFonts w:hint="eastAsia" w:ascii="宋体" w:hAnsi="宋体" w:cs="Times New Roman"/>
          <w:b/>
          <w:bCs/>
          <w:sz w:val="24"/>
          <w:szCs w:val="32"/>
          <w:lang w:val="en-US" w:eastAsia="zh-CN" w:bidi="ar-SA"/>
        </w:rPr>
        <w:t xml:space="preserve">  </w:t>
      </w:r>
      <w:r>
        <w:rPr>
          <w:rFonts w:hint="eastAsia" w:ascii="宋体" w:hAnsi="宋体"/>
          <w:b/>
          <w:bCs/>
          <w:sz w:val="24"/>
          <w:highlight w:val="none"/>
        </w:rPr>
        <w:t>保密条款</w:t>
      </w:r>
    </w:p>
    <w:p w14:paraId="4FAE9A9B">
      <w:pPr>
        <w:spacing w:line="470" w:lineRule="exact"/>
        <w:ind w:firstLine="480" w:firstLineChars="200"/>
        <w:rPr>
          <w:rFonts w:hint="eastAsia" w:ascii="宋体" w:hAnsi="宋体"/>
          <w:sz w:val="24"/>
          <w:highlight w:val="none"/>
        </w:rPr>
      </w:pPr>
      <w:r>
        <w:rPr>
          <w:rFonts w:hint="eastAsia" w:ascii="宋体" w:hAnsi="宋体"/>
          <w:sz w:val="24"/>
          <w:highlight w:val="none"/>
        </w:rPr>
        <w:t>甲乙双方对在本合同签订、履行过程中知悉的对方资料和信息，除该方做出相反的书面说明外，均应视为该方的商业秘密，未经该方书面同意不得向任何第三方泄漏。任何一方因违反保密义务而给另一方造成损失的，应负相应的赔偿责任。无论合同是否变更、解除或终止，合同的保密条款不受其限制而继续有效，双方都应继续承担保密条款约定的保密义务。</w:t>
      </w:r>
    </w:p>
    <w:p w14:paraId="7D295ED8">
      <w:pPr>
        <w:spacing w:line="470" w:lineRule="exact"/>
        <w:rPr>
          <w:rFonts w:hint="eastAsia" w:ascii="宋体" w:hAnsi="宋体"/>
          <w:sz w:val="24"/>
          <w:highlight w:val="none"/>
        </w:rPr>
      </w:pPr>
    </w:p>
    <w:p w14:paraId="423F2D74">
      <w:pPr>
        <w:numPr>
          <w:ilvl w:val="0"/>
          <w:numId w:val="0"/>
        </w:numPr>
        <w:spacing w:line="470" w:lineRule="exact"/>
        <w:ind w:firstLine="482" w:firstLineChars="200"/>
        <w:rPr>
          <w:rFonts w:hint="eastAsia" w:ascii="宋体" w:hAnsi="宋体"/>
          <w:b/>
          <w:bCs/>
          <w:sz w:val="24"/>
          <w:highlight w:val="none"/>
        </w:rPr>
      </w:pPr>
      <w:r>
        <w:rPr>
          <w:rFonts w:hint="eastAsia" w:ascii="宋体" w:hAnsi="宋体" w:eastAsia="方正仿宋_GBK" w:cs="Times New Roman"/>
          <w:b/>
          <w:bCs/>
          <w:sz w:val="24"/>
          <w:szCs w:val="32"/>
          <w:lang w:val="en-US" w:eastAsia="zh-CN" w:bidi="ar-SA"/>
        </w:rPr>
        <w:t>第六条</w:t>
      </w:r>
      <w:r>
        <w:rPr>
          <w:rFonts w:hint="eastAsia" w:ascii="宋体" w:hAnsi="宋体" w:cs="Times New Roman"/>
          <w:b/>
          <w:bCs/>
          <w:sz w:val="24"/>
          <w:szCs w:val="32"/>
          <w:lang w:val="en-US" w:eastAsia="zh-CN" w:bidi="ar-SA"/>
        </w:rPr>
        <w:t xml:space="preserve">  </w:t>
      </w:r>
      <w:r>
        <w:rPr>
          <w:rFonts w:hint="eastAsia" w:ascii="宋体" w:hAnsi="宋体"/>
          <w:b/>
          <w:bCs/>
          <w:sz w:val="24"/>
          <w:highlight w:val="none"/>
        </w:rPr>
        <w:t>知识产权条款</w:t>
      </w:r>
    </w:p>
    <w:p w14:paraId="35316398">
      <w:pPr>
        <w:spacing w:line="470" w:lineRule="exact"/>
        <w:ind w:firstLine="480" w:firstLineChars="200"/>
        <w:rPr>
          <w:rFonts w:hint="eastAsia" w:ascii="宋体" w:hAnsi="宋体"/>
          <w:sz w:val="24"/>
          <w:highlight w:val="none"/>
        </w:rPr>
      </w:pPr>
      <w:r>
        <w:rPr>
          <w:rFonts w:hint="eastAsia" w:ascii="宋体" w:hAnsi="宋体"/>
          <w:sz w:val="24"/>
          <w:highlight w:val="none"/>
        </w:rPr>
        <w:t>乙方履行本合同义务所形成和提交的工作成果的知识产权归甲方所有，未经甲方书面同意，乙方不得在本合同目的外使用</w:t>
      </w:r>
      <w:r>
        <w:rPr>
          <w:rFonts w:hint="eastAsia" w:ascii="宋体" w:hAnsi="宋体"/>
          <w:sz w:val="24"/>
          <w:highlight w:val="none"/>
          <w:lang w:eastAsia="zh-CN"/>
        </w:rPr>
        <w:t>。</w:t>
      </w:r>
    </w:p>
    <w:p w14:paraId="416CB53E">
      <w:pPr>
        <w:numPr>
          <w:ilvl w:val="0"/>
          <w:numId w:val="0"/>
        </w:numPr>
        <w:tabs>
          <w:tab w:val="left" w:pos="4140"/>
        </w:tabs>
        <w:spacing w:line="470" w:lineRule="exact"/>
        <w:ind w:firstLine="482" w:firstLineChars="200"/>
        <w:rPr>
          <w:rFonts w:hint="eastAsia" w:ascii="宋体" w:hAnsi="宋体"/>
          <w:b/>
          <w:bCs/>
          <w:sz w:val="24"/>
          <w:highlight w:val="none"/>
        </w:rPr>
      </w:pPr>
      <w:r>
        <w:rPr>
          <w:rFonts w:hint="eastAsia" w:ascii="宋体" w:hAnsi="宋体" w:eastAsia="方正仿宋_GBK" w:cs="Times New Roman"/>
          <w:b/>
          <w:bCs/>
          <w:sz w:val="24"/>
          <w:szCs w:val="32"/>
          <w:lang w:val="en-US" w:eastAsia="zh-CN" w:bidi="ar-SA"/>
        </w:rPr>
        <w:t>第七条</w:t>
      </w:r>
      <w:r>
        <w:rPr>
          <w:rFonts w:hint="eastAsia" w:ascii="宋体" w:hAnsi="宋体" w:cs="Times New Roman"/>
          <w:b/>
          <w:bCs/>
          <w:sz w:val="24"/>
          <w:szCs w:val="32"/>
          <w:lang w:val="en-US" w:eastAsia="zh-CN" w:bidi="ar-SA"/>
        </w:rPr>
        <w:t xml:space="preserve">  </w:t>
      </w:r>
      <w:r>
        <w:rPr>
          <w:rFonts w:hint="eastAsia" w:ascii="宋体" w:hAnsi="宋体"/>
          <w:b/>
          <w:bCs/>
          <w:sz w:val="24"/>
          <w:highlight w:val="none"/>
        </w:rPr>
        <w:t>验收、评价方法</w:t>
      </w:r>
    </w:p>
    <w:p w14:paraId="160761BC">
      <w:pPr>
        <w:pStyle w:val="10"/>
        <w:spacing w:line="470" w:lineRule="exact"/>
        <w:ind w:left="0" w:leftChars="0" w:firstLine="480" w:firstLineChars="200"/>
        <w:rPr>
          <w:rFonts w:hint="eastAsia" w:ascii="宋体" w:hAnsi="宋体"/>
          <w:color w:val="FF0000"/>
          <w:sz w:val="24"/>
          <w:highlight w:val="none"/>
        </w:rPr>
      </w:pPr>
      <w:r>
        <w:rPr>
          <w:rFonts w:hint="eastAsia" w:ascii="宋体" w:hAnsi="宋体"/>
          <w:sz w:val="24"/>
          <w:highlight w:val="none"/>
        </w:rPr>
        <w:t>每个项目内容模块完成后，乙方出具咨询报告，甲方组织其高层管理人员以报告方式进行验收，乙方列席报告会作相关咨询报告说明。</w:t>
      </w:r>
    </w:p>
    <w:p w14:paraId="288B0639">
      <w:pPr>
        <w:numPr>
          <w:ilvl w:val="0"/>
          <w:numId w:val="0"/>
        </w:numPr>
        <w:tabs>
          <w:tab w:val="left" w:pos="4140"/>
        </w:tabs>
        <w:spacing w:line="470" w:lineRule="exact"/>
        <w:ind w:firstLine="482" w:firstLineChars="200"/>
        <w:rPr>
          <w:rFonts w:hint="eastAsia" w:ascii="宋体" w:hAnsi="宋体"/>
          <w:b/>
          <w:bCs/>
          <w:sz w:val="24"/>
          <w:highlight w:val="none"/>
        </w:rPr>
      </w:pPr>
      <w:r>
        <w:rPr>
          <w:rFonts w:hint="eastAsia" w:ascii="宋体" w:hAnsi="宋体" w:eastAsia="方正仿宋_GBK" w:cs="Times New Roman"/>
          <w:b/>
          <w:bCs/>
          <w:sz w:val="24"/>
          <w:szCs w:val="32"/>
          <w:lang w:val="en-US" w:eastAsia="zh-CN" w:bidi="ar-SA"/>
        </w:rPr>
        <w:t>第八条</w:t>
      </w:r>
      <w:r>
        <w:rPr>
          <w:rFonts w:hint="eastAsia" w:ascii="宋体" w:hAnsi="宋体" w:cs="Times New Roman"/>
          <w:b/>
          <w:bCs/>
          <w:sz w:val="24"/>
          <w:szCs w:val="32"/>
          <w:lang w:val="en-US" w:eastAsia="zh-CN" w:bidi="ar-SA"/>
        </w:rPr>
        <w:t xml:space="preserve">  </w:t>
      </w:r>
      <w:r>
        <w:rPr>
          <w:rFonts w:hint="eastAsia" w:ascii="宋体" w:hAnsi="宋体"/>
          <w:b/>
          <w:bCs/>
          <w:sz w:val="24"/>
          <w:highlight w:val="none"/>
        </w:rPr>
        <w:t>项目收费及支付方式</w:t>
      </w:r>
    </w:p>
    <w:p w14:paraId="23FFCF74">
      <w:pPr>
        <w:spacing w:line="470" w:lineRule="exact"/>
        <w:ind w:left="540" w:leftChars="150" w:hanging="60" w:hangingChars="25"/>
        <w:rPr>
          <w:rFonts w:hint="eastAsia" w:ascii="宋体" w:hAnsi="宋体"/>
          <w:sz w:val="24"/>
          <w:highlight w:val="none"/>
        </w:rPr>
      </w:pPr>
      <w:r>
        <w:rPr>
          <w:rFonts w:hint="eastAsia" w:ascii="宋体" w:hAnsi="宋体"/>
          <w:sz w:val="24"/>
          <w:highlight w:val="none"/>
        </w:rPr>
        <w:t>一．本协议规定项目总的咨询服务费用为：￥  万元（大写：人民币</w:t>
      </w:r>
      <w:r>
        <w:rPr>
          <w:rFonts w:hint="eastAsia" w:ascii="宋体" w:hAnsi="宋体"/>
          <w:sz w:val="24"/>
          <w:highlight w:val="none"/>
          <w:u w:val="single"/>
        </w:rPr>
        <w:t xml:space="preserve">  </w:t>
      </w:r>
      <w:r>
        <w:rPr>
          <w:rFonts w:hint="eastAsia" w:ascii="宋体" w:hAnsi="宋体"/>
          <w:sz w:val="24"/>
          <w:highlight w:val="none"/>
        </w:rPr>
        <w:t>整）</w:t>
      </w:r>
    </w:p>
    <w:p w14:paraId="2601E741">
      <w:pPr>
        <w:spacing w:line="470" w:lineRule="exact"/>
        <w:ind w:firstLine="480" w:firstLineChars="200"/>
        <w:rPr>
          <w:rFonts w:hint="eastAsia" w:ascii="宋体" w:hAnsi="宋体"/>
          <w:sz w:val="24"/>
          <w:highlight w:val="none"/>
        </w:rPr>
      </w:pPr>
      <w:r>
        <w:rPr>
          <w:rFonts w:hint="eastAsia" w:ascii="宋体" w:hAnsi="宋体"/>
          <w:sz w:val="24"/>
          <w:highlight w:val="none"/>
        </w:rPr>
        <w:t>二．项目费用支付方式：</w:t>
      </w:r>
    </w:p>
    <w:p w14:paraId="37DFF125">
      <w:pPr>
        <w:numPr>
          <w:ilvl w:val="0"/>
          <w:numId w:val="3"/>
        </w:numPr>
        <w:spacing w:line="470" w:lineRule="exact"/>
        <w:rPr>
          <w:rFonts w:hint="eastAsia" w:ascii="宋体" w:hAnsi="宋体"/>
          <w:sz w:val="24"/>
          <w:highlight w:val="none"/>
        </w:rPr>
      </w:pPr>
      <w:r>
        <w:rPr>
          <w:rFonts w:hint="eastAsia" w:ascii="宋体" w:hAnsi="宋体"/>
          <w:sz w:val="24"/>
          <w:highlight w:val="none"/>
        </w:rPr>
        <w:t>本合同生效后，甲方在合同生效后7个工作日内支付乙方咨询费用总金额的  %计</w:t>
      </w:r>
      <w:r>
        <w:rPr>
          <w:rFonts w:hint="eastAsia" w:ascii="宋体" w:hAnsi="宋体"/>
          <w:sz w:val="24"/>
          <w:highlight w:val="none"/>
          <w:u w:val="single"/>
        </w:rPr>
        <w:t xml:space="preserve">  </w:t>
      </w:r>
      <w:r>
        <w:rPr>
          <w:rFonts w:hint="eastAsia" w:ascii="宋体" w:hAnsi="宋体"/>
          <w:sz w:val="24"/>
          <w:highlight w:val="none"/>
        </w:rPr>
        <w:t>万元。</w:t>
      </w:r>
    </w:p>
    <w:p w14:paraId="0EBDA393">
      <w:pPr>
        <w:numPr>
          <w:ilvl w:val="0"/>
          <w:numId w:val="3"/>
        </w:numPr>
        <w:spacing w:line="470" w:lineRule="exact"/>
        <w:rPr>
          <w:rFonts w:hint="eastAsia" w:ascii="宋体" w:hAnsi="宋体"/>
          <w:sz w:val="24"/>
          <w:highlight w:val="none"/>
        </w:rPr>
      </w:pPr>
      <w:r>
        <w:rPr>
          <w:rFonts w:hint="eastAsia" w:ascii="宋体" w:hAnsi="宋体"/>
          <w:sz w:val="24"/>
          <w:highlight w:val="none"/>
        </w:rPr>
        <w:t>整个</w:t>
      </w:r>
      <w:r>
        <w:rPr>
          <w:rFonts w:ascii="宋体" w:hAnsi="宋体"/>
          <w:sz w:val="24"/>
          <w:highlight w:val="none"/>
        </w:rPr>
        <w:t>项目</w:t>
      </w:r>
      <w:r>
        <w:rPr>
          <w:rFonts w:hint="eastAsia" w:ascii="宋体" w:hAnsi="宋体"/>
          <w:sz w:val="24"/>
          <w:highlight w:val="none"/>
        </w:rPr>
        <w:t xml:space="preserve"> </w:t>
      </w:r>
      <w:r>
        <w:rPr>
          <w:rFonts w:ascii="宋体" w:hAnsi="宋体"/>
          <w:sz w:val="24"/>
          <w:highlight w:val="none"/>
        </w:rPr>
        <w:t>个模块</w:t>
      </w:r>
      <w:r>
        <w:rPr>
          <w:rFonts w:hint="eastAsia" w:ascii="宋体" w:hAnsi="宋体"/>
          <w:sz w:val="24"/>
          <w:highlight w:val="none"/>
        </w:rPr>
        <w:t>中</w:t>
      </w:r>
      <w:r>
        <w:rPr>
          <w:rFonts w:ascii="宋体" w:hAnsi="宋体"/>
          <w:sz w:val="24"/>
          <w:highlight w:val="none"/>
        </w:rPr>
        <w:t>完成</w:t>
      </w:r>
      <w:r>
        <w:rPr>
          <w:rFonts w:hint="eastAsia" w:ascii="宋体" w:hAnsi="宋体"/>
          <w:sz w:val="24"/>
          <w:highlight w:val="none"/>
        </w:rPr>
        <w:t>前 个</w:t>
      </w:r>
      <w:r>
        <w:rPr>
          <w:rFonts w:ascii="宋体" w:hAnsi="宋体"/>
          <w:sz w:val="24"/>
          <w:highlight w:val="none"/>
        </w:rPr>
        <w:t>模块</w:t>
      </w:r>
      <w:r>
        <w:rPr>
          <w:rFonts w:hint="eastAsia" w:ascii="宋体" w:hAnsi="宋体"/>
          <w:sz w:val="24"/>
          <w:highlight w:val="none"/>
        </w:rPr>
        <w:t>（），乙方向甲方报告并经甲方确认后，甲方在7个工作日内支付乙方咨询费用总金额的</w:t>
      </w:r>
      <w:r>
        <w:rPr>
          <w:rFonts w:hint="eastAsia" w:ascii="宋体" w:hAnsi="宋体"/>
          <w:sz w:val="24"/>
          <w:highlight w:val="none"/>
          <w:u w:val="single"/>
        </w:rPr>
        <w:t xml:space="preserve">  </w:t>
      </w:r>
      <w:r>
        <w:rPr>
          <w:rFonts w:hint="eastAsia" w:ascii="宋体" w:hAnsi="宋体"/>
          <w:sz w:val="24"/>
          <w:highlight w:val="none"/>
        </w:rPr>
        <w:t>%计</w:t>
      </w:r>
      <w:r>
        <w:rPr>
          <w:rFonts w:hint="eastAsia" w:ascii="宋体" w:hAnsi="宋体"/>
          <w:sz w:val="24"/>
          <w:highlight w:val="none"/>
          <w:u w:val="single"/>
        </w:rPr>
        <w:t xml:space="preserve"> </w:t>
      </w:r>
      <w:r>
        <w:rPr>
          <w:rFonts w:hint="eastAsia" w:ascii="宋体" w:hAnsi="宋体"/>
          <w:sz w:val="24"/>
          <w:highlight w:val="none"/>
        </w:rPr>
        <w:t>万元，完成剩余 个模版，乙方向甲方报告并经甲方确认后，甲方在7个工作日内支付乙方咨询费用总金额的</w:t>
      </w:r>
      <w:r>
        <w:rPr>
          <w:rFonts w:hint="eastAsia" w:ascii="宋体" w:hAnsi="宋体"/>
          <w:sz w:val="24"/>
          <w:highlight w:val="none"/>
          <w:u w:val="single"/>
        </w:rPr>
        <w:t xml:space="preserve">  </w:t>
      </w:r>
      <w:r>
        <w:rPr>
          <w:rFonts w:hint="eastAsia" w:ascii="宋体" w:hAnsi="宋体"/>
          <w:sz w:val="24"/>
          <w:highlight w:val="none"/>
        </w:rPr>
        <w:t>%计</w:t>
      </w:r>
      <w:r>
        <w:rPr>
          <w:rFonts w:hint="eastAsia" w:ascii="宋体" w:hAnsi="宋体"/>
          <w:sz w:val="24"/>
          <w:highlight w:val="none"/>
          <w:u w:val="single"/>
        </w:rPr>
        <w:t xml:space="preserve"> </w:t>
      </w:r>
      <w:r>
        <w:rPr>
          <w:rFonts w:hint="eastAsia" w:ascii="宋体" w:hAnsi="宋体"/>
          <w:sz w:val="24"/>
          <w:highlight w:val="none"/>
        </w:rPr>
        <w:t>万元。</w:t>
      </w:r>
    </w:p>
    <w:p w14:paraId="1CDB2393">
      <w:pPr>
        <w:numPr>
          <w:ilvl w:val="0"/>
          <w:numId w:val="3"/>
        </w:numPr>
        <w:spacing w:line="470" w:lineRule="exact"/>
        <w:rPr>
          <w:rFonts w:hint="eastAsia" w:ascii="宋体" w:hAnsi="宋体"/>
          <w:sz w:val="24"/>
          <w:highlight w:val="none"/>
        </w:rPr>
      </w:pPr>
      <w:r>
        <w:rPr>
          <w:rFonts w:hint="eastAsia" w:ascii="宋体" w:hAnsi="宋体"/>
          <w:sz w:val="24"/>
          <w:highlight w:val="none"/>
        </w:rPr>
        <w:t>项目方案落地的辅助实施为 个月，甲方在三个月辅导实施期到期后的7个工作日内向乙方支付咨询费用总金额的</w:t>
      </w:r>
      <w:r>
        <w:rPr>
          <w:rFonts w:hint="eastAsia" w:ascii="宋体" w:hAnsi="宋体"/>
          <w:sz w:val="24"/>
          <w:highlight w:val="none"/>
          <w:u w:val="single"/>
        </w:rPr>
        <w:t xml:space="preserve">  </w:t>
      </w:r>
      <w:r>
        <w:rPr>
          <w:rFonts w:hint="eastAsia" w:ascii="宋体" w:hAnsi="宋体"/>
          <w:sz w:val="24"/>
          <w:highlight w:val="none"/>
        </w:rPr>
        <w:t>%计</w:t>
      </w:r>
      <w:r>
        <w:rPr>
          <w:rFonts w:hint="eastAsia" w:ascii="宋体" w:hAnsi="宋体"/>
          <w:sz w:val="24"/>
          <w:highlight w:val="none"/>
          <w:u w:val="single"/>
        </w:rPr>
        <w:t xml:space="preserve">  </w:t>
      </w:r>
      <w:r>
        <w:rPr>
          <w:rFonts w:hint="eastAsia" w:ascii="宋体" w:hAnsi="宋体"/>
          <w:sz w:val="24"/>
          <w:highlight w:val="none"/>
        </w:rPr>
        <w:t>万元。</w:t>
      </w:r>
    </w:p>
    <w:p w14:paraId="3ABE32B9">
      <w:pPr>
        <w:numPr>
          <w:ilvl w:val="0"/>
          <w:numId w:val="3"/>
        </w:numPr>
        <w:spacing w:line="470" w:lineRule="exact"/>
        <w:rPr>
          <w:rFonts w:hint="eastAsia" w:ascii="宋体" w:hAnsi="宋体"/>
          <w:sz w:val="24"/>
          <w:highlight w:val="none"/>
        </w:rPr>
      </w:pPr>
      <w:r>
        <w:rPr>
          <w:rFonts w:hint="eastAsia" w:ascii="宋体" w:hAnsi="宋体"/>
          <w:sz w:val="24"/>
          <w:highlight w:val="none"/>
        </w:rPr>
        <w:t>甲方每次付款前，乙方应开具对应金额的合法增值税专用发票，因乙方未及时开具发票并送达甲方，甲方有权延期付款并不视为违约。</w:t>
      </w:r>
    </w:p>
    <w:p w14:paraId="3537668A">
      <w:pPr>
        <w:spacing w:line="470" w:lineRule="exact"/>
        <w:rPr>
          <w:rFonts w:hint="eastAsia" w:ascii="宋体" w:hAnsi="宋体"/>
          <w:sz w:val="24"/>
          <w:highlight w:val="none"/>
        </w:rPr>
      </w:pPr>
    </w:p>
    <w:p w14:paraId="5399D82D">
      <w:pPr>
        <w:numPr>
          <w:ilvl w:val="0"/>
          <w:numId w:val="0"/>
        </w:numPr>
        <w:spacing w:line="470" w:lineRule="exact"/>
        <w:ind w:leftChars="0" w:firstLine="482" w:firstLineChars="200"/>
        <w:rPr>
          <w:rFonts w:hint="eastAsia" w:ascii="宋体" w:hAnsi="宋体"/>
          <w:b/>
          <w:bCs/>
          <w:sz w:val="24"/>
          <w:highlight w:val="none"/>
        </w:rPr>
      </w:pPr>
      <w:r>
        <w:rPr>
          <w:rFonts w:hint="eastAsia" w:ascii="宋体" w:hAnsi="宋体"/>
          <w:b/>
          <w:bCs/>
          <w:sz w:val="24"/>
          <w:highlight w:val="none"/>
          <w:lang w:val="en-US" w:eastAsia="zh-CN"/>
        </w:rPr>
        <w:t xml:space="preserve">第九条 </w:t>
      </w:r>
      <w:r>
        <w:rPr>
          <w:rFonts w:hint="eastAsia" w:ascii="宋体" w:hAnsi="宋体"/>
          <w:b/>
          <w:bCs/>
          <w:sz w:val="24"/>
          <w:highlight w:val="none"/>
        </w:rPr>
        <w:t>违约责任</w:t>
      </w:r>
    </w:p>
    <w:p w14:paraId="77C6C269">
      <w:pPr>
        <w:spacing w:line="470" w:lineRule="exact"/>
        <w:ind w:firstLine="480" w:firstLineChars="200"/>
        <w:rPr>
          <w:rFonts w:hint="eastAsia" w:ascii="宋体" w:hAnsi="宋体"/>
          <w:sz w:val="24"/>
          <w:highlight w:val="none"/>
        </w:rPr>
      </w:pPr>
      <w:r>
        <w:rPr>
          <w:rFonts w:hint="eastAsia" w:ascii="宋体" w:hAnsi="宋体"/>
          <w:sz w:val="24"/>
          <w:highlight w:val="none"/>
        </w:rPr>
        <w:t>一．甲方违约责任：甲方没有履行本协议约定义务致使项目不能按时完成或者影响项目完成质量的，乙方有权单方面利终止协议；如果给乙方造成损失的，甲方应予以赔偿。</w:t>
      </w:r>
    </w:p>
    <w:p w14:paraId="6476270F">
      <w:pPr>
        <w:spacing w:line="470" w:lineRule="exact"/>
        <w:ind w:firstLine="480" w:firstLineChars="200"/>
        <w:rPr>
          <w:rFonts w:hint="eastAsia" w:ascii="宋体" w:hAnsi="宋体"/>
          <w:sz w:val="24"/>
          <w:highlight w:val="none"/>
        </w:rPr>
      </w:pPr>
      <w:r>
        <w:rPr>
          <w:rFonts w:hint="eastAsia" w:ascii="宋体" w:hAnsi="宋体"/>
          <w:sz w:val="24"/>
          <w:highlight w:val="none"/>
        </w:rPr>
        <w:t>二．乙方违约责任：乙方违反约定没有履行本协议义务致使项目不能按时完成或者影响项目的完成质量的，甲方有权单方面终止协议，乙方应退还甲方已经支付的费用；给甲方造成损失的，还应予以赔偿，若甲方损失无法量化的，甲方有权要求乙方按照合同总金额的10%支付违约金。</w:t>
      </w:r>
    </w:p>
    <w:p w14:paraId="3B657CCA">
      <w:pPr>
        <w:spacing w:line="470" w:lineRule="exact"/>
        <w:ind w:firstLine="480" w:firstLineChars="200"/>
        <w:rPr>
          <w:rFonts w:ascii="宋体" w:hAnsi="宋体"/>
          <w:color w:val="000000"/>
          <w:sz w:val="24"/>
          <w:highlight w:val="none"/>
        </w:rPr>
      </w:pPr>
      <w:r>
        <w:rPr>
          <w:rFonts w:hint="eastAsia" w:ascii="宋体" w:hAnsi="宋体"/>
          <w:color w:val="000000"/>
          <w:sz w:val="24"/>
          <w:highlight w:val="none"/>
        </w:rPr>
        <w:t>三.如甲方对乙方工作不满意，或者乙方咨询成果不能满足甲方要求，甲方有权要求更换项目小组成员（乙方应无条件予以更换），或者要求乙方重新提供符合要求的咨询成果（本项目协议范围内），或者终止本协议。</w:t>
      </w:r>
    </w:p>
    <w:p w14:paraId="639E672B">
      <w:pPr>
        <w:spacing w:line="470" w:lineRule="exact"/>
        <w:ind w:firstLine="482" w:firstLineChars="200"/>
        <w:rPr>
          <w:rFonts w:ascii="宋体" w:hAnsi="宋体"/>
          <w:b/>
          <w:bCs/>
          <w:color w:val="000000"/>
          <w:sz w:val="24"/>
          <w:highlight w:val="none"/>
        </w:rPr>
      </w:pPr>
      <w:r>
        <w:rPr>
          <w:rFonts w:hint="eastAsia" w:ascii="宋体" w:hAnsi="宋体"/>
          <w:b/>
          <w:bCs/>
          <w:color w:val="000000"/>
          <w:sz w:val="24"/>
          <w:highlight w:val="none"/>
        </w:rPr>
        <w:t>第十条 通知与送达</w:t>
      </w:r>
    </w:p>
    <w:p w14:paraId="551C0457">
      <w:pPr>
        <w:spacing w:line="470" w:lineRule="exact"/>
        <w:ind w:firstLine="480" w:firstLineChars="200"/>
        <w:rPr>
          <w:rFonts w:hint="eastAsia" w:ascii="宋体" w:hAnsi="宋体"/>
          <w:color w:val="000000"/>
          <w:sz w:val="24"/>
          <w:highlight w:val="none"/>
        </w:rPr>
      </w:pPr>
      <w:r>
        <w:rPr>
          <w:rFonts w:hint="eastAsia" w:ascii="宋体" w:hAnsi="宋体"/>
          <w:color w:val="000000"/>
          <w:sz w:val="24"/>
          <w:highlight w:val="none"/>
        </w:rPr>
        <w:t>本协议签署部分记载的地址、联系人及联系方式为甲乙双方的地址、联系人及联系方式，且该地址同样视为司法文书、法律文件送达地址。前述送达信息若有变更，变更一方应提前7个工作日通知对方，未通知，则视为本协议记载的送达信息仍然有效。</w:t>
      </w:r>
    </w:p>
    <w:p w14:paraId="453CE61D">
      <w:pPr>
        <w:numPr>
          <w:ilvl w:val="0"/>
          <w:numId w:val="0"/>
        </w:numPr>
        <w:spacing w:line="470" w:lineRule="exact"/>
        <w:ind w:firstLine="482" w:firstLineChars="200"/>
        <w:rPr>
          <w:rFonts w:hint="eastAsia" w:ascii="宋体" w:hAnsi="宋体"/>
          <w:b/>
          <w:bCs/>
          <w:sz w:val="24"/>
          <w:highlight w:val="none"/>
        </w:rPr>
      </w:pPr>
      <w:r>
        <w:rPr>
          <w:rFonts w:hint="eastAsia" w:ascii="宋体" w:hAnsi="宋体"/>
          <w:b/>
          <w:bCs/>
          <w:color w:val="000000"/>
          <w:sz w:val="24"/>
          <w:highlight w:val="none"/>
        </w:rPr>
        <w:t xml:space="preserve">第十一条 </w:t>
      </w:r>
      <w:r>
        <w:rPr>
          <w:rFonts w:hint="eastAsia" w:ascii="宋体" w:hAnsi="宋体"/>
          <w:color w:val="000000"/>
          <w:sz w:val="24"/>
          <w:highlight w:val="none"/>
        </w:rPr>
        <w:t xml:space="preserve"> </w:t>
      </w:r>
      <w:r>
        <w:rPr>
          <w:rFonts w:ascii="宋体" w:hAnsi="宋体"/>
          <w:b/>
          <w:bCs/>
          <w:sz w:val="24"/>
          <w:highlight w:val="none"/>
        </w:rPr>
        <w:t xml:space="preserve"> </w:t>
      </w:r>
      <w:r>
        <w:rPr>
          <w:rFonts w:hint="eastAsia" w:ascii="宋体" w:hAnsi="宋体"/>
          <w:b/>
          <w:bCs/>
          <w:sz w:val="24"/>
          <w:highlight w:val="none"/>
        </w:rPr>
        <w:t>在本协议的履行过程中发生的争议，由双方友好协商解决，协商不能解决的，由重庆市南岸区人民法院管辖。</w:t>
      </w:r>
    </w:p>
    <w:p w14:paraId="7D5DAE9F">
      <w:pPr>
        <w:tabs>
          <w:tab w:val="left" w:pos="1260"/>
        </w:tabs>
        <w:spacing w:line="470" w:lineRule="exact"/>
        <w:ind w:firstLine="482" w:firstLineChars="200"/>
        <w:rPr>
          <w:rFonts w:hint="eastAsia" w:ascii="宋体" w:hAnsi="宋体"/>
          <w:b/>
          <w:bCs/>
          <w:sz w:val="24"/>
          <w:highlight w:val="none"/>
        </w:rPr>
      </w:pPr>
      <w:r>
        <w:rPr>
          <w:rFonts w:hint="eastAsia" w:ascii="宋体" w:hAnsi="宋体"/>
          <w:b/>
          <w:bCs/>
          <w:sz w:val="24"/>
          <w:highlight w:val="none"/>
        </w:rPr>
        <w:t xml:space="preserve">第十二条 </w:t>
      </w:r>
      <w:r>
        <w:rPr>
          <w:rFonts w:ascii="宋体" w:hAnsi="宋体"/>
          <w:b/>
          <w:bCs/>
          <w:sz w:val="24"/>
          <w:highlight w:val="none"/>
        </w:rPr>
        <w:t xml:space="preserve"> </w:t>
      </w:r>
      <w:r>
        <w:rPr>
          <w:rFonts w:hint="eastAsia" w:ascii="宋体" w:hAnsi="宋体"/>
          <w:b/>
          <w:bCs/>
          <w:sz w:val="24"/>
          <w:highlight w:val="none"/>
        </w:rPr>
        <w:t>本协议的未尽事宜，由双方友好协商解决。</w:t>
      </w:r>
    </w:p>
    <w:p w14:paraId="40706AC2">
      <w:pPr>
        <w:tabs>
          <w:tab w:val="left" w:pos="1260"/>
        </w:tabs>
        <w:spacing w:line="470" w:lineRule="exact"/>
        <w:ind w:firstLine="482" w:firstLineChars="200"/>
        <w:rPr>
          <w:rFonts w:hint="eastAsia" w:ascii="宋体" w:hAnsi="宋体"/>
          <w:b/>
          <w:bCs/>
          <w:sz w:val="24"/>
          <w:highlight w:val="none"/>
        </w:rPr>
      </w:pPr>
      <w:r>
        <w:rPr>
          <w:rFonts w:hint="eastAsia" w:ascii="宋体" w:hAnsi="宋体"/>
          <w:b/>
          <w:bCs/>
          <w:sz w:val="24"/>
          <w:highlight w:val="none"/>
        </w:rPr>
        <w:t xml:space="preserve">第十三条 </w:t>
      </w:r>
      <w:r>
        <w:rPr>
          <w:rFonts w:ascii="宋体" w:hAnsi="宋体"/>
          <w:b/>
          <w:bCs/>
          <w:sz w:val="24"/>
          <w:highlight w:val="none"/>
        </w:rPr>
        <w:t xml:space="preserve"> </w:t>
      </w:r>
      <w:r>
        <w:rPr>
          <w:rFonts w:hint="eastAsia" w:ascii="宋体" w:hAnsi="宋体"/>
          <w:b/>
          <w:bCs/>
          <w:sz w:val="24"/>
          <w:highlight w:val="none"/>
        </w:rPr>
        <w:t>本协议一式肆份，甲乙方双方各执贰份。协议自甲乙双方签订之日起成立并生效。</w:t>
      </w:r>
    </w:p>
    <w:p w14:paraId="7D07CB49">
      <w:pPr>
        <w:tabs>
          <w:tab w:val="left" w:pos="1260"/>
        </w:tabs>
        <w:spacing w:line="470" w:lineRule="exact"/>
        <w:ind w:firstLine="482" w:firstLineChars="200"/>
        <w:rPr>
          <w:rFonts w:hint="eastAsia" w:ascii="宋体" w:hAnsi="宋体"/>
          <w:b/>
          <w:bCs/>
          <w:sz w:val="24"/>
          <w:highlight w:val="none"/>
        </w:rPr>
      </w:pPr>
      <w:r>
        <w:rPr>
          <w:rFonts w:hint="eastAsia" w:ascii="宋体" w:hAnsi="宋体"/>
          <w:b/>
          <w:bCs/>
          <w:sz w:val="24"/>
          <w:highlight w:val="none"/>
        </w:rPr>
        <w:t xml:space="preserve">第十四条 </w:t>
      </w:r>
      <w:r>
        <w:rPr>
          <w:rFonts w:ascii="宋体" w:hAnsi="宋体"/>
          <w:b/>
          <w:bCs/>
          <w:sz w:val="24"/>
          <w:highlight w:val="none"/>
        </w:rPr>
        <w:t xml:space="preserve"> </w:t>
      </w:r>
      <w:r>
        <w:rPr>
          <w:rFonts w:hint="eastAsia" w:ascii="宋体" w:hAnsi="宋体"/>
          <w:b/>
          <w:bCs/>
          <w:sz w:val="24"/>
          <w:highlight w:val="none"/>
        </w:rPr>
        <w:t>补充规定：</w:t>
      </w:r>
    </w:p>
    <w:p w14:paraId="75E4AF57">
      <w:pPr>
        <w:spacing w:line="470" w:lineRule="exact"/>
        <w:ind w:firstLine="480" w:firstLineChars="200"/>
        <w:rPr>
          <w:rFonts w:hint="eastAsia" w:ascii="宋体" w:hAnsi="宋体"/>
          <w:sz w:val="24"/>
          <w:highlight w:val="none"/>
        </w:rPr>
      </w:pPr>
      <w:r>
        <w:rPr>
          <w:rFonts w:hint="eastAsia" w:ascii="宋体" w:hAnsi="宋体"/>
          <w:sz w:val="24"/>
          <w:highlight w:val="none"/>
        </w:rPr>
        <w:t>一．乙方在提交甲方咨询报告成果后15日内得不到甲方的意见回复，视为甲方接受该成果。</w:t>
      </w:r>
    </w:p>
    <w:p w14:paraId="6022ED58">
      <w:pPr>
        <w:spacing w:line="470" w:lineRule="exact"/>
        <w:ind w:firstLine="480" w:firstLineChars="200"/>
        <w:rPr>
          <w:rFonts w:hint="eastAsia" w:ascii="宋体" w:hAnsi="宋体"/>
          <w:sz w:val="24"/>
          <w:highlight w:val="none"/>
        </w:rPr>
      </w:pPr>
      <w:r>
        <w:rPr>
          <w:rFonts w:hint="eastAsia" w:ascii="宋体" w:hAnsi="宋体"/>
          <w:sz w:val="24"/>
          <w:highlight w:val="none"/>
        </w:rPr>
        <w:t>二．项目总时间以及阶段性工作完成时间的适当调整需经甲乙双方书面认可。</w:t>
      </w:r>
    </w:p>
    <w:p w14:paraId="6490F9AE">
      <w:pPr>
        <w:spacing w:line="470" w:lineRule="exact"/>
        <w:rPr>
          <w:rFonts w:ascii="宋体" w:hAnsi="宋体"/>
          <w:sz w:val="24"/>
          <w:highlight w:val="none"/>
        </w:rPr>
      </w:pPr>
      <w:r>
        <w:rPr>
          <w:rFonts w:hint="eastAsia" w:ascii="宋体" w:hAnsi="宋体"/>
          <w:sz w:val="24"/>
          <w:highlight w:val="none"/>
        </w:rPr>
        <w:t>（以下无正文）</w:t>
      </w:r>
    </w:p>
    <w:p w14:paraId="1B24EE6B">
      <w:pPr>
        <w:spacing w:line="470" w:lineRule="exact"/>
        <w:rPr>
          <w:rFonts w:ascii="宋体" w:hAnsi="宋体"/>
          <w:sz w:val="24"/>
          <w:highlight w:val="none"/>
        </w:rPr>
      </w:pPr>
      <w:r>
        <w:rPr>
          <w:rFonts w:hint="eastAsia" w:ascii="宋体" w:hAnsi="宋体"/>
          <w:sz w:val="24"/>
          <w:highlight w:val="none"/>
        </w:rPr>
        <w:t>附件一：管理咨询项目工作计划</w:t>
      </w:r>
    </w:p>
    <w:p w14:paraId="3A9E67C7">
      <w:pPr>
        <w:spacing w:line="470" w:lineRule="exact"/>
        <w:rPr>
          <w:rFonts w:hint="eastAsia" w:ascii="宋体" w:hAnsi="宋体"/>
          <w:sz w:val="24"/>
          <w:highlight w:val="none"/>
        </w:rPr>
      </w:pPr>
    </w:p>
    <w:p w14:paraId="02B6EAE6">
      <w:pPr>
        <w:spacing w:line="470" w:lineRule="exact"/>
        <w:rPr>
          <w:rFonts w:hint="eastAsia" w:ascii="宋体" w:hAnsi="宋体"/>
          <w:b/>
          <w:bCs/>
          <w:sz w:val="24"/>
          <w:highlight w:val="none"/>
        </w:rPr>
      </w:pPr>
    </w:p>
    <w:p w14:paraId="5E429216">
      <w:pPr>
        <w:spacing w:line="470" w:lineRule="exact"/>
        <w:rPr>
          <w:rFonts w:hint="eastAsia" w:ascii="宋体" w:hAnsi="宋体"/>
          <w:b/>
          <w:bCs/>
          <w:sz w:val="24"/>
          <w:highlight w:val="none"/>
        </w:rPr>
      </w:pPr>
    </w:p>
    <w:p w14:paraId="477D07A6">
      <w:pPr>
        <w:spacing w:line="470" w:lineRule="exact"/>
        <w:rPr>
          <w:rFonts w:hint="eastAsia" w:ascii="宋体" w:hAnsi="宋体"/>
          <w:b/>
          <w:bCs/>
          <w:sz w:val="24"/>
          <w:highlight w:val="none"/>
        </w:rPr>
      </w:pPr>
    </w:p>
    <w:p w14:paraId="5EE580E4">
      <w:pPr>
        <w:spacing w:line="470" w:lineRule="exact"/>
        <w:rPr>
          <w:rFonts w:hint="eastAsia" w:ascii="宋体" w:hAnsi="宋体"/>
          <w:b/>
          <w:bCs/>
          <w:sz w:val="24"/>
          <w:highlight w:val="none"/>
        </w:rPr>
      </w:pPr>
    </w:p>
    <w:p w14:paraId="347E2993">
      <w:pPr>
        <w:spacing w:line="470" w:lineRule="exact"/>
        <w:rPr>
          <w:rFonts w:hint="eastAsia" w:ascii="宋体" w:hAnsi="宋体"/>
          <w:b/>
          <w:bCs/>
          <w:sz w:val="24"/>
          <w:highlight w:val="none"/>
        </w:rPr>
      </w:pPr>
    </w:p>
    <w:p w14:paraId="5481C29A">
      <w:pPr>
        <w:spacing w:line="470" w:lineRule="exact"/>
        <w:rPr>
          <w:rFonts w:hint="eastAsia" w:ascii="宋体" w:hAnsi="宋体"/>
          <w:sz w:val="24"/>
          <w:highlight w:val="none"/>
        </w:rPr>
      </w:pPr>
      <w:r>
        <w:rPr>
          <w:rFonts w:hint="eastAsia" w:ascii="宋体" w:hAnsi="宋体"/>
          <w:b/>
          <w:bCs/>
          <w:sz w:val="24"/>
          <w:highlight w:val="none"/>
        </w:rPr>
        <w:t>甲方：</w:t>
      </w:r>
    </w:p>
    <w:p w14:paraId="6848EC02">
      <w:pPr>
        <w:spacing w:line="470" w:lineRule="exact"/>
        <w:jc w:val="left"/>
        <w:rPr>
          <w:rFonts w:hint="eastAsia" w:ascii="宋体" w:hAnsi="宋体"/>
          <w:sz w:val="24"/>
          <w:highlight w:val="none"/>
        </w:rPr>
      </w:pPr>
      <w:r>
        <w:rPr>
          <w:rFonts w:hint="eastAsia" w:ascii="宋体" w:hAnsi="宋体"/>
          <w:sz w:val="24"/>
          <w:highlight w:val="none"/>
        </w:rPr>
        <w:t xml:space="preserve">地址： </w:t>
      </w:r>
    </w:p>
    <w:p w14:paraId="4B1F086E">
      <w:pPr>
        <w:spacing w:line="470" w:lineRule="exact"/>
        <w:rPr>
          <w:rFonts w:hint="eastAsia" w:ascii="宋体" w:hAnsi="宋体"/>
          <w:sz w:val="24"/>
          <w:highlight w:val="none"/>
        </w:rPr>
      </w:pPr>
      <w:r>
        <w:rPr>
          <w:rFonts w:hint="eastAsia" w:ascii="宋体" w:hAnsi="宋体"/>
          <w:sz w:val="24"/>
          <w:highlight w:val="none"/>
        </w:rPr>
        <w:t>委托代理人：（签章）</w:t>
      </w:r>
    </w:p>
    <w:p w14:paraId="1337229E">
      <w:pPr>
        <w:spacing w:line="470" w:lineRule="exact"/>
        <w:rPr>
          <w:rFonts w:hint="eastAsia" w:ascii="宋体" w:hAnsi="宋体"/>
          <w:sz w:val="24"/>
          <w:highlight w:val="none"/>
        </w:rPr>
      </w:pPr>
      <w:r>
        <w:rPr>
          <w:rFonts w:hint="eastAsia" w:ascii="宋体" w:hAnsi="宋体"/>
          <w:sz w:val="24"/>
          <w:highlight w:val="none"/>
        </w:rPr>
        <w:t xml:space="preserve">联系人：                       </w:t>
      </w:r>
    </w:p>
    <w:p w14:paraId="6DFF4205">
      <w:pPr>
        <w:spacing w:line="470" w:lineRule="exact"/>
        <w:rPr>
          <w:rFonts w:hint="eastAsia" w:ascii="宋体" w:hAnsi="宋体"/>
          <w:sz w:val="24"/>
          <w:highlight w:val="none"/>
        </w:rPr>
      </w:pPr>
      <w:r>
        <w:rPr>
          <w:rFonts w:hint="eastAsia" w:ascii="宋体" w:hAnsi="宋体"/>
          <w:sz w:val="24"/>
          <w:highlight w:val="none"/>
        </w:rPr>
        <w:t xml:space="preserve">电话、传真：           </w:t>
      </w:r>
      <w:r>
        <w:rPr>
          <w:rFonts w:ascii="宋体" w:hAnsi="宋体"/>
          <w:sz w:val="24"/>
          <w:highlight w:val="none"/>
        </w:rPr>
        <w:t xml:space="preserve">           </w:t>
      </w:r>
      <w:r>
        <w:rPr>
          <w:rFonts w:hint="eastAsia" w:ascii="宋体" w:hAnsi="宋体"/>
          <w:sz w:val="24"/>
          <w:highlight w:val="none"/>
        </w:rPr>
        <w:t xml:space="preserve">     邮政编码：           </w:t>
      </w:r>
    </w:p>
    <w:p w14:paraId="37D67501">
      <w:pPr>
        <w:spacing w:line="470" w:lineRule="exact"/>
        <w:rPr>
          <w:rFonts w:hint="eastAsia" w:ascii="宋体" w:hAnsi="宋体"/>
          <w:sz w:val="24"/>
          <w:highlight w:val="none"/>
        </w:rPr>
      </w:pPr>
      <w:r>
        <w:rPr>
          <w:rFonts w:hint="eastAsia" w:ascii="宋体" w:hAnsi="宋体"/>
          <w:sz w:val="24"/>
          <w:highlight w:val="none"/>
        </w:rPr>
        <w:t xml:space="preserve">20年    月    日         </w:t>
      </w:r>
    </w:p>
    <w:p w14:paraId="4A9E51C0">
      <w:pPr>
        <w:spacing w:line="470" w:lineRule="exact"/>
        <w:rPr>
          <w:rFonts w:hint="eastAsia" w:ascii="宋体" w:hAnsi="宋体"/>
          <w:b/>
          <w:bCs/>
          <w:sz w:val="24"/>
          <w:highlight w:val="none"/>
        </w:rPr>
      </w:pPr>
    </w:p>
    <w:p w14:paraId="74520632">
      <w:pPr>
        <w:spacing w:line="470" w:lineRule="exact"/>
        <w:rPr>
          <w:rFonts w:ascii="宋体" w:hAnsi="宋体"/>
          <w:sz w:val="32"/>
          <w:highlight w:val="none"/>
        </w:rPr>
      </w:pPr>
      <w:r>
        <w:rPr>
          <w:rFonts w:hint="eastAsia" w:ascii="宋体" w:hAnsi="宋体"/>
          <w:b/>
          <w:bCs/>
          <w:sz w:val="24"/>
          <w:highlight w:val="none"/>
        </w:rPr>
        <w:t>乙方：</w:t>
      </w:r>
      <w:r>
        <w:rPr>
          <w:rFonts w:hint="eastAsia" w:ascii="宋体" w:hAnsi="宋体"/>
          <w:sz w:val="24"/>
          <w:highlight w:val="none"/>
        </w:rPr>
        <w:t xml:space="preserve"> </w:t>
      </w:r>
    </w:p>
    <w:p w14:paraId="0DE748B4">
      <w:pPr>
        <w:spacing w:line="470" w:lineRule="exact"/>
        <w:rPr>
          <w:rFonts w:hint="eastAsia" w:ascii="宋体" w:hAnsi="宋体"/>
          <w:sz w:val="24"/>
          <w:highlight w:val="none"/>
        </w:rPr>
      </w:pPr>
      <w:r>
        <w:rPr>
          <w:rFonts w:hint="eastAsia" w:ascii="宋体" w:hAnsi="宋体"/>
          <w:sz w:val="24"/>
          <w:highlight w:val="none"/>
        </w:rPr>
        <w:t>地址：</w:t>
      </w:r>
    </w:p>
    <w:p w14:paraId="20B1BAEE">
      <w:pPr>
        <w:spacing w:line="470" w:lineRule="exact"/>
        <w:rPr>
          <w:rFonts w:hint="eastAsia" w:ascii="宋体" w:hAnsi="宋体"/>
          <w:sz w:val="24"/>
          <w:highlight w:val="none"/>
        </w:rPr>
      </w:pPr>
      <w:r>
        <w:rPr>
          <w:rFonts w:hint="eastAsia" w:ascii="宋体" w:hAnsi="宋体"/>
          <w:sz w:val="24"/>
          <w:highlight w:val="none"/>
        </w:rPr>
        <w:t>法定代表人：（签章）                           委托代理人：（签章）</w:t>
      </w:r>
    </w:p>
    <w:p w14:paraId="290D184C">
      <w:pPr>
        <w:spacing w:line="470" w:lineRule="exact"/>
        <w:rPr>
          <w:rFonts w:ascii="宋体" w:hAnsi="宋体"/>
          <w:sz w:val="24"/>
          <w:highlight w:val="none"/>
        </w:rPr>
      </w:pPr>
      <w:r>
        <w:rPr>
          <w:rFonts w:hint="eastAsia" w:ascii="宋体" w:hAnsi="宋体"/>
          <w:sz w:val="24"/>
          <w:highlight w:val="none"/>
        </w:rPr>
        <w:t>联系人：</w:t>
      </w:r>
    </w:p>
    <w:p w14:paraId="196A6106">
      <w:pPr>
        <w:spacing w:line="470" w:lineRule="exact"/>
        <w:rPr>
          <w:rFonts w:hint="eastAsia" w:ascii="宋体" w:hAnsi="宋体"/>
          <w:sz w:val="24"/>
          <w:highlight w:val="none"/>
        </w:rPr>
      </w:pPr>
      <w:r>
        <w:rPr>
          <w:rFonts w:hint="eastAsia" w:ascii="宋体" w:hAnsi="宋体"/>
          <w:sz w:val="24"/>
          <w:highlight w:val="none"/>
        </w:rPr>
        <w:t xml:space="preserve">电话、传真：      </w:t>
      </w:r>
      <w:r>
        <w:rPr>
          <w:rFonts w:ascii="宋体" w:hAnsi="宋体"/>
          <w:sz w:val="24"/>
          <w:highlight w:val="none"/>
        </w:rPr>
        <w:t xml:space="preserve">                     </w:t>
      </w:r>
      <w:r>
        <w:rPr>
          <w:rFonts w:hint="eastAsia" w:ascii="宋体" w:hAnsi="宋体"/>
          <w:sz w:val="24"/>
          <w:highlight w:val="none"/>
        </w:rPr>
        <w:t xml:space="preserve"> 邮政编码：</w:t>
      </w:r>
    </w:p>
    <w:p w14:paraId="1DB4F301">
      <w:pPr>
        <w:spacing w:line="470" w:lineRule="exact"/>
        <w:rPr>
          <w:rFonts w:ascii="宋体" w:hAnsi="宋体"/>
          <w:sz w:val="24"/>
          <w:highlight w:val="none"/>
        </w:rPr>
      </w:pPr>
      <w:r>
        <w:rPr>
          <w:rFonts w:hint="eastAsia" w:ascii="宋体" w:hAnsi="宋体"/>
          <w:sz w:val="24"/>
          <w:highlight w:val="none"/>
        </w:rPr>
        <w:t>开户行：行        账号：</w:t>
      </w:r>
    </w:p>
    <w:p w14:paraId="76DC7C57">
      <w:pPr>
        <w:spacing w:line="470" w:lineRule="exact"/>
        <w:rPr>
          <w:rFonts w:hint="eastAsia" w:ascii="宋体" w:hAnsi="宋体"/>
          <w:sz w:val="24"/>
          <w:highlight w:val="none"/>
        </w:rPr>
      </w:pPr>
      <w:r>
        <w:rPr>
          <w:rFonts w:hint="eastAsia" w:ascii="宋体" w:hAnsi="宋体"/>
          <w:sz w:val="24"/>
          <w:highlight w:val="none"/>
        </w:rPr>
        <w:t>纳税人</w:t>
      </w:r>
      <w:r>
        <w:rPr>
          <w:rFonts w:ascii="宋体" w:hAnsi="宋体"/>
          <w:sz w:val="24"/>
          <w:highlight w:val="none"/>
        </w:rPr>
        <w:t>识别号</w:t>
      </w:r>
      <w:r>
        <w:rPr>
          <w:rFonts w:hint="eastAsia" w:ascii="宋体" w:hAnsi="宋体"/>
          <w:sz w:val="24"/>
          <w:highlight w:val="none"/>
        </w:rPr>
        <w:t>：</w:t>
      </w:r>
    </w:p>
    <w:p w14:paraId="26F66549">
      <w:pPr>
        <w:spacing w:line="470" w:lineRule="exact"/>
        <w:rPr>
          <w:rFonts w:hint="eastAsia"/>
          <w:highlight w:val="none"/>
        </w:rPr>
        <w:sectPr>
          <w:pgSz w:w="11906" w:h="16838"/>
          <w:pgMar w:top="1440" w:right="1800" w:bottom="1440" w:left="1800" w:header="851" w:footer="992" w:gutter="0"/>
          <w:cols w:space="720" w:num="1"/>
          <w:docGrid w:type="lines" w:linePitch="312" w:charSpace="0"/>
        </w:sectPr>
      </w:pPr>
      <w:r>
        <w:rPr>
          <w:rFonts w:hint="eastAsia" w:ascii="宋体" w:hAnsi="宋体"/>
          <w:sz w:val="24"/>
          <w:highlight w:val="none"/>
        </w:rPr>
        <w:t>20年    月     日</w:t>
      </w:r>
    </w:p>
    <w:p w14:paraId="723C2515">
      <w:pPr>
        <w:rPr>
          <w:rFonts w:hint="eastAsia"/>
          <w:highlight w:val="none"/>
        </w:rPr>
      </w:pPr>
    </w:p>
    <w:tbl>
      <w:tblPr>
        <w:tblStyle w:val="24"/>
        <w:tblW w:w="7953" w:type="dxa"/>
        <w:tblInd w:w="93" w:type="dxa"/>
        <w:tblLayout w:type="autofit"/>
        <w:tblCellMar>
          <w:top w:w="0" w:type="dxa"/>
          <w:left w:w="108" w:type="dxa"/>
          <w:bottom w:w="0" w:type="dxa"/>
          <w:right w:w="108" w:type="dxa"/>
        </w:tblCellMar>
      </w:tblPr>
      <w:tblGrid>
        <w:gridCol w:w="1431"/>
        <w:gridCol w:w="2085"/>
        <w:gridCol w:w="3303"/>
        <w:gridCol w:w="1134"/>
      </w:tblGrid>
      <w:tr w14:paraId="508CB533">
        <w:tblPrEx>
          <w:tblCellMar>
            <w:top w:w="0" w:type="dxa"/>
            <w:left w:w="108" w:type="dxa"/>
            <w:bottom w:w="0" w:type="dxa"/>
            <w:right w:w="108" w:type="dxa"/>
          </w:tblCellMar>
        </w:tblPrEx>
        <w:trPr>
          <w:trHeight w:val="631" w:hRule="atLeast"/>
        </w:trPr>
        <w:tc>
          <w:tcPr>
            <w:tcW w:w="7953" w:type="dxa"/>
            <w:gridSpan w:val="4"/>
            <w:tcBorders>
              <w:top w:val="nil"/>
              <w:left w:val="nil"/>
              <w:bottom w:val="single" w:color="000000" w:sz="4" w:space="0"/>
              <w:right w:val="nil"/>
            </w:tcBorders>
            <w:noWrap/>
            <w:vAlign w:val="center"/>
          </w:tcPr>
          <w:p w14:paraId="2A1EED3C">
            <w:pPr>
              <w:widowControl/>
              <w:jc w:val="left"/>
              <w:rPr>
                <w:rFonts w:hint="eastAsia" w:ascii="宋体" w:hAnsi="宋体" w:cs="宋体"/>
                <w:b/>
                <w:bCs/>
                <w:color w:val="000000"/>
                <w:kern w:val="0"/>
                <w:sz w:val="24"/>
                <w:szCs w:val="32"/>
                <w:highlight w:val="none"/>
              </w:rPr>
            </w:pPr>
            <w:r>
              <w:rPr>
                <w:rFonts w:hint="eastAsia" w:ascii="宋体" w:hAnsi="宋体" w:cs="宋体"/>
                <w:b/>
                <w:bCs/>
                <w:color w:val="000000"/>
                <w:kern w:val="0"/>
                <w:sz w:val="24"/>
                <w:szCs w:val="32"/>
                <w:highlight w:val="none"/>
              </w:rPr>
              <w:t>附件一：</w:t>
            </w:r>
          </w:p>
          <w:p w14:paraId="4E767B81">
            <w:pPr>
              <w:widowControl/>
              <w:jc w:val="center"/>
              <w:rPr>
                <w:rFonts w:ascii="宋体" w:hAnsi="宋体" w:cs="宋体"/>
                <w:b/>
                <w:bCs/>
                <w:color w:val="000000"/>
                <w:kern w:val="0"/>
                <w:sz w:val="24"/>
                <w:szCs w:val="32"/>
                <w:highlight w:val="none"/>
              </w:rPr>
            </w:pPr>
            <w:bookmarkStart w:id="476" w:name="_Hlk160697920"/>
            <w:r>
              <w:rPr>
                <w:rFonts w:hint="eastAsia" w:ascii="宋体" w:hAnsi="宋体" w:cs="宋体"/>
                <w:b/>
                <w:bCs/>
                <w:color w:val="000000"/>
                <w:kern w:val="0"/>
                <w:sz w:val="28"/>
                <w:szCs w:val="36"/>
                <w:highlight w:val="none"/>
              </w:rPr>
              <w:t>管理咨询项目工作计划</w:t>
            </w:r>
            <w:bookmarkEnd w:id="476"/>
          </w:p>
        </w:tc>
      </w:tr>
      <w:tr w14:paraId="7B2D52BA">
        <w:tblPrEx>
          <w:tblCellMar>
            <w:top w:w="0" w:type="dxa"/>
            <w:left w:w="108" w:type="dxa"/>
            <w:bottom w:w="0" w:type="dxa"/>
            <w:right w:w="108" w:type="dxa"/>
          </w:tblCellMar>
        </w:tblPrEx>
        <w:trPr>
          <w:trHeight w:val="947" w:hRule="atLeast"/>
        </w:trPr>
        <w:tc>
          <w:tcPr>
            <w:tcW w:w="14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03079">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模块</w:t>
            </w: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10221">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主要工作内容</w:t>
            </w:r>
          </w:p>
        </w:tc>
        <w:tc>
          <w:tcPr>
            <w:tcW w:w="33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4A6ED">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核心产出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95E95">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预计投入时间：人/天</w:t>
            </w:r>
          </w:p>
        </w:tc>
      </w:tr>
      <w:tr w14:paraId="7BF35B7C">
        <w:tblPrEx>
          <w:tblCellMar>
            <w:top w:w="0" w:type="dxa"/>
            <w:left w:w="108" w:type="dxa"/>
            <w:bottom w:w="0" w:type="dxa"/>
            <w:right w:w="108" w:type="dxa"/>
          </w:tblCellMar>
        </w:tblPrEx>
        <w:trPr>
          <w:trHeight w:val="1644" w:hRule="atLeast"/>
        </w:trPr>
        <w:tc>
          <w:tcPr>
            <w:tcW w:w="14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FD9DC">
            <w:pPr>
              <w:widowControl/>
              <w:jc w:val="center"/>
              <w:rPr>
                <w:rFonts w:ascii="宋体" w:hAnsi="宋体" w:cs="宋体"/>
                <w:color w:val="000000"/>
                <w:kern w:val="0"/>
                <w:sz w:val="24"/>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2497B">
            <w:pPr>
              <w:widowControl/>
              <w:jc w:val="left"/>
              <w:rPr>
                <w:rFonts w:ascii="宋体" w:hAnsi="宋体" w:cs="宋体"/>
                <w:color w:val="000000"/>
                <w:kern w:val="0"/>
                <w:sz w:val="24"/>
                <w:highlight w:val="none"/>
              </w:rPr>
            </w:pPr>
          </w:p>
        </w:tc>
        <w:tc>
          <w:tcPr>
            <w:tcW w:w="33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F5654">
            <w:pPr>
              <w:widowControl/>
              <w:jc w:val="left"/>
              <w:rPr>
                <w:rFonts w:hint="eastAsia" w:ascii="宋体" w:hAnsi="宋体" w:cs="宋体"/>
                <w:color w:val="000000"/>
                <w:kern w:val="0"/>
                <w:sz w:val="24"/>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17792">
            <w:pPr>
              <w:widowControl/>
              <w:jc w:val="center"/>
              <w:rPr>
                <w:rFonts w:ascii="宋体" w:hAnsi="宋体" w:cs="宋体"/>
                <w:color w:val="000000"/>
                <w:kern w:val="0"/>
                <w:sz w:val="24"/>
                <w:highlight w:val="none"/>
              </w:rPr>
            </w:pPr>
          </w:p>
        </w:tc>
      </w:tr>
      <w:tr w14:paraId="0C13BC3F">
        <w:tblPrEx>
          <w:tblCellMar>
            <w:top w:w="0" w:type="dxa"/>
            <w:left w:w="108" w:type="dxa"/>
            <w:bottom w:w="0" w:type="dxa"/>
            <w:right w:w="108" w:type="dxa"/>
          </w:tblCellMar>
        </w:tblPrEx>
        <w:trPr>
          <w:trHeight w:val="2240" w:hRule="atLeast"/>
        </w:trPr>
        <w:tc>
          <w:tcPr>
            <w:tcW w:w="14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9796A">
            <w:pPr>
              <w:widowControl/>
              <w:jc w:val="center"/>
              <w:rPr>
                <w:rFonts w:ascii="宋体" w:hAnsi="宋体" w:cs="宋体"/>
                <w:color w:val="000000"/>
                <w:kern w:val="0"/>
                <w:sz w:val="24"/>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E830B">
            <w:pPr>
              <w:widowControl/>
              <w:jc w:val="left"/>
              <w:rPr>
                <w:rFonts w:ascii="宋体" w:hAnsi="宋体" w:cs="宋体"/>
                <w:color w:val="000000"/>
                <w:kern w:val="0"/>
                <w:sz w:val="24"/>
                <w:highlight w:val="none"/>
              </w:rPr>
            </w:pPr>
          </w:p>
        </w:tc>
        <w:tc>
          <w:tcPr>
            <w:tcW w:w="33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04B89">
            <w:pPr>
              <w:widowControl/>
              <w:jc w:val="left"/>
              <w:rPr>
                <w:rFonts w:hint="eastAsia" w:ascii="宋体" w:hAnsi="宋体" w:cs="宋体"/>
                <w:color w:val="000000"/>
                <w:kern w:val="0"/>
                <w:sz w:val="24"/>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B1A1D">
            <w:pPr>
              <w:widowControl/>
              <w:rPr>
                <w:rFonts w:ascii="宋体" w:hAnsi="宋体" w:cs="宋体"/>
                <w:color w:val="000000"/>
                <w:kern w:val="0"/>
                <w:sz w:val="24"/>
                <w:highlight w:val="none"/>
              </w:rPr>
            </w:pPr>
          </w:p>
        </w:tc>
      </w:tr>
      <w:tr w14:paraId="7C6E1E61">
        <w:tblPrEx>
          <w:tblCellMar>
            <w:top w:w="0" w:type="dxa"/>
            <w:left w:w="108" w:type="dxa"/>
            <w:bottom w:w="0" w:type="dxa"/>
            <w:right w:w="108" w:type="dxa"/>
          </w:tblCellMar>
        </w:tblPrEx>
        <w:trPr>
          <w:trHeight w:val="1888" w:hRule="atLeast"/>
        </w:trPr>
        <w:tc>
          <w:tcPr>
            <w:tcW w:w="14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CE900">
            <w:pPr>
              <w:widowControl/>
              <w:jc w:val="center"/>
              <w:rPr>
                <w:rFonts w:ascii="宋体" w:hAnsi="宋体" w:cs="宋体"/>
                <w:color w:val="000000"/>
                <w:kern w:val="0"/>
                <w:sz w:val="24"/>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C37A5">
            <w:pPr>
              <w:widowControl/>
              <w:jc w:val="left"/>
              <w:rPr>
                <w:rFonts w:ascii="宋体" w:hAnsi="宋体" w:cs="宋体"/>
                <w:color w:val="000000"/>
                <w:kern w:val="0"/>
                <w:sz w:val="24"/>
                <w:highlight w:val="none"/>
              </w:rPr>
            </w:pPr>
          </w:p>
        </w:tc>
        <w:tc>
          <w:tcPr>
            <w:tcW w:w="33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3E00D">
            <w:pPr>
              <w:widowControl/>
              <w:jc w:val="left"/>
              <w:rPr>
                <w:rFonts w:ascii="宋体" w:hAnsi="宋体" w:cs="宋体"/>
                <w:color w:val="000000"/>
                <w:kern w:val="0"/>
                <w:sz w:val="24"/>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7E99E">
            <w:pPr>
              <w:widowControl/>
              <w:jc w:val="center"/>
              <w:rPr>
                <w:rFonts w:ascii="宋体" w:hAnsi="宋体" w:cs="宋体"/>
                <w:color w:val="000000"/>
                <w:kern w:val="0"/>
                <w:sz w:val="24"/>
                <w:highlight w:val="none"/>
              </w:rPr>
            </w:pPr>
          </w:p>
        </w:tc>
      </w:tr>
      <w:tr w14:paraId="38959424">
        <w:tblPrEx>
          <w:tblCellMar>
            <w:top w:w="0" w:type="dxa"/>
            <w:left w:w="108" w:type="dxa"/>
            <w:bottom w:w="0" w:type="dxa"/>
            <w:right w:w="108" w:type="dxa"/>
          </w:tblCellMar>
        </w:tblPrEx>
        <w:trPr>
          <w:trHeight w:val="1820" w:hRule="atLeast"/>
        </w:trPr>
        <w:tc>
          <w:tcPr>
            <w:tcW w:w="14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2D365">
            <w:pPr>
              <w:widowControl/>
              <w:jc w:val="center"/>
              <w:rPr>
                <w:rFonts w:ascii="宋体" w:hAnsi="宋体" w:cs="宋体"/>
                <w:color w:val="000000"/>
                <w:kern w:val="0"/>
                <w:sz w:val="24"/>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3F462">
            <w:pPr>
              <w:widowControl/>
              <w:jc w:val="left"/>
              <w:rPr>
                <w:rFonts w:ascii="宋体" w:hAnsi="宋体" w:cs="宋体"/>
                <w:color w:val="000000"/>
                <w:kern w:val="0"/>
                <w:sz w:val="24"/>
                <w:highlight w:val="none"/>
              </w:rPr>
            </w:pPr>
          </w:p>
        </w:tc>
        <w:tc>
          <w:tcPr>
            <w:tcW w:w="33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0331C">
            <w:pPr>
              <w:widowControl/>
              <w:jc w:val="left"/>
              <w:rPr>
                <w:rFonts w:ascii="宋体" w:hAnsi="宋体" w:cs="宋体"/>
                <w:color w:val="000000"/>
                <w:kern w:val="0"/>
                <w:sz w:val="24"/>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A03D8">
            <w:pPr>
              <w:widowControl/>
              <w:jc w:val="center"/>
              <w:rPr>
                <w:rFonts w:ascii="宋体" w:hAnsi="宋体" w:cs="宋体"/>
                <w:color w:val="000000"/>
                <w:kern w:val="0"/>
                <w:sz w:val="24"/>
                <w:highlight w:val="none"/>
              </w:rPr>
            </w:pPr>
          </w:p>
        </w:tc>
      </w:tr>
    </w:tbl>
    <w:p w14:paraId="7F01C06F">
      <w:pPr>
        <w:rPr>
          <w:highlight w:val="none"/>
        </w:rPr>
      </w:pPr>
    </w:p>
    <w:p w14:paraId="3B91AEEA">
      <w:pPr>
        <w:adjustRightInd/>
        <w:snapToGrid w:val="0"/>
        <w:spacing w:line="312" w:lineRule="auto"/>
        <w:rPr>
          <w:rFonts w:hint="eastAsia" w:ascii="仿宋" w:hAnsi="仿宋" w:eastAsia="仿宋" w:cs="仿宋"/>
          <w:sz w:val="24"/>
          <w:szCs w:val="24"/>
          <w:highlight w:val="none"/>
        </w:rPr>
      </w:pPr>
    </w:p>
    <w:p w14:paraId="486B12F9">
      <w:pPr>
        <w:jc w:val="center"/>
        <w:rPr>
          <w:rFonts w:hint="eastAsia" w:ascii="仿宋" w:hAnsi="仿宋" w:eastAsia="仿宋" w:cs="仿宋"/>
          <w:highlight w:val="none"/>
        </w:rPr>
      </w:pPr>
      <w:r>
        <w:rPr>
          <w:rFonts w:hint="eastAsia" w:ascii="仿宋" w:hAnsi="仿宋" w:eastAsia="仿宋" w:cs="仿宋"/>
          <w:highlight w:val="none"/>
        </w:rPr>
        <w:br w:type="page"/>
      </w:r>
    </w:p>
    <w:p w14:paraId="4EC3BBA3">
      <w:pPr>
        <w:pStyle w:val="9"/>
        <w:rPr>
          <w:rFonts w:hint="eastAsia" w:ascii="仿宋" w:hAnsi="仿宋" w:eastAsia="仿宋" w:cs="仿宋"/>
          <w:highlight w:val="none"/>
        </w:rPr>
      </w:pPr>
    </w:p>
    <w:bookmarkEnd w:id="450"/>
    <w:bookmarkEnd w:id="451"/>
    <w:bookmarkEnd w:id="452"/>
    <w:bookmarkEnd w:id="453"/>
    <w:bookmarkEnd w:id="454"/>
    <w:bookmarkEnd w:id="455"/>
    <w:bookmarkEnd w:id="456"/>
    <w:p w14:paraId="46024C9B">
      <w:pPr>
        <w:pStyle w:val="2"/>
        <w:keepNext w:val="0"/>
        <w:keepLines w:val="0"/>
        <w:tabs>
          <w:tab w:val="left" w:pos="0"/>
        </w:tabs>
        <w:wordWrap w:val="0"/>
        <w:autoSpaceDE w:val="0"/>
        <w:autoSpaceDN w:val="0"/>
        <w:snapToGrid w:val="0"/>
        <w:spacing w:before="0" w:after="0" w:line="288" w:lineRule="auto"/>
        <w:jc w:val="center"/>
        <w:rPr>
          <w:rFonts w:hint="eastAsia" w:ascii="仿宋" w:hAnsi="仿宋" w:eastAsia="仿宋" w:cs="仿宋"/>
          <w:kern w:val="0"/>
          <w:sz w:val="36"/>
          <w:szCs w:val="36"/>
          <w:highlight w:val="none"/>
        </w:rPr>
      </w:pPr>
      <w:bookmarkStart w:id="477" w:name="_Toc26452"/>
      <w:bookmarkStart w:id="478" w:name="_Toc430206084"/>
      <w:bookmarkStart w:id="479" w:name="_Toc492244547"/>
      <w:r>
        <w:rPr>
          <w:rFonts w:hint="eastAsia" w:ascii="仿宋" w:hAnsi="仿宋" w:eastAsia="仿宋" w:cs="仿宋"/>
          <w:kern w:val="0"/>
          <w:sz w:val="36"/>
          <w:szCs w:val="36"/>
          <w:highlight w:val="none"/>
        </w:rPr>
        <w:t>第五章  技术标准和要求</w:t>
      </w:r>
      <w:bookmarkEnd w:id="477"/>
      <w:bookmarkEnd w:id="478"/>
      <w:bookmarkEnd w:id="479"/>
    </w:p>
    <w:p w14:paraId="6141C1D4">
      <w:pPr>
        <w:adjustRightInd/>
        <w:snapToGrid w:val="0"/>
        <w:spacing w:line="312" w:lineRule="auto"/>
        <w:ind w:firstLine="482" w:firstLineChars="200"/>
        <w:jc w:val="left"/>
        <w:rPr>
          <w:rFonts w:hint="eastAsia" w:ascii="仿宋" w:hAnsi="仿宋" w:eastAsia="仿宋" w:cs="仿宋"/>
          <w:b/>
          <w:bCs/>
          <w:sz w:val="24"/>
          <w:szCs w:val="24"/>
          <w:highlight w:val="none"/>
        </w:rPr>
      </w:pPr>
      <w:bookmarkStart w:id="480" w:name="_Toc492244548"/>
      <w:bookmarkStart w:id="481" w:name="_Toc430206085"/>
      <w:r>
        <w:rPr>
          <w:rFonts w:hint="eastAsia" w:ascii="仿宋" w:hAnsi="仿宋" w:eastAsia="仿宋" w:cs="仿宋"/>
          <w:b/>
          <w:bCs/>
          <w:sz w:val="24"/>
          <w:szCs w:val="24"/>
          <w:highlight w:val="none"/>
        </w:rPr>
        <w:t>1、项目概况</w:t>
      </w:r>
    </w:p>
    <w:p w14:paraId="32B5D4F5">
      <w:pPr>
        <w:adjustRightInd/>
        <w:snapToGri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旨在通过专业咨询服务，助力广阳湾投资集团与绿色公司两家企业顺利整合，并实现向科技公司的战略转型。核心服务涵盖转型专项规划、组织现状诊断与分析、职级体系设计、薪酬激励体系搭建、绩效管理体系构建、干部竞聘方案设计以及实施过程中的全程辅导与赋能七大模块，全面推动两家公司深度融合、管理体系优化及战略目标高效落地。</w:t>
      </w:r>
    </w:p>
    <w:p w14:paraId="04B786E9">
      <w:pPr>
        <w:numPr>
          <w:ilvl w:val="0"/>
          <w:numId w:val="4"/>
        </w:numPr>
        <w:adjustRightInd/>
        <w:snapToGrid w:val="0"/>
        <w:spacing w:line="312"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项目需求内容</w:t>
      </w:r>
    </w:p>
    <w:p w14:paraId="0FBF4C33">
      <w:pPr>
        <w:adjustRightInd/>
        <w:snapToGri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本项目需覆盖“整合”与“转型”双重目标，通过专业咨询服务，完成以下内容，确保两家公司顺利整合、平稳过渡，同时支撑采购单位面向科技公司转型的战略落地。</w:t>
      </w:r>
    </w:p>
    <w:p w14:paraId="38DAF2CE">
      <w:pPr>
        <w:adjustRightInd/>
        <w:snapToGrid w:val="0"/>
        <w:spacing w:line="312"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2.1转型专项建议</w:t>
      </w:r>
    </w:p>
    <w:p w14:paraId="42A19E1B">
      <w:pPr>
        <w:adjustRightInd/>
        <w:snapToGri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结合面向科技公司转型的战略设想，提供关于组织建设、人才发展的总体思考以及薪酬绩效创新突破性改革等方面的专项咨询建议和风险评估，确保转型方向正确、路径可行。需明确转型过程中的关键风险点及应对措施，形成专项建议报告。</w:t>
      </w:r>
    </w:p>
    <w:p w14:paraId="4D3B4068">
      <w:pPr>
        <w:adjustRightInd/>
        <w:snapToGrid w:val="0"/>
        <w:spacing w:line="312"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2.2现状诊断与分析</w:t>
      </w:r>
    </w:p>
    <w:p w14:paraId="7522C45F">
      <w:pPr>
        <w:adjustRightInd/>
        <w:snapToGri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全面梳理两家公司现有组织架构、岗位体系、职级序列、薪酬结构、绩效管理等现状，开展系统比对与综合分析，识别整合痛点与转型基础。需形成现状诊断报告，明确梳理出的问题清单、数据对比分析结果及核心痛点总结，为后续体系设计提供充分依据。</w:t>
      </w:r>
    </w:p>
    <w:p w14:paraId="51D4749C">
      <w:pPr>
        <w:adjustRightInd/>
        <w:snapToGrid w:val="0"/>
        <w:spacing w:line="312"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2.3职级体系设计</w:t>
      </w:r>
    </w:p>
    <w:p w14:paraId="5E8A6780">
      <w:pPr>
        <w:adjustRightInd/>
        <w:snapToGri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基于整合后的组织架构，设计统一、规范的职级体系与任职资格标准，打通员工职业发展通道（管理序列、专业技术序列等），确保职级体系明确对应至每个岗位和人员。明确各职级的职责要求、晋升条件及对应岗位范围，实现人员有序融合及清晰发展。</w:t>
      </w:r>
    </w:p>
    <w:p w14:paraId="7EB189BD">
      <w:pPr>
        <w:adjustRightInd/>
        <w:snapToGrid w:val="0"/>
        <w:spacing w:line="312"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2.4薪酬激励体系搭建</w:t>
      </w:r>
    </w:p>
    <w:p w14:paraId="7BFE1B9B">
      <w:pPr>
        <w:adjustRightInd/>
        <w:snapToGri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设计兼顾内部公平性与外部竞争力的一体化薪酬体系，重点解决整合过程中的薪酬套改与平衡问题，融入科技行业激励理念（如项目奖金、创新奖励等）。需输出薪酬体系方案、薪酬套改细则、各岗位薪酬标准表，确保薪酬结构和标准可落实到每个岗位及员工个人，支持创新与绩效导向。</w:t>
      </w:r>
    </w:p>
    <w:p w14:paraId="5E760490">
      <w:pPr>
        <w:adjustRightInd/>
        <w:snapToGrid w:val="0"/>
        <w:spacing w:line="312"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2.5绩效管理体系设计</w:t>
      </w:r>
    </w:p>
    <w:p w14:paraId="709A00DF">
      <w:pPr>
        <w:adjustRightInd/>
        <w:snapToGri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构建目标清晰、响应敏捷、激励有效的绩效管理体系，突出对科技创新、项目孵化、客户价值创造等关键指标的牵引。需输出绩效管理方案、绩效考核指标库、考核流程手册，明确各层级、各岗位的考核周期、考核方式及结果应用机制，支撑战略落地与价值提升。</w:t>
      </w:r>
    </w:p>
    <w:p w14:paraId="5F204ED1">
      <w:pPr>
        <w:adjustRightInd/>
        <w:snapToGrid w:val="0"/>
        <w:spacing w:line="312"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2.6干部竞聘</w:t>
      </w:r>
    </w:p>
    <w:p w14:paraId="757C7FAA">
      <w:pPr>
        <w:adjustRightInd/>
        <w:snapToGri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针对整合后新组织架构中的关键管理岗位，设计公平、公开、公正的干部竞聘实施方案并协助完成实施过程。方案需涵盖竞聘流程、任职标准、评估工具（如笔试题库、面试评分表）、评委组成、纪律监督机制等内容。需协助组织报名、资格审核、测评、面试等环节，输出竞聘结果报告，确保干部选拔工作科学规范、平稳有序，保障组织过渡期稳定与未来领导力。</w:t>
      </w:r>
    </w:p>
    <w:p w14:paraId="443A917F">
      <w:pPr>
        <w:adjustRightInd/>
        <w:snapToGrid w:val="0"/>
        <w:spacing w:line="312"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2.7实施辅导与赋能</w:t>
      </w:r>
    </w:p>
    <w:p w14:paraId="15EC8EFB">
      <w:pPr>
        <w:adjustRightInd/>
        <w:snapToGri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提供全套方案、工具与培训，辅导落地实施。重点协助完成职级套接、薪酬核定等个人层面落地方案；开展面向全体员工的专项培训（如体系解读、操作流程培训）；建立方案落地跟踪机制，及时解决实施过程中的问题，推动理念共识与操作顺畅。需输出培训材料、实施辅导手册、问题解决方案汇总，确保新体系顺畅运行并持续优化。</w:t>
      </w:r>
    </w:p>
    <w:p w14:paraId="2F35DE7E">
      <w:pPr>
        <w:adjustRightInd/>
        <w:snapToGrid w:val="0"/>
        <w:spacing w:line="360" w:lineRule="auto"/>
        <w:rPr>
          <w:rFonts w:hint="eastAsia" w:ascii="仿宋" w:hAnsi="仿宋" w:eastAsia="仿宋" w:cs="仿宋"/>
          <w:b/>
          <w:bCs/>
          <w:sz w:val="24"/>
          <w:szCs w:val="24"/>
          <w:highlight w:val="none"/>
        </w:rPr>
      </w:pPr>
      <w:r>
        <w:rPr>
          <w:rFonts w:hint="eastAsia" w:ascii="仿宋" w:hAnsi="仿宋" w:eastAsia="仿宋" w:cs="仿宋"/>
          <w:kern w:val="2"/>
          <w:sz w:val="22"/>
          <w:szCs w:val="22"/>
          <w:highlight w:val="none"/>
        </w:rPr>
        <w:t>3.</w:t>
      </w:r>
      <w:r>
        <w:rPr>
          <w:rFonts w:hint="eastAsia" w:ascii="仿宋" w:hAnsi="仿宋" w:eastAsia="仿宋" w:cs="仿宋"/>
          <w:b/>
          <w:bCs/>
          <w:sz w:val="24"/>
          <w:szCs w:val="24"/>
          <w:highlight w:val="none"/>
        </w:rPr>
        <w:t>质量要求</w:t>
      </w:r>
    </w:p>
    <w:p w14:paraId="40A5612A">
      <w:pPr>
        <w:adjustRightInd/>
        <w:snapToGri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 所有服务成果需符合相关法律法规及政策要求，确保体系设计合法合规，无法律风险。</w:t>
      </w:r>
    </w:p>
    <w:p w14:paraId="238D567C">
      <w:pPr>
        <w:adjustRightInd/>
        <w:snapToGri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 项目团队需具备丰富的企业整合咨询、科技企业人力资源体系设计经验，能够深入理解行业特点和转型需求，提供切实可行的专业解决方案。</w:t>
      </w:r>
    </w:p>
    <w:p w14:paraId="003B9ECE">
      <w:pPr>
        <w:adjustRightInd/>
        <w:snapToGri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 建立定期沟通机制，及时向采购单位汇报项目进展、反馈问题，积极配合采购单位开展方案研讨、意见征求等工作。</w:t>
      </w:r>
    </w:p>
    <w:p w14:paraId="0A47EA74">
      <w:pPr>
        <w:adjustRightInd/>
        <w:snapToGrid w:val="0"/>
        <w:spacing w:line="312"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 对服务过程中接触到的采购单位商业秘密、员工个人信息等敏感数据严格保密，签订保密协议，确保信息安全。</w:t>
      </w:r>
    </w:p>
    <w:p w14:paraId="03FA1EAA">
      <w:pPr>
        <w:pStyle w:val="4"/>
        <w:adjustRightInd/>
        <w:snapToGrid w:val="0"/>
        <w:spacing w:before="0" w:after="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4.质量保证及售后服务</w:t>
      </w:r>
    </w:p>
    <w:p w14:paraId="2D771C4B">
      <w:pPr>
        <w:adjustRightInd/>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需建立全流程质量管控机制，明确各服务环节的质量标准、审核节点及责任人。项目实施过程中需定期进行质量自查，主动接受采购人监督；若服务成果出现偏差或不符合要求，需在采购人规定期限内无偿整改，直至验收合格。如因供应商方案设计、实施辅导等问题导致新体系运行异常，供应商需在接到采购人通知后48小时内响应，7个工作日内提出解决方案并完成整改。</w:t>
      </w:r>
    </w:p>
    <w:p w14:paraId="4D852AD6">
      <w:pPr>
        <w:pStyle w:val="9"/>
        <w:rPr>
          <w:rFonts w:hint="eastAsia" w:ascii="仿宋" w:hAnsi="仿宋" w:eastAsia="仿宋" w:cs="仿宋"/>
          <w:sz w:val="24"/>
          <w:highlight w:val="none"/>
        </w:rPr>
      </w:pPr>
      <w:r>
        <w:rPr>
          <w:rFonts w:hint="eastAsia" w:ascii="仿宋" w:hAnsi="仿宋" w:eastAsia="仿宋" w:cs="仿宋"/>
          <w:sz w:val="24"/>
          <w:szCs w:val="24"/>
          <w:highlight w:val="none"/>
        </w:rPr>
        <w:t>2、提供7×12小时技术支持服务（含电话、邮件、远程指导等），解答采购人在新体系运行过程中的疑问；对评估体系运行效果，提出优化建议。</w:t>
      </w:r>
    </w:p>
    <w:p w14:paraId="08C93288">
      <w:pPr>
        <w:rPr>
          <w:rFonts w:hint="eastAsia" w:ascii="仿宋" w:hAnsi="仿宋" w:eastAsia="仿宋" w:cs="仿宋"/>
          <w:sz w:val="24"/>
          <w:highlight w:val="none"/>
        </w:rPr>
      </w:pPr>
    </w:p>
    <w:p w14:paraId="29A43644">
      <w:pPr>
        <w:pStyle w:val="9"/>
        <w:rPr>
          <w:rFonts w:hint="eastAsia" w:ascii="仿宋" w:hAnsi="仿宋" w:eastAsia="仿宋" w:cs="仿宋"/>
          <w:sz w:val="24"/>
          <w:highlight w:val="none"/>
        </w:rPr>
      </w:pPr>
    </w:p>
    <w:p w14:paraId="1BC2A4A6">
      <w:pPr>
        <w:rPr>
          <w:rFonts w:hint="eastAsia" w:ascii="仿宋" w:hAnsi="仿宋" w:eastAsia="仿宋" w:cs="仿宋"/>
          <w:sz w:val="24"/>
          <w:highlight w:val="none"/>
        </w:rPr>
      </w:pPr>
    </w:p>
    <w:p w14:paraId="153334E5">
      <w:pPr>
        <w:pStyle w:val="9"/>
        <w:rPr>
          <w:rFonts w:hint="eastAsia" w:ascii="仿宋" w:hAnsi="仿宋" w:eastAsia="仿宋" w:cs="仿宋"/>
          <w:sz w:val="24"/>
          <w:highlight w:val="none"/>
        </w:rPr>
      </w:pPr>
    </w:p>
    <w:p w14:paraId="6880FEB2">
      <w:pPr>
        <w:rPr>
          <w:rFonts w:hint="eastAsia" w:ascii="仿宋" w:hAnsi="仿宋" w:eastAsia="仿宋" w:cs="仿宋"/>
          <w:sz w:val="24"/>
          <w:highlight w:val="none"/>
        </w:rPr>
      </w:pPr>
    </w:p>
    <w:p w14:paraId="37B7D3C6">
      <w:pPr>
        <w:pStyle w:val="9"/>
        <w:rPr>
          <w:rFonts w:hint="eastAsia" w:ascii="仿宋" w:hAnsi="仿宋" w:eastAsia="仿宋" w:cs="仿宋"/>
          <w:sz w:val="24"/>
          <w:highlight w:val="none"/>
        </w:rPr>
      </w:pPr>
    </w:p>
    <w:p w14:paraId="224415FE">
      <w:pPr>
        <w:rPr>
          <w:rFonts w:hint="eastAsia" w:ascii="仿宋" w:hAnsi="仿宋" w:eastAsia="仿宋" w:cs="仿宋"/>
          <w:sz w:val="24"/>
          <w:highlight w:val="none"/>
        </w:rPr>
      </w:pPr>
    </w:p>
    <w:p w14:paraId="290C7A8E">
      <w:pPr>
        <w:rPr>
          <w:rFonts w:hint="eastAsia" w:ascii="仿宋" w:hAnsi="仿宋" w:eastAsia="仿宋" w:cs="仿宋"/>
          <w:sz w:val="24"/>
          <w:highlight w:val="none"/>
        </w:rPr>
      </w:pPr>
    </w:p>
    <w:p w14:paraId="5EC665C9">
      <w:pPr>
        <w:rPr>
          <w:rFonts w:hint="eastAsia" w:ascii="仿宋" w:hAnsi="仿宋" w:eastAsia="仿宋" w:cs="仿宋"/>
          <w:sz w:val="24"/>
          <w:highlight w:val="none"/>
        </w:rPr>
      </w:pPr>
    </w:p>
    <w:p w14:paraId="7C3BC5CE">
      <w:pPr>
        <w:rPr>
          <w:rFonts w:hint="eastAsia" w:ascii="仿宋" w:hAnsi="仿宋" w:eastAsia="仿宋" w:cs="仿宋"/>
          <w:highlight w:val="none"/>
        </w:rPr>
      </w:pPr>
    </w:p>
    <w:p w14:paraId="1C205E5C">
      <w:pPr>
        <w:rPr>
          <w:rFonts w:hint="eastAsia" w:ascii="仿宋" w:hAnsi="仿宋" w:eastAsia="仿宋" w:cs="仿宋"/>
          <w:sz w:val="24"/>
          <w:highlight w:val="none"/>
        </w:rPr>
      </w:pPr>
    </w:p>
    <w:p w14:paraId="20D09FE7">
      <w:pPr>
        <w:pStyle w:val="9"/>
        <w:rPr>
          <w:rFonts w:hint="eastAsia" w:ascii="仿宋" w:hAnsi="仿宋" w:eastAsia="仿宋" w:cs="仿宋"/>
          <w:sz w:val="24"/>
          <w:highlight w:val="none"/>
        </w:rPr>
      </w:pPr>
    </w:p>
    <w:p w14:paraId="7E932865">
      <w:pPr>
        <w:rPr>
          <w:rFonts w:hint="eastAsia" w:ascii="仿宋" w:hAnsi="仿宋" w:eastAsia="仿宋" w:cs="仿宋"/>
          <w:sz w:val="24"/>
          <w:highlight w:val="none"/>
        </w:rPr>
      </w:pPr>
    </w:p>
    <w:p w14:paraId="6E81B5D5">
      <w:pPr>
        <w:pStyle w:val="9"/>
        <w:rPr>
          <w:rFonts w:hint="eastAsia" w:ascii="仿宋" w:hAnsi="仿宋" w:eastAsia="仿宋" w:cs="仿宋"/>
          <w:sz w:val="24"/>
          <w:highlight w:val="none"/>
        </w:rPr>
      </w:pPr>
    </w:p>
    <w:p w14:paraId="01299210">
      <w:pPr>
        <w:rPr>
          <w:rFonts w:hint="eastAsia" w:ascii="仿宋" w:hAnsi="仿宋" w:eastAsia="仿宋" w:cs="仿宋"/>
          <w:sz w:val="24"/>
          <w:highlight w:val="none"/>
        </w:rPr>
      </w:pPr>
    </w:p>
    <w:p w14:paraId="32D50FA8">
      <w:pPr>
        <w:rPr>
          <w:rFonts w:hint="eastAsia" w:ascii="仿宋" w:hAnsi="仿宋" w:eastAsia="仿宋" w:cs="仿宋"/>
          <w:highlight w:val="none"/>
        </w:rPr>
      </w:pPr>
    </w:p>
    <w:p w14:paraId="32C68171">
      <w:pPr>
        <w:pStyle w:val="2"/>
        <w:keepNext w:val="0"/>
        <w:keepLines w:val="0"/>
        <w:tabs>
          <w:tab w:val="left" w:pos="0"/>
        </w:tabs>
        <w:wordWrap w:val="0"/>
        <w:autoSpaceDE w:val="0"/>
        <w:autoSpaceDN w:val="0"/>
        <w:snapToGrid w:val="0"/>
        <w:spacing w:before="0" w:after="0" w:line="288" w:lineRule="auto"/>
        <w:jc w:val="center"/>
        <w:rPr>
          <w:rFonts w:hint="eastAsia" w:ascii="仿宋" w:hAnsi="仿宋" w:eastAsia="仿宋" w:cs="仿宋"/>
          <w:kern w:val="0"/>
          <w:sz w:val="36"/>
          <w:szCs w:val="36"/>
          <w:highlight w:val="none"/>
        </w:rPr>
      </w:pPr>
      <w:bookmarkStart w:id="482" w:name="_Toc17859"/>
      <w:r>
        <w:rPr>
          <w:rFonts w:hint="eastAsia" w:ascii="仿宋" w:hAnsi="仿宋" w:eastAsia="仿宋" w:cs="仿宋"/>
          <w:kern w:val="0"/>
          <w:sz w:val="36"/>
          <w:szCs w:val="36"/>
          <w:highlight w:val="none"/>
        </w:rPr>
        <w:t>第六章  比选申请文件格式</w:t>
      </w:r>
      <w:bookmarkEnd w:id="480"/>
      <w:bookmarkEnd w:id="481"/>
      <w:bookmarkEnd w:id="482"/>
    </w:p>
    <w:p w14:paraId="04609021">
      <w:pPr>
        <w:jc w:val="center"/>
        <w:rPr>
          <w:rFonts w:hint="eastAsia" w:ascii="仿宋" w:hAnsi="仿宋" w:eastAsia="仿宋" w:cs="仿宋"/>
          <w:b/>
          <w:bCs/>
          <w:sz w:val="24"/>
          <w:highlight w:val="none"/>
        </w:rPr>
      </w:pPr>
    </w:p>
    <w:p w14:paraId="0785E313">
      <w:pPr>
        <w:jc w:val="center"/>
        <w:rPr>
          <w:rFonts w:hint="eastAsia" w:ascii="仿宋" w:hAnsi="仿宋" w:eastAsia="仿宋" w:cs="仿宋"/>
          <w:b/>
          <w:bCs/>
          <w:sz w:val="24"/>
          <w:highlight w:val="none"/>
        </w:rPr>
      </w:pPr>
    </w:p>
    <w:p w14:paraId="3664F7A7">
      <w:pPr>
        <w:jc w:val="center"/>
        <w:rPr>
          <w:rFonts w:hint="eastAsia" w:ascii="仿宋" w:hAnsi="仿宋" w:eastAsia="仿宋" w:cs="仿宋"/>
          <w:b/>
          <w:bCs/>
          <w:sz w:val="24"/>
          <w:highlight w:val="none"/>
        </w:rPr>
      </w:pPr>
    </w:p>
    <w:p w14:paraId="5A7D9626">
      <w:pPr>
        <w:jc w:val="center"/>
        <w:rPr>
          <w:rFonts w:hint="eastAsia" w:ascii="仿宋" w:hAnsi="仿宋" w:eastAsia="仿宋" w:cs="仿宋"/>
          <w:b/>
          <w:bCs/>
          <w:sz w:val="24"/>
          <w:highlight w:val="none"/>
        </w:rPr>
      </w:pPr>
    </w:p>
    <w:p w14:paraId="1EF6151C">
      <w:pPr>
        <w:jc w:val="center"/>
        <w:rPr>
          <w:rFonts w:hint="eastAsia" w:ascii="仿宋" w:hAnsi="仿宋" w:eastAsia="仿宋" w:cs="仿宋"/>
          <w:b/>
          <w:bCs/>
          <w:sz w:val="24"/>
          <w:highlight w:val="none"/>
        </w:rPr>
      </w:pPr>
    </w:p>
    <w:p w14:paraId="61949CD3">
      <w:pPr>
        <w:jc w:val="center"/>
        <w:rPr>
          <w:rFonts w:hint="eastAsia" w:ascii="仿宋" w:hAnsi="仿宋" w:eastAsia="仿宋" w:cs="仿宋"/>
          <w:b/>
          <w:bCs/>
          <w:sz w:val="24"/>
          <w:highlight w:val="none"/>
        </w:rPr>
      </w:pPr>
    </w:p>
    <w:p w14:paraId="1D5139B3">
      <w:pPr>
        <w:jc w:val="center"/>
        <w:rPr>
          <w:rFonts w:hint="eastAsia" w:ascii="仿宋" w:hAnsi="仿宋" w:eastAsia="仿宋" w:cs="仿宋"/>
          <w:b/>
          <w:bCs/>
          <w:sz w:val="24"/>
          <w:highlight w:val="none"/>
        </w:rPr>
      </w:pPr>
    </w:p>
    <w:p w14:paraId="501F42D8">
      <w:pPr>
        <w:jc w:val="center"/>
        <w:rPr>
          <w:rFonts w:hint="eastAsia" w:ascii="仿宋" w:hAnsi="仿宋" w:eastAsia="仿宋" w:cs="仿宋"/>
          <w:b/>
          <w:bCs/>
          <w:sz w:val="24"/>
          <w:highlight w:val="none"/>
        </w:rPr>
      </w:pPr>
    </w:p>
    <w:p w14:paraId="5A5448DC">
      <w:pPr>
        <w:jc w:val="center"/>
        <w:rPr>
          <w:rFonts w:hint="eastAsia" w:ascii="仿宋" w:hAnsi="仿宋" w:eastAsia="仿宋" w:cs="仿宋"/>
          <w:b/>
          <w:bCs/>
          <w:sz w:val="24"/>
          <w:highlight w:val="none"/>
        </w:rPr>
      </w:pPr>
    </w:p>
    <w:p w14:paraId="6E7C0B71">
      <w:pPr>
        <w:jc w:val="center"/>
        <w:rPr>
          <w:rFonts w:hint="eastAsia" w:ascii="仿宋" w:hAnsi="仿宋" w:eastAsia="仿宋" w:cs="仿宋"/>
          <w:b/>
          <w:bCs/>
          <w:sz w:val="24"/>
          <w:highlight w:val="none"/>
        </w:rPr>
      </w:pPr>
    </w:p>
    <w:p w14:paraId="27CFE0FE">
      <w:pPr>
        <w:jc w:val="center"/>
        <w:rPr>
          <w:rFonts w:hint="eastAsia" w:ascii="仿宋" w:hAnsi="仿宋" w:eastAsia="仿宋" w:cs="仿宋"/>
          <w:b/>
          <w:bCs/>
          <w:sz w:val="24"/>
          <w:highlight w:val="none"/>
        </w:rPr>
      </w:pPr>
    </w:p>
    <w:p w14:paraId="6CF73C53">
      <w:pPr>
        <w:jc w:val="center"/>
        <w:rPr>
          <w:rFonts w:hint="eastAsia" w:ascii="仿宋" w:hAnsi="仿宋" w:eastAsia="仿宋" w:cs="仿宋"/>
          <w:b/>
          <w:bCs/>
          <w:sz w:val="24"/>
          <w:highlight w:val="none"/>
        </w:rPr>
      </w:pPr>
    </w:p>
    <w:p w14:paraId="63D22400">
      <w:pPr>
        <w:jc w:val="center"/>
        <w:rPr>
          <w:rFonts w:hint="eastAsia" w:ascii="仿宋" w:hAnsi="仿宋" w:eastAsia="仿宋" w:cs="仿宋"/>
          <w:b/>
          <w:bCs/>
          <w:sz w:val="24"/>
          <w:highlight w:val="none"/>
        </w:rPr>
      </w:pPr>
    </w:p>
    <w:p w14:paraId="0FBC0AEA">
      <w:pPr>
        <w:jc w:val="center"/>
        <w:rPr>
          <w:rFonts w:hint="eastAsia" w:ascii="仿宋" w:hAnsi="仿宋" w:eastAsia="仿宋" w:cs="仿宋"/>
          <w:b/>
          <w:bCs/>
          <w:sz w:val="24"/>
          <w:highlight w:val="none"/>
        </w:rPr>
      </w:pPr>
    </w:p>
    <w:p w14:paraId="3BFB7099">
      <w:pPr>
        <w:jc w:val="center"/>
        <w:rPr>
          <w:rFonts w:hint="eastAsia" w:ascii="仿宋" w:hAnsi="仿宋" w:eastAsia="仿宋" w:cs="仿宋"/>
          <w:b/>
          <w:bCs/>
          <w:sz w:val="24"/>
          <w:highlight w:val="none"/>
        </w:rPr>
      </w:pPr>
    </w:p>
    <w:p w14:paraId="381B8343">
      <w:pPr>
        <w:jc w:val="center"/>
        <w:rPr>
          <w:rFonts w:hint="eastAsia" w:ascii="仿宋" w:hAnsi="仿宋" w:eastAsia="仿宋" w:cs="仿宋"/>
          <w:b/>
          <w:bCs/>
          <w:sz w:val="24"/>
          <w:highlight w:val="none"/>
        </w:rPr>
      </w:pPr>
    </w:p>
    <w:p w14:paraId="1287677A">
      <w:pPr>
        <w:jc w:val="center"/>
        <w:rPr>
          <w:rFonts w:hint="eastAsia" w:ascii="仿宋" w:hAnsi="仿宋" w:eastAsia="仿宋" w:cs="仿宋"/>
          <w:b/>
          <w:bCs/>
          <w:sz w:val="24"/>
          <w:highlight w:val="none"/>
        </w:rPr>
      </w:pPr>
    </w:p>
    <w:p w14:paraId="6F996765">
      <w:pPr>
        <w:jc w:val="center"/>
        <w:rPr>
          <w:rFonts w:hint="eastAsia" w:ascii="仿宋" w:hAnsi="仿宋" w:eastAsia="仿宋" w:cs="仿宋"/>
          <w:b/>
          <w:bCs/>
          <w:sz w:val="24"/>
          <w:highlight w:val="none"/>
        </w:rPr>
      </w:pPr>
    </w:p>
    <w:p w14:paraId="6B2070BF">
      <w:pPr>
        <w:jc w:val="center"/>
        <w:rPr>
          <w:rFonts w:hint="eastAsia" w:ascii="仿宋" w:hAnsi="仿宋" w:eastAsia="仿宋" w:cs="仿宋"/>
          <w:b/>
          <w:bCs/>
          <w:sz w:val="24"/>
          <w:highlight w:val="none"/>
        </w:rPr>
      </w:pPr>
    </w:p>
    <w:p w14:paraId="56922E52">
      <w:pPr>
        <w:jc w:val="center"/>
        <w:rPr>
          <w:rFonts w:hint="eastAsia" w:ascii="仿宋" w:hAnsi="仿宋" w:eastAsia="仿宋" w:cs="仿宋"/>
          <w:b/>
          <w:bCs/>
          <w:sz w:val="24"/>
          <w:highlight w:val="none"/>
        </w:rPr>
      </w:pPr>
    </w:p>
    <w:p w14:paraId="4107DF06">
      <w:pPr>
        <w:jc w:val="center"/>
        <w:rPr>
          <w:rFonts w:hint="eastAsia" w:ascii="仿宋" w:hAnsi="仿宋" w:eastAsia="仿宋" w:cs="仿宋"/>
          <w:b/>
          <w:bCs/>
          <w:sz w:val="24"/>
          <w:highlight w:val="none"/>
        </w:rPr>
      </w:pPr>
    </w:p>
    <w:p w14:paraId="6603BDD9">
      <w:pPr>
        <w:jc w:val="center"/>
        <w:rPr>
          <w:rFonts w:hint="eastAsia" w:ascii="仿宋" w:hAnsi="仿宋" w:eastAsia="仿宋" w:cs="仿宋"/>
          <w:b/>
          <w:bCs/>
          <w:sz w:val="24"/>
          <w:highlight w:val="none"/>
        </w:rPr>
      </w:pPr>
    </w:p>
    <w:p w14:paraId="3897116A">
      <w:pPr>
        <w:jc w:val="center"/>
        <w:rPr>
          <w:rFonts w:hint="eastAsia" w:ascii="仿宋" w:hAnsi="仿宋" w:eastAsia="仿宋" w:cs="仿宋"/>
          <w:b/>
          <w:bCs/>
          <w:sz w:val="24"/>
          <w:highlight w:val="none"/>
        </w:rPr>
      </w:pPr>
    </w:p>
    <w:p w14:paraId="1683D259">
      <w:pPr>
        <w:jc w:val="center"/>
        <w:rPr>
          <w:rFonts w:hint="eastAsia" w:ascii="仿宋" w:hAnsi="仿宋" w:eastAsia="仿宋" w:cs="仿宋"/>
          <w:b/>
          <w:bCs/>
          <w:sz w:val="24"/>
          <w:highlight w:val="none"/>
        </w:rPr>
      </w:pPr>
    </w:p>
    <w:p w14:paraId="5A2954B5">
      <w:pPr>
        <w:jc w:val="center"/>
        <w:rPr>
          <w:rFonts w:hint="eastAsia" w:ascii="仿宋" w:hAnsi="仿宋" w:eastAsia="仿宋" w:cs="仿宋"/>
          <w:b/>
          <w:bCs/>
          <w:sz w:val="24"/>
          <w:highlight w:val="none"/>
        </w:rPr>
      </w:pPr>
    </w:p>
    <w:p w14:paraId="7EA37C51">
      <w:pPr>
        <w:jc w:val="center"/>
        <w:rPr>
          <w:rFonts w:hint="eastAsia" w:ascii="仿宋" w:hAnsi="仿宋" w:eastAsia="仿宋" w:cs="仿宋"/>
          <w:b/>
          <w:bCs/>
          <w:sz w:val="24"/>
          <w:highlight w:val="none"/>
        </w:rPr>
      </w:pPr>
    </w:p>
    <w:p w14:paraId="60E52416">
      <w:pPr>
        <w:jc w:val="center"/>
        <w:rPr>
          <w:rFonts w:hint="eastAsia" w:ascii="仿宋" w:hAnsi="仿宋" w:eastAsia="仿宋" w:cs="仿宋"/>
          <w:b/>
          <w:bCs/>
          <w:sz w:val="24"/>
          <w:highlight w:val="none"/>
        </w:rPr>
      </w:pPr>
    </w:p>
    <w:p w14:paraId="51A65927">
      <w:pPr>
        <w:jc w:val="center"/>
        <w:rPr>
          <w:rFonts w:hint="eastAsia" w:ascii="仿宋" w:hAnsi="仿宋" w:eastAsia="仿宋" w:cs="仿宋"/>
          <w:b/>
          <w:bCs/>
          <w:sz w:val="24"/>
          <w:highlight w:val="none"/>
        </w:rPr>
      </w:pPr>
    </w:p>
    <w:p w14:paraId="75B6FBFD">
      <w:pPr>
        <w:jc w:val="center"/>
        <w:rPr>
          <w:rFonts w:hint="eastAsia" w:ascii="仿宋" w:hAnsi="仿宋" w:eastAsia="仿宋" w:cs="仿宋"/>
          <w:b/>
          <w:bCs/>
          <w:sz w:val="24"/>
          <w:highlight w:val="none"/>
        </w:rPr>
      </w:pPr>
    </w:p>
    <w:p w14:paraId="07EE1C6A">
      <w:pPr>
        <w:jc w:val="center"/>
        <w:rPr>
          <w:rFonts w:hint="eastAsia" w:ascii="仿宋" w:hAnsi="仿宋" w:eastAsia="仿宋" w:cs="仿宋"/>
          <w:b/>
          <w:bCs/>
          <w:sz w:val="24"/>
          <w:highlight w:val="none"/>
        </w:rPr>
      </w:pPr>
    </w:p>
    <w:p w14:paraId="54C4B997">
      <w:pPr>
        <w:jc w:val="center"/>
        <w:rPr>
          <w:rFonts w:hint="eastAsia" w:ascii="仿宋" w:hAnsi="仿宋" w:eastAsia="仿宋" w:cs="仿宋"/>
          <w:b/>
          <w:bCs/>
          <w:sz w:val="24"/>
          <w:highlight w:val="none"/>
        </w:rPr>
      </w:pPr>
    </w:p>
    <w:p w14:paraId="1A10C0B5">
      <w:pPr>
        <w:jc w:val="center"/>
        <w:rPr>
          <w:rFonts w:hint="eastAsia" w:ascii="仿宋" w:hAnsi="仿宋" w:eastAsia="仿宋" w:cs="仿宋"/>
          <w:b/>
          <w:bCs/>
          <w:sz w:val="24"/>
          <w:highlight w:val="none"/>
        </w:rPr>
      </w:pPr>
    </w:p>
    <w:p w14:paraId="0FBD93FB">
      <w:pPr>
        <w:jc w:val="center"/>
        <w:rPr>
          <w:rFonts w:hint="eastAsia" w:ascii="仿宋" w:hAnsi="仿宋" w:eastAsia="仿宋" w:cs="仿宋"/>
          <w:b/>
          <w:bCs/>
          <w:sz w:val="24"/>
          <w:highlight w:val="none"/>
        </w:rPr>
      </w:pPr>
    </w:p>
    <w:p w14:paraId="76E2CECF">
      <w:pPr>
        <w:jc w:val="center"/>
        <w:rPr>
          <w:rFonts w:hint="eastAsia" w:ascii="仿宋" w:hAnsi="仿宋" w:eastAsia="仿宋" w:cs="仿宋"/>
          <w:b/>
          <w:bCs/>
          <w:sz w:val="24"/>
          <w:highlight w:val="none"/>
        </w:rPr>
      </w:pPr>
    </w:p>
    <w:p w14:paraId="7624D81A">
      <w:pPr>
        <w:jc w:val="center"/>
        <w:rPr>
          <w:rFonts w:hint="eastAsia" w:ascii="仿宋" w:hAnsi="仿宋" w:eastAsia="仿宋" w:cs="仿宋"/>
          <w:b/>
          <w:bCs/>
          <w:sz w:val="24"/>
          <w:highlight w:val="none"/>
        </w:rPr>
      </w:pPr>
    </w:p>
    <w:p w14:paraId="7E8355DA">
      <w:pPr>
        <w:jc w:val="center"/>
        <w:rPr>
          <w:rFonts w:hint="eastAsia" w:ascii="仿宋" w:hAnsi="仿宋" w:eastAsia="仿宋" w:cs="仿宋"/>
          <w:b/>
          <w:bCs/>
          <w:sz w:val="24"/>
          <w:highlight w:val="none"/>
        </w:rPr>
      </w:pPr>
    </w:p>
    <w:p w14:paraId="0F818881">
      <w:pPr>
        <w:jc w:val="center"/>
        <w:rPr>
          <w:rFonts w:hint="eastAsia" w:ascii="仿宋" w:hAnsi="仿宋" w:eastAsia="仿宋" w:cs="仿宋"/>
          <w:b/>
          <w:bCs/>
          <w:szCs w:val="40"/>
          <w:highlight w:val="none"/>
        </w:rPr>
      </w:pPr>
      <w:r>
        <w:rPr>
          <w:rFonts w:hint="eastAsia" w:ascii="仿宋" w:hAnsi="仿宋" w:eastAsia="仿宋" w:cs="仿宋"/>
          <w:b/>
          <w:bCs/>
          <w:szCs w:val="40"/>
          <w:highlight w:val="none"/>
        </w:rPr>
        <w:t>目    录</w:t>
      </w:r>
    </w:p>
    <w:p w14:paraId="775E7D86">
      <w:pPr>
        <w:autoSpaceDE w:val="0"/>
        <w:autoSpaceDN w:val="0"/>
        <w:snapToGrid w:val="0"/>
        <w:spacing w:line="360" w:lineRule="auto"/>
        <w:jc w:val="left"/>
        <w:rPr>
          <w:rFonts w:hint="eastAsia" w:ascii="仿宋" w:hAnsi="仿宋" w:eastAsia="仿宋" w:cs="仿宋"/>
          <w:b/>
          <w:sz w:val="24"/>
          <w:highlight w:val="none"/>
        </w:rPr>
      </w:pPr>
    </w:p>
    <w:p w14:paraId="7F027483">
      <w:pPr>
        <w:autoSpaceDE w:val="0"/>
        <w:autoSpaceDN w:val="0"/>
        <w:snapToGrid w:val="0"/>
        <w:spacing w:line="360" w:lineRule="auto"/>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一、比选申请函部分</w:t>
      </w:r>
    </w:p>
    <w:p w14:paraId="1C3CC917">
      <w:pPr>
        <w:autoSpaceDE w:val="0"/>
        <w:autoSpaceDN w:val="0"/>
        <w:spacing w:line="360" w:lineRule="auto"/>
        <w:ind w:right="-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（一）比选申请函</w:t>
      </w:r>
    </w:p>
    <w:p w14:paraId="62FB48CD">
      <w:pPr>
        <w:autoSpaceDE w:val="0"/>
        <w:autoSpaceDN w:val="0"/>
        <w:spacing w:line="360" w:lineRule="auto"/>
        <w:ind w:right="-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（二）法定代表人身份证明或附有法定代表人身份证明的授权委托书</w:t>
      </w:r>
    </w:p>
    <w:p w14:paraId="5D24CB52">
      <w:pPr>
        <w:autoSpaceDE w:val="0"/>
        <w:autoSpaceDN w:val="0"/>
        <w:snapToGrid w:val="0"/>
        <w:spacing w:line="360" w:lineRule="auto"/>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二、商务部分</w:t>
      </w:r>
    </w:p>
    <w:p w14:paraId="6798E360">
      <w:pPr>
        <w:autoSpaceDE w:val="0"/>
        <w:autoSpaceDN w:val="0"/>
        <w:snapToGrid w:val="0"/>
        <w:spacing w:line="360" w:lineRule="auto"/>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三、技术部分</w:t>
      </w:r>
    </w:p>
    <w:p w14:paraId="6F57CADD">
      <w:pPr>
        <w:autoSpaceDE w:val="0"/>
        <w:autoSpaceDN w:val="0"/>
        <w:spacing w:line="360" w:lineRule="auto"/>
        <w:ind w:right="-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技术方案</w:t>
      </w:r>
    </w:p>
    <w:p w14:paraId="160E7D32">
      <w:pPr>
        <w:autoSpaceDE w:val="0"/>
        <w:autoSpaceDN w:val="0"/>
        <w:snapToGrid w:val="0"/>
        <w:spacing w:line="360" w:lineRule="auto"/>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四、资格审查部分</w:t>
      </w:r>
    </w:p>
    <w:p w14:paraId="44E592D9">
      <w:pPr>
        <w:tabs>
          <w:tab w:val="left" w:pos="2000"/>
          <w:tab w:val="left" w:pos="5580"/>
          <w:tab w:val="left" w:pos="6220"/>
          <w:tab w:val="left" w:pos="6840"/>
          <w:tab w:val="left" w:pos="7460"/>
          <w:tab w:val="left" w:pos="8100"/>
        </w:tabs>
        <w:autoSpaceDE w:val="0"/>
        <w:autoSpaceDN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（一）比选申请人基本情况表；</w:t>
      </w:r>
    </w:p>
    <w:p w14:paraId="363F64B3">
      <w:pPr>
        <w:tabs>
          <w:tab w:val="left" w:pos="2000"/>
          <w:tab w:val="left" w:pos="5580"/>
          <w:tab w:val="left" w:pos="6220"/>
          <w:tab w:val="left" w:pos="6840"/>
          <w:tab w:val="left" w:pos="7460"/>
          <w:tab w:val="left" w:pos="8100"/>
        </w:tabs>
        <w:autoSpaceDE w:val="0"/>
        <w:autoSpaceDN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（二）项目管理机构组成表；</w:t>
      </w:r>
    </w:p>
    <w:p w14:paraId="39070703">
      <w:pPr>
        <w:tabs>
          <w:tab w:val="left" w:pos="2000"/>
          <w:tab w:val="left" w:pos="5580"/>
          <w:tab w:val="left" w:pos="6220"/>
          <w:tab w:val="left" w:pos="6840"/>
          <w:tab w:val="left" w:pos="7460"/>
          <w:tab w:val="left" w:pos="8100"/>
        </w:tabs>
        <w:autoSpaceDE w:val="0"/>
        <w:autoSpaceDN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（三）项目主要管理人员简历表；</w:t>
      </w:r>
    </w:p>
    <w:p w14:paraId="5DA4CBB7">
      <w:pPr>
        <w:tabs>
          <w:tab w:val="left" w:pos="2000"/>
          <w:tab w:val="left" w:pos="5580"/>
          <w:tab w:val="left" w:pos="6220"/>
          <w:tab w:val="left" w:pos="6840"/>
          <w:tab w:val="left" w:pos="7460"/>
          <w:tab w:val="left" w:pos="8100"/>
        </w:tabs>
        <w:autoSpaceDE w:val="0"/>
        <w:autoSpaceDN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（四）信誉要求</w:t>
      </w:r>
    </w:p>
    <w:p w14:paraId="16280C37">
      <w:pPr>
        <w:tabs>
          <w:tab w:val="left" w:pos="2000"/>
          <w:tab w:val="left" w:pos="5580"/>
          <w:tab w:val="left" w:pos="6220"/>
          <w:tab w:val="left" w:pos="6840"/>
          <w:tab w:val="left" w:pos="7460"/>
          <w:tab w:val="left" w:pos="8100"/>
        </w:tabs>
        <w:autoSpaceDE w:val="0"/>
        <w:autoSpaceDN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（五）其他资料</w:t>
      </w:r>
    </w:p>
    <w:p w14:paraId="19696091">
      <w:pPr>
        <w:tabs>
          <w:tab w:val="left" w:pos="2000"/>
          <w:tab w:val="left" w:pos="5580"/>
          <w:tab w:val="left" w:pos="6220"/>
          <w:tab w:val="left" w:pos="6840"/>
          <w:tab w:val="left" w:pos="7460"/>
          <w:tab w:val="left" w:pos="8100"/>
        </w:tabs>
        <w:autoSpaceDE w:val="0"/>
        <w:autoSpaceDN w:val="0"/>
        <w:snapToGrid w:val="0"/>
        <w:spacing w:line="360" w:lineRule="auto"/>
        <w:jc w:val="center"/>
        <w:outlineLvl w:val="1"/>
        <w:rPr>
          <w:rFonts w:hint="eastAsia" w:ascii="仿宋" w:hAnsi="仿宋" w:eastAsia="仿宋" w:cs="仿宋"/>
          <w:b/>
          <w:bCs/>
          <w:highlight w:val="none"/>
        </w:rPr>
      </w:pPr>
      <w:bookmarkStart w:id="483" w:name="_Toc492244549"/>
      <w:bookmarkStart w:id="484" w:name="_Toc430206086"/>
      <w:r>
        <w:rPr>
          <w:rFonts w:hint="eastAsia" w:ascii="仿宋" w:hAnsi="仿宋" w:eastAsia="仿宋" w:cs="仿宋"/>
          <w:highlight w:val="none"/>
        </w:rPr>
        <w:br w:type="page"/>
      </w:r>
      <w:bookmarkStart w:id="485" w:name="_Toc5345"/>
      <w:bookmarkStart w:id="486" w:name="_Toc28288"/>
      <w:bookmarkStart w:id="487" w:name="_Toc13051"/>
      <w:r>
        <w:rPr>
          <w:rFonts w:hint="eastAsia" w:ascii="仿宋" w:hAnsi="仿宋" w:eastAsia="仿宋" w:cs="仿宋"/>
          <w:sz w:val="44"/>
          <w:szCs w:val="44"/>
          <w:highlight w:val="none"/>
        </w:rPr>
        <w:t>一、比选申请函部分</w:t>
      </w:r>
      <w:bookmarkEnd w:id="483"/>
      <w:bookmarkEnd w:id="484"/>
      <w:bookmarkEnd w:id="485"/>
      <w:bookmarkEnd w:id="486"/>
      <w:bookmarkEnd w:id="487"/>
    </w:p>
    <w:p w14:paraId="7AAA5232">
      <w:pPr>
        <w:adjustRightInd/>
        <w:spacing w:line="360" w:lineRule="auto"/>
        <w:jc w:val="center"/>
        <w:rPr>
          <w:rFonts w:hint="eastAsia" w:ascii="仿宋" w:hAnsi="仿宋" w:eastAsia="仿宋" w:cs="仿宋"/>
          <w:highlight w:val="none"/>
        </w:rPr>
      </w:pPr>
      <w:r>
        <w:rPr>
          <w:rFonts w:hint="eastAsia" w:ascii="仿宋" w:hAnsi="仿宋" w:eastAsia="仿宋" w:cs="仿宋"/>
          <w:b/>
          <w:sz w:val="28"/>
          <w:szCs w:val="28"/>
          <w:highlight w:val="none"/>
          <w:u w:val="single"/>
        </w:rPr>
        <w:br w:type="page"/>
      </w:r>
      <w:r>
        <w:rPr>
          <w:rFonts w:hint="eastAsia" w:ascii="仿宋" w:hAnsi="仿宋" w:eastAsia="仿宋" w:cs="仿宋"/>
          <w:highlight w:val="none"/>
          <w:u w:val="single"/>
        </w:rPr>
        <w:t xml:space="preserve">                   （项目名称）</w:t>
      </w:r>
    </w:p>
    <w:p w14:paraId="732038DA">
      <w:pPr>
        <w:tabs>
          <w:tab w:val="left" w:pos="3600"/>
          <w:tab w:val="left" w:pos="4480"/>
          <w:tab w:val="left" w:pos="5360"/>
        </w:tabs>
        <w:autoSpaceDE w:val="0"/>
        <w:autoSpaceDN w:val="0"/>
        <w:snapToGrid w:val="0"/>
        <w:spacing w:line="360" w:lineRule="auto"/>
        <w:jc w:val="left"/>
        <w:rPr>
          <w:rFonts w:hint="eastAsia" w:ascii="仿宋" w:hAnsi="仿宋" w:eastAsia="仿宋" w:cs="仿宋"/>
          <w:sz w:val="44"/>
          <w:szCs w:val="44"/>
          <w:highlight w:val="none"/>
        </w:rPr>
      </w:pPr>
    </w:p>
    <w:p w14:paraId="36320A97">
      <w:pPr>
        <w:tabs>
          <w:tab w:val="left" w:pos="3600"/>
          <w:tab w:val="left" w:pos="4480"/>
          <w:tab w:val="left" w:pos="5360"/>
        </w:tabs>
        <w:autoSpaceDE w:val="0"/>
        <w:autoSpaceDN w:val="0"/>
        <w:snapToGrid w:val="0"/>
        <w:spacing w:line="360" w:lineRule="auto"/>
        <w:jc w:val="left"/>
        <w:rPr>
          <w:rFonts w:hint="eastAsia" w:ascii="仿宋" w:hAnsi="仿宋" w:eastAsia="仿宋" w:cs="仿宋"/>
          <w:sz w:val="44"/>
          <w:szCs w:val="44"/>
          <w:highlight w:val="none"/>
        </w:rPr>
      </w:pPr>
    </w:p>
    <w:p w14:paraId="38CD2563">
      <w:pPr>
        <w:tabs>
          <w:tab w:val="left" w:pos="3600"/>
          <w:tab w:val="left" w:pos="4480"/>
          <w:tab w:val="left" w:pos="5360"/>
        </w:tabs>
        <w:autoSpaceDE w:val="0"/>
        <w:autoSpaceDN w:val="0"/>
        <w:snapToGrid w:val="0"/>
        <w:spacing w:line="360" w:lineRule="auto"/>
        <w:jc w:val="left"/>
        <w:rPr>
          <w:rFonts w:hint="eastAsia" w:ascii="仿宋" w:hAnsi="仿宋" w:eastAsia="仿宋" w:cs="仿宋"/>
          <w:sz w:val="44"/>
          <w:szCs w:val="44"/>
          <w:highlight w:val="none"/>
        </w:rPr>
      </w:pPr>
    </w:p>
    <w:p w14:paraId="31201B56">
      <w:pPr>
        <w:tabs>
          <w:tab w:val="left" w:pos="3600"/>
          <w:tab w:val="left" w:pos="4480"/>
          <w:tab w:val="left" w:pos="5360"/>
        </w:tabs>
        <w:autoSpaceDE w:val="0"/>
        <w:autoSpaceDN w:val="0"/>
        <w:snapToGrid w:val="0"/>
        <w:spacing w:line="360" w:lineRule="auto"/>
        <w:jc w:val="left"/>
        <w:rPr>
          <w:rFonts w:hint="eastAsia" w:ascii="仿宋" w:hAnsi="仿宋" w:eastAsia="仿宋" w:cs="仿宋"/>
          <w:sz w:val="44"/>
          <w:szCs w:val="44"/>
          <w:highlight w:val="none"/>
        </w:rPr>
      </w:pPr>
    </w:p>
    <w:p w14:paraId="37C579F3">
      <w:pPr>
        <w:tabs>
          <w:tab w:val="left" w:pos="3600"/>
          <w:tab w:val="left" w:pos="4480"/>
          <w:tab w:val="left" w:pos="5360"/>
        </w:tabs>
        <w:autoSpaceDE w:val="0"/>
        <w:autoSpaceDN w:val="0"/>
        <w:snapToGrid w:val="0"/>
        <w:spacing w:line="360" w:lineRule="auto"/>
        <w:jc w:val="left"/>
        <w:rPr>
          <w:rFonts w:hint="eastAsia" w:ascii="仿宋" w:hAnsi="仿宋" w:eastAsia="仿宋" w:cs="仿宋"/>
          <w:sz w:val="44"/>
          <w:szCs w:val="44"/>
          <w:highlight w:val="none"/>
        </w:rPr>
      </w:pPr>
    </w:p>
    <w:p w14:paraId="2DE43299">
      <w:pPr>
        <w:tabs>
          <w:tab w:val="left" w:pos="3600"/>
          <w:tab w:val="left" w:pos="4480"/>
          <w:tab w:val="left" w:pos="5360"/>
        </w:tabs>
        <w:autoSpaceDE w:val="0"/>
        <w:autoSpaceDN w:val="0"/>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比选申请文件</w:t>
      </w:r>
    </w:p>
    <w:p w14:paraId="2675F0D3">
      <w:pPr>
        <w:autoSpaceDE w:val="0"/>
        <w:autoSpaceDN w:val="0"/>
        <w:snapToGrid w:val="0"/>
        <w:spacing w:line="360" w:lineRule="auto"/>
        <w:jc w:val="left"/>
        <w:rPr>
          <w:rFonts w:hint="eastAsia" w:ascii="仿宋" w:hAnsi="仿宋" w:eastAsia="仿宋" w:cs="仿宋"/>
          <w:sz w:val="16"/>
          <w:szCs w:val="16"/>
          <w:highlight w:val="none"/>
        </w:rPr>
      </w:pPr>
    </w:p>
    <w:p w14:paraId="15A48EF2">
      <w:pPr>
        <w:autoSpaceDE w:val="0"/>
        <w:autoSpaceDN w:val="0"/>
        <w:snapToGrid w:val="0"/>
        <w:spacing w:line="360" w:lineRule="auto"/>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比选申请函部分</w:t>
      </w:r>
    </w:p>
    <w:p w14:paraId="650C878B">
      <w:pPr>
        <w:autoSpaceDE w:val="0"/>
        <w:autoSpaceDN w:val="0"/>
        <w:snapToGrid w:val="0"/>
        <w:spacing w:line="360" w:lineRule="auto"/>
        <w:jc w:val="left"/>
        <w:rPr>
          <w:rFonts w:hint="eastAsia" w:ascii="仿宋" w:hAnsi="仿宋" w:eastAsia="仿宋" w:cs="仿宋"/>
          <w:b/>
          <w:sz w:val="20"/>
          <w:szCs w:val="20"/>
          <w:highlight w:val="none"/>
        </w:rPr>
      </w:pPr>
    </w:p>
    <w:p w14:paraId="2CB8D117">
      <w:pPr>
        <w:autoSpaceDE w:val="0"/>
        <w:autoSpaceDN w:val="0"/>
        <w:snapToGrid w:val="0"/>
        <w:spacing w:line="360" w:lineRule="auto"/>
        <w:jc w:val="left"/>
        <w:rPr>
          <w:rFonts w:hint="eastAsia" w:ascii="仿宋" w:hAnsi="仿宋" w:eastAsia="仿宋" w:cs="仿宋"/>
          <w:b/>
          <w:sz w:val="20"/>
          <w:szCs w:val="20"/>
          <w:highlight w:val="none"/>
        </w:rPr>
      </w:pPr>
    </w:p>
    <w:p w14:paraId="493A20EB">
      <w:pPr>
        <w:autoSpaceDE w:val="0"/>
        <w:autoSpaceDN w:val="0"/>
        <w:snapToGrid w:val="0"/>
        <w:spacing w:line="360" w:lineRule="auto"/>
        <w:jc w:val="left"/>
        <w:rPr>
          <w:rFonts w:hint="eastAsia" w:ascii="仿宋" w:hAnsi="仿宋" w:eastAsia="仿宋" w:cs="仿宋"/>
          <w:b/>
          <w:sz w:val="20"/>
          <w:szCs w:val="20"/>
          <w:highlight w:val="none"/>
        </w:rPr>
      </w:pPr>
    </w:p>
    <w:p w14:paraId="560DAEBD">
      <w:pPr>
        <w:autoSpaceDE w:val="0"/>
        <w:autoSpaceDN w:val="0"/>
        <w:snapToGrid w:val="0"/>
        <w:spacing w:line="360" w:lineRule="auto"/>
        <w:jc w:val="left"/>
        <w:rPr>
          <w:rFonts w:hint="eastAsia" w:ascii="仿宋" w:hAnsi="仿宋" w:eastAsia="仿宋" w:cs="仿宋"/>
          <w:b/>
          <w:sz w:val="20"/>
          <w:szCs w:val="20"/>
          <w:highlight w:val="none"/>
        </w:rPr>
      </w:pPr>
    </w:p>
    <w:p w14:paraId="65F55A8E">
      <w:pPr>
        <w:autoSpaceDE w:val="0"/>
        <w:autoSpaceDN w:val="0"/>
        <w:snapToGrid w:val="0"/>
        <w:spacing w:line="360" w:lineRule="auto"/>
        <w:jc w:val="left"/>
        <w:rPr>
          <w:rFonts w:hint="eastAsia" w:ascii="仿宋" w:hAnsi="仿宋" w:eastAsia="仿宋" w:cs="仿宋"/>
          <w:b/>
          <w:sz w:val="20"/>
          <w:szCs w:val="20"/>
          <w:highlight w:val="none"/>
        </w:rPr>
      </w:pPr>
    </w:p>
    <w:p w14:paraId="109FE7E2">
      <w:pPr>
        <w:autoSpaceDE w:val="0"/>
        <w:autoSpaceDN w:val="0"/>
        <w:snapToGrid w:val="0"/>
        <w:spacing w:line="360" w:lineRule="auto"/>
        <w:jc w:val="left"/>
        <w:rPr>
          <w:rFonts w:hint="eastAsia" w:ascii="仿宋" w:hAnsi="仿宋" w:eastAsia="仿宋" w:cs="仿宋"/>
          <w:b/>
          <w:sz w:val="20"/>
          <w:szCs w:val="20"/>
          <w:highlight w:val="none"/>
        </w:rPr>
      </w:pPr>
    </w:p>
    <w:p w14:paraId="618F8AF6">
      <w:pPr>
        <w:autoSpaceDE w:val="0"/>
        <w:autoSpaceDN w:val="0"/>
        <w:snapToGrid w:val="0"/>
        <w:spacing w:line="360" w:lineRule="auto"/>
        <w:jc w:val="left"/>
        <w:rPr>
          <w:rFonts w:hint="eastAsia" w:ascii="仿宋" w:hAnsi="仿宋" w:eastAsia="仿宋" w:cs="仿宋"/>
          <w:b/>
          <w:sz w:val="20"/>
          <w:szCs w:val="20"/>
          <w:highlight w:val="none"/>
        </w:rPr>
      </w:pPr>
    </w:p>
    <w:p w14:paraId="5AD2F29B">
      <w:pPr>
        <w:autoSpaceDE w:val="0"/>
        <w:autoSpaceDN w:val="0"/>
        <w:snapToGrid w:val="0"/>
        <w:spacing w:line="360" w:lineRule="auto"/>
        <w:jc w:val="left"/>
        <w:rPr>
          <w:rFonts w:hint="eastAsia" w:ascii="仿宋" w:hAnsi="仿宋" w:eastAsia="仿宋" w:cs="仿宋"/>
          <w:b/>
          <w:sz w:val="20"/>
          <w:szCs w:val="20"/>
          <w:highlight w:val="none"/>
        </w:rPr>
      </w:pPr>
    </w:p>
    <w:p w14:paraId="69B20C15">
      <w:pPr>
        <w:autoSpaceDE w:val="0"/>
        <w:autoSpaceDN w:val="0"/>
        <w:snapToGrid w:val="0"/>
        <w:spacing w:line="360" w:lineRule="auto"/>
        <w:jc w:val="left"/>
        <w:rPr>
          <w:rFonts w:hint="eastAsia" w:ascii="仿宋" w:hAnsi="仿宋" w:eastAsia="仿宋" w:cs="仿宋"/>
          <w:b/>
          <w:sz w:val="20"/>
          <w:szCs w:val="20"/>
          <w:highlight w:val="none"/>
        </w:rPr>
      </w:pPr>
    </w:p>
    <w:p w14:paraId="6E86716B">
      <w:pPr>
        <w:autoSpaceDE w:val="0"/>
        <w:autoSpaceDN w:val="0"/>
        <w:snapToGrid w:val="0"/>
        <w:spacing w:line="360" w:lineRule="auto"/>
        <w:jc w:val="left"/>
        <w:rPr>
          <w:rFonts w:hint="eastAsia" w:ascii="仿宋" w:hAnsi="仿宋" w:eastAsia="仿宋" w:cs="仿宋"/>
          <w:b/>
          <w:sz w:val="20"/>
          <w:szCs w:val="20"/>
          <w:highlight w:val="none"/>
        </w:rPr>
      </w:pPr>
    </w:p>
    <w:p w14:paraId="36BA1660">
      <w:pPr>
        <w:autoSpaceDE w:val="0"/>
        <w:autoSpaceDN w:val="0"/>
        <w:snapToGrid w:val="0"/>
        <w:spacing w:line="360" w:lineRule="auto"/>
        <w:jc w:val="left"/>
        <w:rPr>
          <w:rFonts w:hint="eastAsia" w:ascii="仿宋" w:hAnsi="仿宋" w:eastAsia="仿宋" w:cs="仿宋"/>
          <w:b/>
          <w:sz w:val="20"/>
          <w:szCs w:val="20"/>
          <w:highlight w:val="none"/>
        </w:rPr>
      </w:pPr>
    </w:p>
    <w:p w14:paraId="1BF92822">
      <w:pPr>
        <w:tabs>
          <w:tab w:val="left" w:pos="6080"/>
          <w:tab w:val="left" w:pos="6640"/>
        </w:tabs>
        <w:autoSpaceDE w:val="0"/>
        <w:autoSpaceDN w:val="0"/>
        <w:snapToGrid w:val="0"/>
        <w:spacing w:after="120" w:afterLines="50" w:line="360" w:lineRule="auto"/>
        <w:jc w:val="center"/>
        <w:rPr>
          <w:rFonts w:hint="eastAsia" w:ascii="仿宋" w:hAnsi="仿宋" w:eastAsia="仿宋" w:cs="仿宋"/>
          <w:w w:val="99"/>
          <w:sz w:val="28"/>
          <w:szCs w:val="28"/>
          <w:highlight w:val="none"/>
        </w:rPr>
      </w:pPr>
      <w:r>
        <w:rPr>
          <w:rFonts w:hint="eastAsia" w:ascii="仿宋" w:hAnsi="仿宋" w:eastAsia="仿宋" w:cs="仿宋"/>
          <w:w w:val="99"/>
          <w:sz w:val="28"/>
          <w:szCs w:val="28"/>
          <w:highlight w:val="none"/>
        </w:rPr>
        <w:t>比选申请人</w:t>
      </w:r>
      <w:r>
        <w:rPr>
          <w:rFonts w:hint="eastAsia" w:ascii="仿宋" w:hAnsi="仿宋" w:eastAsia="仿宋" w:cs="仿宋"/>
          <w:spacing w:val="1"/>
          <w:w w:val="99"/>
          <w:sz w:val="28"/>
          <w:szCs w:val="28"/>
          <w:highlight w:val="none"/>
        </w:rPr>
        <w:t>：</w:t>
      </w:r>
      <w:r>
        <w:rPr>
          <w:rFonts w:hint="eastAsia" w:ascii="仿宋" w:hAnsi="仿宋" w:eastAsia="仿宋" w:cs="仿宋"/>
          <w:w w:val="198"/>
          <w:sz w:val="28"/>
          <w:szCs w:val="28"/>
          <w:highlight w:val="none"/>
          <w:u w:val="single"/>
        </w:rPr>
        <w:t xml:space="preserve"> 　　　　 　　</w:t>
      </w:r>
      <w:r>
        <w:rPr>
          <w:rFonts w:hint="eastAsia" w:ascii="仿宋" w:hAnsi="仿宋" w:eastAsia="仿宋" w:cs="仿宋"/>
          <w:w w:val="99"/>
          <w:sz w:val="28"/>
          <w:szCs w:val="28"/>
          <w:highlight w:val="none"/>
        </w:rPr>
        <w:t>（盖单位法人章）</w:t>
      </w:r>
    </w:p>
    <w:p w14:paraId="4085703A">
      <w:pPr>
        <w:tabs>
          <w:tab w:val="left" w:pos="6080"/>
          <w:tab w:val="left" w:pos="6640"/>
        </w:tabs>
        <w:autoSpaceDE w:val="0"/>
        <w:autoSpaceDN w:val="0"/>
        <w:snapToGrid w:val="0"/>
        <w:spacing w:after="120" w:afterLines="50" w:line="360" w:lineRule="auto"/>
        <w:jc w:val="center"/>
        <w:rPr>
          <w:rFonts w:hint="eastAsia" w:ascii="仿宋" w:hAnsi="仿宋" w:eastAsia="仿宋" w:cs="仿宋"/>
          <w:sz w:val="28"/>
          <w:szCs w:val="28"/>
          <w:highlight w:val="none"/>
        </w:rPr>
      </w:pPr>
      <w:r>
        <w:rPr>
          <w:rFonts w:hint="eastAsia" w:ascii="仿宋" w:hAnsi="仿宋" w:eastAsia="仿宋" w:cs="仿宋"/>
          <w:w w:val="99"/>
          <w:sz w:val="28"/>
          <w:szCs w:val="28"/>
          <w:highlight w:val="none"/>
        </w:rPr>
        <w:t>法定代表人或其委托代理人：</w:t>
      </w:r>
      <w:r>
        <w:rPr>
          <w:rFonts w:hint="eastAsia" w:ascii="仿宋" w:hAnsi="仿宋" w:eastAsia="仿宋" w:cs="仿宋"/>
          <w:w w:val="198"/>
          <w:sz w:val="28"/>
          <w:szCs w:val="28"/>
          <w:highlight w:val="none"/>
          <w:u w:val="single"/>
        </w:rPr>
        <w:t xml:space="preserve"> 　　 </w:t>
      </w:r>
      <w:r>
        <w:rPr>
          <w:rFonts w:hint="eastAsia" w:ascii="仿宋" w:hAnsi="仿宋" w:eastAsia="仿宋" w:cs="仿宋"/>
          <w:w w:val="99"/>
          <w:sz w:val="28"/>
          <w:szCs w:val="28"/>
          <w:highlight w:val="none"/>
        </w:rPr>
        <w:t>（签名或盖章）</w:t>
      </w:r>
    </w:p>
    <w:p w14:paraId="5A2F2CAC">
      <w:pPr>
        <w:tabs>
          <w:tab w:val="left" w:pos="3280"/>
          <w:tab w:val="left" w:pos="4680"/>
          <w:tab w:val="left" w:pos="6080"/>
        </w:tabs>
        <w:autoSpaceDE w:val="0"/>
        <w:autoSpaceDN w:val="0"/>
        <w:snapToGrid w:val="0"/>
        <w:spacing w:line="360" w:lineRule="auto"/>
        <w:jc w:val="center"/>
        <w:rPr>
          <w:rFonts w:hint="eastAsia" w:ascii="仿宋" w:hAnsi="仿宋" w:eastAsia="仿宋" w:cs="仿宋"/>
          <w:sz w:val="24"/>
          <w:szCs w:val="21"/>
          <w:highlight w:val="none"/>
        </w:rPr>
      </w:pPr>
      <w:r>
        <w:rPr>
          <w:rFonts w:hint="eastAsia" w:ascii="仿宋" w:hAnsi="仿宋" w:eastAsia="仿宋" w:cs="仿宋"/>
          <w:w w:val="99"/>
          <w:sz w:val="28"/>
          <w:szCs w:val="28"/>
          <w:highlight w:val="none"/>
          <w:u w:val="single"/>
        </w:rPr>
        <w:t xml:space="preserve">    </w:t>
      </w:r>
      <w:r>
        <w:rPr>
          <w:rFonts w:hint="eastAsia" w:ascii="仿宋" w:hAnsi="仿宋" w:eastAsia="仿宋" w:cs="仿宋"/>
          <w:w w:val="99"/>
          <w:sz w:val="28"/>
          <w:szCs w:val="28"/>
          <w:highlight w:val="none"/>
        </w:rPr>
        <w:t>年</w:t>
      </w:r>
      <w:r>
        <w:rPr>
          <w:rFonts w:hint="eastAsia" w:ascii="仿宋" w:hAnsi="仿宋" w:eastAsia="仿宋" w:cs="仿宋"/>
          <w:w w:val="99"/>
          <w:sz w:val="28"/>
          <w:szCs w:val="28"/>
          <w:highlight w:val="none"/>
          <w:u w:val="single"/>
        </w:rPr>
        <w:t xml:space="preserve">    </w:t>
      </w:r>
      <w:r>
        <w:rPr>
          <w:rFonts w:hint="eastAsia" w:ascii="仿宋" w:hAnsi="仿宋" w:eastAsia="仿宋" w:cs="仿宋"/>
          <w:w w:val="99"/>
          <w:sz w:val="28"/>
          <w:szCs w:val="28"/>
          <w:highlight w:val="none"/>
        </w:rPr>
        <w:t>月</w:t>
      </w:r>
      <w:r>
        <w:rPr>
          <w:rFonts w:hint="eastAsia" w:ascii="仿宋" w:hAnsi="仿宋" w:eastAsia="仿宋" w:cs="仿宋"/>
          <w:w w:val="99"/>
          <w:sz w:val="28"/>
          <w:szCs w:val="28"/>
          <w:highlight w:val="none"/>
          <w:u w:val="single"/>
        </w:rPr>
        <w:t xml:space="preserve">    </w:t>
      </w:r>
      <w:r>
        <w:rPr>
          <w:rFonts w:hint="eastAsia" w:ascii="仿宋" w:hAnsi="仿宋" w:eastAsia="仿宋" w:cs="仿宋"/>
          <w:w w:val="99"/>
          <w:sz w:val="28"/>
          <w:szCs w:val="28"/>
          <w:highlight w:val="none"/>
        </w:rPr>
        <w:t>日</w:t>
      </w:r>
    </w:p>
    <w:p w14:paraId="5ED1A6E3">
      <w:pPr>
        <w:autoSpaceDE w:val="0"/>
        <w:autoSpaceDN w:val="0"/>
        <w:snapToGrid w:val="0"/>
        <w:jc w:val="center"/>
        <w:rPr>
          <w:rFonts w:hint="eastAsia" w:ascii="仿宋" w:hAnsi="仿宋" w:eastAsia="仿宋" w:cs="仿宋"/>
          <w:sz w:val="36"/>
          <w:szCs w:val="36"/>
          <w:highlight w:val="none"/>
        </w:rPr>
      </w:pPr>
      <w:r>
        <w:rPr>
          <w:rFonts w:hint="eastAsia" w:ascii="仿宋" w:hAnsi="仿宋" w:eastAsia="仿宋" w:cs="仿宋"/>
          <w:b/>
          <w:highlight w:val="none"/>
        </w:rPr>
        <w:br w:type="page"/>
      </w:r>
      <w:r>
        <w:rPr>
          <w:rFonts w:hint="eastAsia" w:ascii="仿宋" w:hAnsi="仿宋" w:eastAsia="仿宋" w:cs="仿宋"/>
          <w:sz w:val="36"/>
          <w:szCs w:val="36"/>
          <w:highlight w:val="none"/>
        </w:rPr>
        <w:t>目  录</w:t>
      </w:r>
    </w:p>
    <w:p w14:paraId="2BFC3B97">
      <w:pPr>
        <w:autoSpaceDE w:val="0"/>
        <w:autoSpaceDN w:val="0"/>
        <w:snapToGrid w:val="0"/>
        <w:spacing w:line="360" w:lineRule="auto"/>
        <w:jc w:val="center"/>
        <w:rPr>
          <w:rFonts w:hint="eastAsia" w:ascii="仿宋" w:hAnsi="仿宋" w:eastAsia="仿宋" w:cs="仿宋"/>
          <w:b/>
          <w:bCs/>
          <w:sz w:val="24"/>
          <w:szCs w:val="24"/>
          <w:highlight w:val="none"/>
        </w:rPr>
      </w:pPr>
    </w:p>
    <w:p w14:paraId="0686E3A1">
      <w:pPr>
        <w:autoSpaceDE w:val="0"/>
        <w:autoSpaceDN w:val="0"/>
        <w:snapToGrid w:val="0"/>
        <w:spacing w:line="360" w:lineRule="auto"/>
        <w:jc w:val="left"/>
        <w:rPr>
          <w:rFonts w:hint="eastAsia" w:ascii="仿宋" w:hAnsi="仿宋" w:eastAsia="仿宋" w:cs="仿宋"/>
          <w:sz w:val="24"/>
          <w:szCs w:val="24"/>
          <w:highlight w:val="none"/>
        </w:rPr>
      </w:pPr>
    </w:p>
    <w:p w14:paraId="7FD74DCF">
      <w:pPr>
        <w:autoSpaceDE w:val="0"/>
        <w:autoSpaceDN w:val="0"/>
        <w:spacing w:line="360" w:lineRule="auto"/>
        <w:ind w:right="-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（一）比选申请函</w:t>
      </w:r>
    </w:p>
    <w:p w14:paraId="01D0F27E">
      <w:pPr>
        <w:autoSpaceDE w:val="0"/>
        <w:autoSpaceDN w:val="0"/>
        <w:spacing w:line="360" w:lineRule="auto"/>
        <w:ind w:right="-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（二）法定代表人身份证明或附有法定代表人身份证明的授权委托书</w:t>
      </w:r>
    </w:p>
    <w:p w14:paraId="47F37BA7">
      <w:pPr>
        <w:pStyle w:val="9"/>
        <w:rPr>
          <w:rFonts w:hint="eastAsia" w:ascii="仿宋" w:hAnsi="仿宋" w:eastAsia="仿宋" w:cs="仿宋"/>
          <w:highlight w:val="none"/>
        </w:rPr>
      </w:pPr>
      <w:r>
        <w:rPr>
          <w:rFonts w:hint="eastAsia" w:ascii="仿宋" w:hAnsi="仿宋" w:eastAsia="仿宋" w:cs="仿宋"/>
          <w:sz w:val="24"/>
          <w:szCs w:val="24"/>
          <w:highlight w:val="none"/>
        </w:rPr>
        <w:t xml:space="preserve"> </w:t>
      </w:r>
    </w:p>
    <w:p w14:paraId="62DB9221">
      <w:pPr>
        <w:autoSpaceDE w:val="0"/>
        <w:autoSpaceDN w:val="0"/>
        <w:spacing w:line="360" w:lineRule="auto"/>
        <w:ind w:right="-23"/>
        <w:jc w:val="center"/>
        <w:outlineLvl w:val="2"/>
        <w:rPr>
          <w:rFonts w:hint="eastAsia" w:ascii="仿宋" w:hAnsi="仿宋" w:eastAsia="仿宋" w:cs="仿宋"/>
          <w:b/>
          <w:bCs/>
          <w:highlight w:val="none"/>
        </w:rPr>
      </w:pPr>
      <w:bookmarkStart w:id="488" w:name="_Toc430206087"/>
      <w:r>
        <w:rPr>
          <w:rFonts w:hint="eastAsia" w:ascii="仿宋" w:hAnsi="仿宋" w:eastAsia="仿宋" w:cs="仿宋"/>
          <w:sz w:val="24"/>
          <w:highlight w:val="none"/>
        </w:rPr>
        <w:br w:type="page"/>
      </w:r>
      <w:r>
        <w:rPr>
          <w:rFonts w:hint="eastAsia" w:ascii="仿宋" w:hAnsi="仿宋" w:eastAsia="仿宋" w:cs="仿宋"/>
          <w:b/>
          <w:bCs/>
          <w:highlight w:val="none"/>
        </w:rPr>
        <w:t>（一）比选申请函</w:t>
      </w:r>
      <w:bookmarkEnd w:id="488"/>
    </w:p>
    <w:p w14:paraId="1C81F261">
      <w:pPr>
        <w:autoSpaceDE w:val="0"/>
        <w:autoSpaceDN w:val="0"/>
        <w:spacing w:line="360" w:lineRule="auto"/>
        <w:ind w:left="360" w:right="-20" w:hanging="360" w:hangingChars="150"/>
        <w:rPr>
          <w:rFonts w:hint="eastAsia" w:ascii="仿宋" w:hAnsi="仿宋" w:eastAsia="仿宋" w:cs="仿宋"/>
          <w:sz w:val="24"/>
          <w:highlight w:val="none"/>
        </w:rPr>
      </w:pPr>
    </w:p>
    <w:p w14:paraId="403C266A">
      <w:pPr>
        <w:tabs>
          <w:tab w:val="left" w:pos="2640"/>
        </w:tabs>
        <w:autoSpaceDE w:val="0"/>
        <w:autoSpaceDN w:val="0"/>
        <w:spacing w:line="400" w:lineRule="exact"/>
        <w:rPr>
          <w:rFonts w:hint="eastAsia" w:ascii="仿宋" w:hAnsi="仿宋" w:eastAsia="仿宋" w:cs="仿宋"/>
          <w:snapToGrid w:val="0"/>
          <w:sz w:val="21"/>
          <w:szCs w:val="21"/>
          <w:highlight w:val="none"/>
        </w:rPr>
      </w:pPr>
      <w:bookmarkStart w:id="489" w:name="_Toc362508706"/>
      <w:bookmarkStart w:id="490" w:name="_Toc287607868"/>
      <w:bookmarkStart w:id="491" w:name="_Toc360434956"/>
      <w:bookmarkStart w:id="492" w:name="_Toc277082644"/>
      <w:bookmarkStart w:id="493" w:name="_Toc364781347"/>
      <w:bookmarkStart w:id="494" w:name="_Toc224103496"/>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u w:val="single"/>
        </w:rPr>
        <w:t>（比选人名称）</w:t>
      </w:r>
      <w:r>
        <w:rPr>
          <w:rFonts w:hint="eastAsia" w:ascii="仿宋" w:hAnsi="仿宋" w:eastAsia="仿宋" w:cs="仿宋"/>
          <w:snapToGrid w:val="0"/>
          <w:sz w:val="21"/>
          <w:szCs w:val="21"/>
          <w:highlight w:val="none"/>
        </w:rPr>
        <w:t>：</w:t>
      </w:r>
    </w:p>
    <w:p w14:paraId="5E9A8CAB">
      <w:pPr>
        <w:tabs>
          <w:tab w:val="left" w:pos="2655"/>
          <w:tab w:val="left" w:pos="3520"/>
          <w:tab w:val="left" w:pos="4920"/>
          <w:tab w:val="left" w:pos="5715"/>
          <w:tab w:val="left" w:pos="6945"/>
          <w:tab w:val="left" w:pos="7980"/>
        </w:tabs>
        <w:autoSpaceDE w:val="0"/>
        <w:autoSpaceDN w:val="0"/>
        <w:spacing w:line="400" w:lineRule="exact"/>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1. 我方已仔细研究了</w:t>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u w:val="single"/>
        </w:rPr>
        <w:t>（项目名称）</w:t>
      </w:r>
      <w:r>
        <w:rPr>
          <w:rFonts w:hint="eastAsia" w:ascii="仿宋" w:hAnsi="仿宋" w:eastAsia="仿宋" w:cs="仿宋"/>
          <w:snapToGrid w:val="0"/>
          <w:sz w:val="21"/>
          <w:szCs w:val="21"/>
          <w:highlight w:val="none"/>
        </w:rPr>
        <w:t>竞争性比选文件的全部内容，愿意以人民币（大写）</w:t>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rPr>
        <w:t>（¥</w:t>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rPr>
        <w:t>）的比选申请总报价进行报价，项目负责人</w:t>
      </w:r>
      <w:r>
        <w:rPr>
          <w:rFonts w:hint="eastAsia" w:ascii="仿宋" w:hAnsi="仿宋" w:eastAsia="仿宋" w:cs="仿宋"/>
          <w:snapToGrid w:val="0"/>
          <w:sz w:val="21"/>
          <w:szCs w:val="24"/>
          <w:highlight w:val="none"/>
        </w:rPr>
        <w:t>为</w:t>
      </w:r>
      <w:r>
        <w:rPr>
          <w:rFonts w:hint="eastAsia" w:ascii="仿宋" w:hAnsi="仿宋" w:eastAsia="仿宋" w:cs="仿宋"/>
          <w:snapToGrid w:val="0"/>
          <w:sz w:val="21"/>
          <w:szCs w:val="24"/>
          <w:highlight w:val="none"/>
          <w:u w:val="single"/>
        </w:rPr>
        <w:t xml:space="preserve">        </w:t>
      </w:r>
      <w:r>
        <w:rPr>
          <w:rFonts w:hint="eastAsia" w:ascii="仿宋" w:hAnsi="仿宋" w:eastAsia="仿宋" w:cs="仿宋"/>
          <w:snapToGrid w:val="0"/>
          <w:sz w:val="21"/>
          <w:szCs w:val="21"/>
          <w:highlight w:val="none"/>
        </w:rPr>
        <w:t>，身份证号码为</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；委托代理人为：</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，身份证号码为</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。服务期</w:t>
      </w:r>
      <w:r>
        <w:rPr>
          <w:rFonts w:hint="eastAsia" w:ascii="仿宋" w:hAnsi="仿宋" w:eastAsia="仿宋" w:cs="仿宋"/>
          <w:snapToGrid w:val="0"/>
          <w:sz w:val="21"/>
          <w:szCs w:val="21"/>
          <w:highlight w:val="none"/>
          <w:u w:val="single"/>
        </w:rPr>
        <w:t>达到竞争性比选文件的要求</w:t>
      </w:r>
      <w:r>
        <w:rPr>
          <w:rFonts w:hint="eastAsia" w:ascii="仿宋" w:hAnsi="仿宋" w:eastAsia="仿宋" w:cs="仿宋"/>
          <w:snapToGrid w:val="0"/>
          <w:sz w:val="21"/>
          <w:szCs w:val="21"/>
          <w:highlight w:val="none"/>
        </w:rPr>
        <w:t>，按合同约定实施和完成审计服务。</w:t>
      </w:r>
    </w:p>
    <w:p w14:paraId="6A1365FE">
      <w:pPr>
        <w:autoSpaceDE w:val="0"/>
        <w:autoSpaceDN w:val="0"/>
        <w:spacing w:line="400" w:lineRule="exact"/>
        <w:ind w:firstLine="420" w:firstLineChars="200"/>
        <w:rPr>
          <w:rFonts w:hint="eastAsia" w:ascii="仿宋" w:hAnsi="仿宋" w:eastAsia="仿宋" w:cs="仿宋"/>
          <w:snapToGrid w:val="0"/>
          <w:sz w:val="10"/>
          <w:szCs w:val="10"/>
          <w:highlight w:val="none"/>
        </w:rPr>
      </w:pPr>
      <w:r>
        <w:rPr>
          <w:rFonts w:hint="eastAsia" w:ascii="仿宋" w:hAnsi="仿宋" w:eastAsia="仿宋" w:cs="仿宋"/>
          <w:snapToGrid w:val="0"/>
          <w:sz w:val="21"/>
          <w:szCs w:val="21"/>
          <w:highlight w:val="none"/>
        </w:rPr>
        <w:t>2. 我方承诺响应竞争性比选文件规定的比选申请有效期，在比选申请有效期内不修改、撤销比选申请文件。</w:t>
      </w:r>
    </w:p>
    <w:p w14:paraId="053CB45E">
      <w:pPr>
        <w:autoSpaceDE w:val="0"/>
        <w:autoSpaceDN w:val="0"/>
        <w:spacing w:line="400" w:lineRule="exact"/>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3. 如我方中选：</w:t>
      </w:r>
    </w:p>
    <w:p w14:paraId="04E02DA1">
      <w:pPr>
        <w:autoSpaceDE w:val="0"/>
        <w:autoSpaceDN w:val="0"/>
        <w:spacing w:line="400" w:lineRule="exact"/>
        <w:ind w:firstLine="420" w:firstLineChars="200"/>
        <w:rPr>
          <w:rFonts w:hint="eastAsia" w:ascii="仿宋" w:hAnsi="仿宋" w:eastAsia="仿宋" w:cs="仿宋"/>
          <w:snapToGrid w:val="0"/>
          <w:sz w:val="10"/>
          <w:szCs w:val="10"/>
          <w:highlight w:val="none"/>
        </w:rPr>
      </w:pPr>
      <w:r>
        <w:rPr>
          <w:rFonts w:hint="eastAsia" w:ascii="仿宋" w:hAnsi="仿宋" w:eastAsia="仿宋" w:cs="仿宋"/>
          <w:snapToGrid w:val="0"/>
          <w:sz w:val="21"/>
          <w:szCs w:val="21"/>
          <w:highlight w:val="none"/>
        </w:rPr>
        <w:t>（1）我方承诺在收到中选通知书后，在中选通知书规定的期限内与你方签订合同。</w:t>
      </w:r>
    </w:p>
    <w:p w14:paraId="274324CC">
      <w:pPr>
        <w:autoSpaceDE w:val="0"/>
        <w:autoSpaceDN w:val="0"/>
        <w:spacing w:line="400" w:lineRule="exact"/>
        <w:ind w:firstLine="420" w:firstLineChars="200"/>
        <w:rPr>
          <w:rFonts w:hint="eastAsia" w:ascii="仿宋" w:hAnsi="仿宋" w:eastAsia="仿宋" w:cs="仿宋"/>
          <w:snapToGrid w:val="0"/>
          <w:sz w:val="10"/>
          <w:szCs w:val="10"/>
          <w:highlight w:val="none"/>
        </w:rPr>
      </w:pPr>
      <w:r>
        <w:rPr>
          <w:rFonts w:hint="eastAsia" w:ascii="仿宋" w:hAnsi="仿宋" w:eastAsia="仿宋" w:cs="仿宋"/>
          <w:snapToGrid w:val="0"/>
          <w:sz w:val="21"/>
          <w:szCs w:val="21"/>
          <w:highlight w:val="none"/>
        </w:rPr>
        <w:t>（2）随同本比选申请函递交的比选申请函附录属于合同文件的组成部分。</w:t>
      </w:r>
    </w:p>
    <w:p w14:paraId="55E77F7F">
      <w:pPr>
        <w:autoSpaceDE w:val="0"/>
        <w:autoSpaceDN w:val="0"/>
        <w:spacing w:line="400" w:lineRule="exact"/>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（3）我方承诺在合同约定的期限内完成并移交全部成果资料。</w:t>
      </w:r>
    </w:p>
    <w:p w14:paraId="2D131FBA">
      <w:pPr>
        <w:autoSpaceDE w:val="0"/>
        <w:autoSpaceDN w:val="0"/>
        <w:spacing w:line="400" w:lineRule="exact"/>
        <w:ind w:firstLine="420" w:firstLineChars="200"/>
        <w:rPr>
          <w:rFonts w:hint="eastAsia" w:ascii="仿宋" w:hAnsi="仿宋" w:eastAsia="仿宋" w:cs="仿宋"/>
          <w:snapToGrid w:val="0"/>
          <w:sz w:val="10"/>
          <w:szCs w:val="10"/>
          <w:highlight w:val="none"/>
        </w:rPr>
      </w:pPr>
      <w:r>
        <w:rPr>
          <w:rFonts w:hint="eastAsia" w:ascii="仿宋" w:hAnsi="仿宋" w:eastAsia="仿宋" w:cs="仿宋"/>
          <w:snapToGrid w:val="0"/>
          <w:sz w:val="21"/>
          <w:szCs w:val="21"/>
          <w:highlight w:val="none"/>
        </w:rPr>
        <w:t>（4）我方承诺以不低于竞争性比选文件中所列的要求完成服务工作。</w:t>
      </w:r>
    </w:p>
    <w:p w14:paraId="51B4EE52">
      <w:pPr>
        <w:tabs>
          <w:tab w:val="left" w:pos="5985"/>
        </w:tabs>
        <w:autoSpaceDE w:val="0"/>
        <w:autoSpaceDN w:val="0"/>
        <w:spacing w:line="400" w:lineRule="exact"/>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4. 我方</w:t>
      </w:r>
      <w:r>
        <w:rPr>
          <w:rFonts w:hint="eastAsia" w:ascii="仿宋" w:hAnsi="仿宋" w:eastAsia="仿宋" w:cs="仿宋"/>
          <w:snapToGrid w:val="0"/>
          <w:spacing w:val="-2"/>
          <w:sz w:val="21"/>
          <w:szCs w:val="21"/>
          <w:highlight w:val="none"/>
        </w:rPr>
        <w:t>在此声明，所递交的比选申请文件及有关资料内容完整、真实和准确，</w:t>
      </w:r>
      <w:r>
        <w:rPr>
          <w:rFonts w:hint="eastAsia" w:ascii="仿宋" w:hAnsi="仿宋" w:eastAsia="仿宋" w:cs="仿宋"/>
          <w:snapToGrid w:val="0"/>
          <w:sz w:val="21"/>
          <w:szCs w:val="21"/>
          <w:highlight w:val="none"/>
        </w:rPr>
        <w:t>同时我方承诺接受竞争性比选文件及附件、澄清及修改通知中所有的内容。</w:t>
      </w:r>
    </w:p>
    <w:p w14:paraId="2527B222">
      <w:pPr>
        <w:tabs>
          <w:tab w:val="left" w:pos="5985"/>
        </w:tabs>
        <w:autoSpaceDE w:val="0"/>
        <w:autoSpaceDN w:val="0"/>
        <w:spacing w:line="400" w:lineRule="exact"/>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 xml:space="preserve">5. </w:t>
      </w:r>
      <w:r>
        <w:rPr>
          <w:rFonts w:hint="eastAsia" w:ascii="仿宋" w:hAnsi="仿宋" w:eastAsia="仿宋" w:cs="仿宋"/>
          <w:snapToGrid w:val="0"/>
          <w:w w:val="200"/>
          <w:sz w:val="21"/>
          <w:szCs w:val="21"/>
          <w:highlight w:val="none"/>
          <w:u w:val="single"/>
        </w:rPr>
        <w:t xml:space="preserve"> </w:t>
      </w:r>
      <w:r>
        <w:rPr>
          <w:rFonts w:hint="eastAsia" w:ascii="仿宋" w:hAnsi="仿宋" w:eastAsia="仿宋" w:cs="仿宋"/>
          <w:snapToGrid w:val="0"/>
          <w:sz w:val="21"/>
          <w:szCs w:val="21"/>
          <w:highlight w:val="none"/>
          <w:u w:val="single"/>
        </w:rPr>
        <w:tab/>
      </w:r>
      <w:r>
        <w:rPr>
          <w:rFonts w:hint="eastAsia" w:ascii="仿宋" w:hAnsi="仿宋" w:eastAsia="仿宋" w:cs="仿宋"/>
          <w:snapToGrid w:val="0"/>
          <w:sz w:val="21"/>
          <w:szCs w:val="21"/>
          <w:highlight w:val="none"/>
          <w:u w:val="single"/>
        </w:rPr>
        <w:t>（其他补充说明）</w:t>
      </w:r>
      <w:r>
        <w:rPr>
          <w:rFonts w:hint="eastAsia" w:ascii="仿宋" w:hAnsi="仿宋" w:eastAsia="仿宋" w:cs="仿宋"/>
          <w:snapToGrid w:val="0"/>
          <w:sz w:val="21"/>
          <w:szCs w:val="21"/>
          <w:highlight w:val="none"/>
        </w:rPr>
        <w:t>。</w:t>
      </w:r>
    </w:p>
    <w:p w14:paraId="7EE97CDE">
      <w:pPr>
        <w:tabs>
          <w:tab w:val="left" w:pos="7140"/>
          <w:tab w:val="left" w:pos="7560"/>
          <w:tab w:val="left" w:pos="8300"/>
        </w:tabs>
        <w:autoSpaceDE w:val="0"/>
        <w:autoSpaceDN w:val="0"/>
        <w:spacing w:line="400" w:lineRule="exact"/>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比选申请人：</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 xml:space="preserve">（盖单位法人章） </w:t>
      </w:r>
    </w:p>
    <w:p w14:paraId="5E684B88">
      <w:pPr>
        <w:tabs>
          <w:tab w:val="left" w:pos="7140"/>
          <w:tab w:val="left" w:pos="7560"/>
          <w:tab w:val="left" w:pos="8300"/>
        </w:tabs>
        <w:autoSpaceDE w:val="0"/>
        <w:autoSpaceDN w:val="0"/>
        <w:spacing w:line="400" w:lineRule="exact"/>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法定代表人或其委托代理人：</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（签名或盖章）</w:t>
      </w:r>
    </w:p>
    <w:p w14:paraId="6226760C">
      <w:pPr>
        <w:tabs>
          <w:tab w:val="left" w:pos="7035"/>
          <w:tab w:val="left" w:pos="7560"/>
          <w:tab w:val="left" w:pos="8300"/>
        </w:tabs>
        <w:autoSpaceDE w:val="0"/>
        <w:autoSpaceDN w:val="0"/>
        <w:spacing w:line="400" w:lineRule="exact"/>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地    址：</w:t>
      </w:r>
      <w:r>
        <w:rPr>
          <w:rFonts w:hint="eastAsia" w:ascii="仿宋" w:hAnsi="仿宋" w:eastAsia="仿宋" w:cs="仿宋"/>
          <w:snapToGrid w:val="0"/>
          <w:sz w:val="21"/>
          <w:szCs w:val="21"/>
          <w:highlight w:val="none"/>
          <w:u w:val="single"/>
        </w:rPr>
        <w:t xml:space="preserve">                                                                             </w:t>
      </w:r>
    </w:p>
    <w:p w14:paraId="788B9BCC">
      <w:pPr>
        <w:tabs>
          <w:tab w:val="left" w:pos="8300"/>
        </w:tabs>
        <w:autoSpaceDE w:val="0"/>
        <w:autoSpaceDN w:val="0"/>
        <w:spacing w:line="400" w:lineRule="exact"/>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网    址：</w:t>
      </w:r>
      <w:r>
        <w:rPr>
          <w:rFonts w:hint="eastAsia" w:ascii="仿宋" w:hAnsi="仿宋" w:eastAsia="仿宋" w:cs="仿宋"/>
          <w:snapToGrid w:val="0"/>
          <w:sz w:val="21"/>
          <w:szCs w:val="21"/>
          <w:highlight w:val="none"/>
          <w:u w:val="single"/>
        </w:rPr>
        <w:t xml:space="preserve">                                                                            </w:t>
      </w:r>
    </w:p>
    <w:p w14:paraId="1EE4E177">
      <w:pPr>
        <w:tabs>
          <w:tab w:val="left" w:pos="8300"/>
        </w:tabs>
        <w:autoSpaceDE w:val="0"/>
        <w:autoSpaceDN w:val="0"/>
        <w:spacing w:line="400" w:lineRule="exact"/>
        <w:ind w:firstLine="420" w:firstLineChars="200"/>
        <w:rPr>
          <w:rFonts w:hint="eastAsia" w:ascii="仿宋" w:hAnsi="仿宋" w:eastAsia="仿宋" w:cs="仿宋"/>
          <w:snapToGrid w:val="0"/>
          <w:sz w:val="21"/>
          <w:szCs w:val="21"/>
          <w:highlight w:val="none"/>
          <w:u w:val="single"/>
        </w:rPr>
      </w:pPr>
      <w:r>
        <w:rPr>
          <w:rFonts w:hint="eastAsia" w:ascii="仿宋" w:hAnsi="仿宋" w:eastAsia="仿宋" w:cs="仿宋"/>
          <w:snapToGrid w:val="0"/>
          <w:sz w:val="21"/>
          <w:szCs w:val="21"/>
          <w:highlight w:val="none"/>
        </w:rPr>
        <w:t>单位电话（座机）：</w:t>
      </w:r>
      <w:r>
        <w:rPr>
          <w:rFonts w:hint="eastAsia" w:ascii="仿宋" w:hAnsi="仿宋" w:eastAsia="仿宋" w:cs="仿宋"/>
          <w:snapToGrid w:val="0"/>
          <w:sz w:val="21"/>
          <w:szCs w:val="21"/>
          <w:highlight w:val="none"/>
          <w:u w:val="single"/>
        </w:rPr>
        <w:t xml:space="preserve">                      </w:t>
      </w:r>
      <w:r>
        <w:rPr>
          <w:rFonts w:hint="eastAsia" w:ascii="仿宋" w:hAnsi="仿宋" w:eastAsia="仿宋" w:cs="仿宋"/>
          <w:snapToGrid w:val="0"/>
          <w:sz w:val="21"/>
          <w:szCs w:val="21"/>
          <w:highlight w:val="none"/>
        </w:rPr>
        <w:t>委托代理人电话（手机）：</w:t>
      </w:r>
      <w:r>
        <w:rPr>
          <w:rFonts w:hint="eastAsia" w:ascii="仿宋" w:hAnsi="仿宋" w:eastAsia="仿宋" w:cs="仿宋"/>
          <w:snapToGrid w:val="0"/>
          <w:sz w:val="21"/>
          <w:szCs w:val="21"/>
          <w:highlight w:val="none"/>
          <w:u w:val="single"/>
        </w:rPr>
        <w:t xml:space="preserve">                      </w:t>
      </w:r>
    </w:p>
    <w:p w14:paraId="4DAA4B8D">
      <w:pPr>
        <w:tabs>
          <w:tab w:val="left" w:pos="8300"/>
        </w:tabs>
        <w:autoSpaceDE w:val="0"/>
        <w:autoSpaceDN w:val="0"/>
        <w:spacing w:line="400" w:lineRule="exact"/>
        <w:ind w:firstLine="420" w:firstLineChars="200"/>
        <w:rPr>
          <w:rFonts w:hint="eastAsia" w:ascii="仿宋" w:hAnsi="仿宋" w:eastAsia="仿宋" w:cs="仿宋"/>
          <w:snapToGrid w:val="0"/>
          <w:sz w:val="21"/>
          <w:szCs w:val="21"/>
          <w:highlight w:val="none"/>
        </w:rPr>
      </w:pPr>
      <w:r>
        <w:rPr>
          <w:rFonts w:hint="eastAsia" w:ascii="仿宋" w:hAnsi="仿宋" w:eastAsia="仿宋" w:cs="仿宋"/>
          <w:snapToGrid w:val="0"/>
          <w:sz w:val="21"/>
          <w:szCs w:val="21"/>
          <w:highlight w:val="none"/>
        </w:rPr>
        <w:t>传    真：</w:t>
      </w:r>
      <w:r>
        <w:rPr>
          <w:rFonts w:hint="eastAsia" w:ascii="仿宋" w:hAnsi="仿宋" w:eastAsia="仿宋" w:cs="仿宋"/>
          <w:snapToGrid w:val="0"/>
          <w:sz w:val="21"/>
          <w:szCs w:val="21"/>
          <w:highlight w:val="none"/>
          <w:u w:val="single"/>
        </w:rPr>
        <w:t xml:space="preserve">                                                                            </w:t>
      </w:r>
    </w:p>
    <w:p w14:paraId="19213857">
      <w:pPr>
        <w:tabs>
          <w:tab w:val="left" w:pos="8300"/>
        </w:tabs>
        <w:autoSpaceDE w:val="0"/>
        <w:autoSpaceDN w:val="0"/>
        <w:spacing w:line="400" w:lineRule="exact"/>
        <w:ind w:firstLine="420" w:firstLineChars="200"/>
        <w:rPr>
          <w:rFonts w:hint="eastAsia" w:ascii="仿宋" w:hAnsi="仿宋" w:eastAsia="仿宋" w:cs="仿宋"/>
          <w:snapToGrid w:val="0"/>
          <w:sz w:val="21"/>
          <w:szCs w:val="21"/>
          <w:highlight w:val="none"/>
          <w:u w:val="single"/>
        </w:rPr>
      </w:pPr>
      <w:r>
        <w:rPr>
          <w:rFonts w:hint="eastAsia" w:ascii="仿宋" w:hAnsi="仿宋" w:eastAsia="仿宋" w:cs="仿宋"/>
          <w:snapToGrid w:val="0"/>
          <w:sz w:val="21"/>
          <w:szCs w:val="21"/>
          <w:highlight w:val="none"/>
        </w:rPr>
        <w:t>邮政编码：</w:t>
      </w:r>
      <w:r>
        <w:rPr>
          <w:rFonts w:hint="eastAsia" w:ascii="仿宋" w:hAnsi="仿宋" w:eastAsia="仿宋" w:cs="仿宋"/>
          <w:snapToGrid w:val="0"/>
          <w:sz w:val="21"/>
          <w:szCs w:val="21"/>
          <w:highlight w:val="none"/>
          <w:u w:val="single"/>
        </w:rPr>
        <w:t xml:space="preserve">                                                                            </w:t>
      </w:r>
    </w:p>
    <w:p w14:paraId="2A7B2C76">
      <w:pPr>
        <w:tabs>
          <w:tab w:val="left" w:pos="8300"/>
        </w:tabs>
        <w:autoSpaceDE w:val="0"/>
        <w:autoSpaceDN w:val="0"/>
        <w:spacing w:line="400" w:lineRule="exact"/>
        <w:ind w:firstLine="400" w:firstLineChars="200"/>
        <w:rPr>
          <w:rFonts w:hint="eastAsia" w:ascii="仿宋" w:hAnsi="仿宋" w:eastAsia="仿宋" w:cs="仿宋"/>
          <w:snapToGrid w:val="0"/>
          <w:sz w:val="20"/>
          <w:szCs w:val="20"/>
          <w:highlight w:val="none"/>
        </w:rPr>
      </w:pPr>
    </w:p>
    <w:p w14:paraId="52656FF3">
      <w:pPr>
        <w:tabs>
          <w:tab w:val="left" w:pos="7035"/>
          <w:tab w:val="left" w:pos="7560"/>
          <w:tab w:val="left" w:pos="8300"/>
        </w:tabs>
        <w:autoSpaceDE w:val="0"/>
        <w:autoSpaceDN w:val="0"/>
        <w:spacing w:line="369" w:lineRule="auto"/>
        <w:ind w:right="210"/>
        <w:jc w:val="right"/>
        <w:rPr>
          <w:rFonts w:hint="eastAsia" w:ascii="仿宋" w:hAnsi="仿宋" w:eastAsia="仿宋" w:cs="仿宋"/>
          <w:snapToGrid w:val="0"/>
          <w:sz w:val="24"/>
          <w:szCs w:val="24"/>
          <w:highlight w:val="none"/>
        </w:rPr>
      </w:pP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年</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月</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日</w:t>
      </w:r>
    </w:p>
    <w:p w14:paraId="1884A940">
      <w:pPr>
        <w:tabs>
          <w:tab w:val="left" w:pos="7035"/>
          <w:tab w:val="left" w:pos="7560"/>
          <w:tab w:val="left" w:pos="8300"/>
        </w:tabs>
        <w:autoSpaceDE w:val="0"/>
        <w:autoSpaceDN w:val="0"/>
        <w:spacing w:line="369" w:lineRule="auto"/>
        <w:ind w:right="210"/>
        <w:rPr>
          <w:rFonts w:hint="eastAsia" w:ascii="仿宋" w:hAnsi="仿宋" w:eastAsia="仿宋" w:cs="仿宋"/>
          <w:snapToGrid w:val="0"/>
          <w:sz w:val="24"/>
          <w:szCs w:val="24"/>
          <w:highlight w:val="none"/>
        </w:rPr>
        <w:sectPr>
          <w:headerReference r:id="rId10" w:type="default"/>
          <w:footerReference r:id="rId11" w:type="default"/>
          <w:pgSz w:w="11906" w:h="16838"/>
          <w:pgMar w:top="935" w:right="1616" w:bottom="936" w:left="1576" w:header="851" w:footer="992" w:gutter="0"/>
          <w:cols w:space="720" w:num="1"/>
          <w:docGrid w:linePitch="312" w:charSpace="0"/>
        </w:sectPr>
      </w:pPr>
    </w:p>
    <w:p w14:paraId="345DCC46">
      <w:pPr>
        <w:pStyle w:val="4"/>
        <w:adjustRightInd/>
        <w:jc w:val="center"/>
        <w:rPr>
          <w:rFonts w:hint="eastAsia" w:ascii="仿宋" w:hAnsi="仿宋" w:eastAsia="仿宋" w:cs="仿宋"/>
          <w:kern w:val="2"/>
          <w:highlight w:val="none"/>
        </w:rPr>
      </w:pPr>
      <w:bookmarkStart w:id="495" w:name="_Toc509218855"/>
      <w:bookmarkStart w:id="496" w:name="_Toc30967"/>
      <w:bookmarkStart w:id="497" w:name="_Toc57905920"/>
      <w:bookmarkStart w:id="498" w:name="_Toc534185832"/>
      <w:r>
        <w:rPr>
          <w:rFonts w:hint="eastAsia" w:ascii="仿宋" w:hAnsi="仿宋" w:eastAsia="仿宋" w:cs="仿宋"/>
          <w:kern w:val="2"/>
          <w:highlight w:val="none"/>
        </w:rPr>
        <w:t>（二）</w:t>
      </w:r>
      <w:bookmarkEnd w:id="489"/>
      <w:bookmarkEnd w:id="490"/>
      <w:bookmarkEnd w:id="491"/>
      <w:bookmarkEnd w:id="492"/>
      <w:bookmarkEnd w:id="493"/>
      <w:bookmarkEnd w:id="494"/>
      <w:bookmarkEnd w:id="495"/>
      <w:bookmarkEnd w:id="496"/>
      <w:bookmarkEnd w:id="497"/>
      <w:bookmarkEnd w:id="498"/>
      <w:bookmarkStart w:id="499" w:name="_Toc287620816"/>
      <w:bookmarkStart w:id="500" w:name="_Toc224103497"/>
      <w:bookmarkStart w:id="501" w:name="_Toc8650"/>
      <w:bookmarkStart w:id="502" w:name="_Toc57905921"/>
      <w:bookmarkStart w:id="503" w:name="_Toc277082645"/>
      <w:bookmarkStart w:id="504" w:name="_Toc430530532"/>
      <w:bookmarkStart w:id="505" w:name="_Toc287607869"/>
      <w:bookmarkStart w:id="506" w:name="_Toc492244550"/>
      <w:bookmarkStart w:id="507" w:name="_Toc430206089"/>
      <w:bookmarkStart w:id="508" w:name="_Toc20740"/>
      <w:bookmarkStart w:id="509" w:name="_Toc287607882"/>
      <w:bookmarkStart w:id="510" w:name="_Toc224103510"/>
      <w:bookmarkStart w:id="511" w:name="_Toc362508711"/>
      <w:bookmarkStart w:id="512" w:name="_Toc277082656"/>
      <w:bookmarkStart w:id="513" w:name="_Toc360434967"/>
      <w:bookmarkStart w:id="514" w:name="_Toc364781352"/>
      <w:r>
        <w:rPr>
          <w:rFonts w:hint="eastAsia" w:ascii="仿宋" w:hAnsi="仿宋" w:eastAsia="仿宋" w:cs="仿宋"/>
          <w:kern w:val="2"/>
          <w:highlight w:val="none"/>
        </w:rPr>
        <w:t>法定代表人身份证明或附有法定代表人身份证明的授权委托书</w:t>
      </w:r>
      <w:bookmarkEnd w:id="499"/>
      <w:bookmarkEnd w:id="500"/>
      <w:bookmarkEnd w:id="501"/>
      <w:bookmarkEnd w:id="502"/>
      <w:bookmarkEnd w:id="503"/>
      <w:bookmarkEnd w:id="504"/>
      <w:bookmarkEnd w:id="505"/>
    </w:p>
    <w:p w14:paraId="0D7272F9">
      <w:pPr>
        <w:adjustRightInd/>
        <w:spacing w:line="480" w:lineRule="auto"/>
        <w:jc w:val="center"/>
        <w:rPr>
          <w:rFonts w:hint="eastAsia" w:ascii="仿宋" w:hAnsi="仿宋" w:eastAsia="仿宋" w:cs="仿宋"/>
          <w:kern w:val="2"/>
          <w:sz w:val="28"/>
          <w:szCs w:val="24"/>
          <w:highlight w:val="none"/>
        </w:rPr>
      </w:pPr>
      <w:r>
        <w:rPr>
          <w:rFonts w:hint="eastAsia" w:ascii="仿宋" w:hAnsi="仿宋" w:eastAsia="仿宋" w:cs="仿宋"/>
          <w:kern w:val="2"/>
          <w:sz w:val="28"/>
          <w:szCs w:val="24"/>
          <w:highlight w:val="none"/>
        </w:rPr>
        <w:t>法定代表人身份证明</w:t>
      </w:r>
    </w:p>
    <w:p w14:paraId="7AB17041">
      <w:pPr>
        <w:adjustRightInd/>
        <w:spacing w:line="480" w:lineRule="auto"/>
        <w:jc w:val="center"/>
        <w:rPr>
          <w:rFonts w:hint="eastAsia" w:ascii="仿宋" w:hAnsi="仿宋" w:eastAsia="仿宋" w:cs="仿宋"/>
          <w:kern w:val="2"/>
          <w:sz w:val="21"/>
          <w:szCs w:val="24"/>
          <w:highlight w:val="none"/>
        </w:rPr>
      </w:pPr>
    </w:p>
    <w:p w14:paraId="042C577E">
      <w:pPr>
        <w:tabs>
          <w:tab w:val="left" w:pos="5565"/>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比选申请人名称：</w:t>
      </w:r>
      <w:r>
        <w:rPr>
          <w:rFonts w:hint="eastAsia" w:ascii="仿宋" w:hAnsi="仿宋" w:eastAsia="仿宋" w:cs="仿宋"/>
          <w:w w:val="200"/>
          <w:sz w:val="21"/>
          <w:szCs w:val="21"/>
          <w:highlight w:val="none"/>
          <w:u w:val="single"/>
        </w:rPr>
        <w:t xml:space="preserve">                                     </w:t>
      </w:r>
    </w:p>
    <w:p w14:paraId="34252336">
      <w:pPr>
        <w:tabs>
          <w:tab w:val="left" w:pos="5475"/>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单位性质：</w:t>
      </w:r>
      <w:r>
        <w:rPr>
          <w:rFonts w:hint="eastAsia" w:ascii="仿宋" w:hAnsi="仿宋" w:eastAsia="仿宋" w:cs="仿宋"/>
          <w:w w:val="200"/>
          <w:sz w:val="21"/>
          <w:szCs w:val="21"/>
          <w:highlight w:val="none"/>
          <w:u w:val="single"/>
        </w:rPr>
        <w:t xml:space="preserve">                                     </w:t>
      </w:r>
    </w:p>
    <w:p w14:paraId="0FC4AF6E">
      <w:pPr>
        <w:tabs>
          <w:tab w:val="left" w:pos="5475"/>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地    址：</w:t>
      </w:r>
      <w:r>
        <w:rPr>
          <w:rFonts w:hint="eastAsia" w:ascii="仿宋" w:hAnsi="仿宋" w:eastAsia="仿宋" w:cs="仿宋"/>
          <w:w w:val="200"/>
          <w:sz w:val="21"/>
          <w:szCs w:val="21"/>
          <w:highlight w:val="none"/>
          <w:u w:val="single"/>
        </w:rPr>
        <w:t xml:space="preserve">                                     </w:t>
      </w:r>
    </w:p>
    <w:p w14:paraId="078AB627">
      <w:pPr>
        <w:tabs>
          <w:tab w:val="left" w:pos="2520"/>
          <w:tab w:val="left" w:pos="3836"/>
        </w:tabs>
        <w:autoSpaceDE w:val="0"/>
        <w:autoSpaceDN w:val="0"/>
        <w:snapToGrid w:val="0"/>
        <w:spacing w:line="480" w:lineRule="auto"/>
        <w:ind w:firstLine="390" w:firstLineChars="186"/>
        <w:jc w:val="left"/>
        <w:rPr>
          <w:rFonts w:hint="eastAsia" w:ascii="仿宋" w:hAnsi="仿宋" w:eastAsia="仿宋" w:cs="仿宋"/>
          <w:sz w:val="10"/>
          <w:szCs w:val="10"/>
          <w:highlight w:val="none"/>
        </w:rPr>
      </w:pPr>
      <w:r>
        <w:rPr>
          <w:rFonts w:hint="eastAsia" w:ascii="仿宋" w:hAnsi="仿宋" w:eastAsia="仿宋" w:cs="仿宋"/>
          <w:sz w:val="21"/>
          <w:szCs w:val="21"/>
          <w:highlight w:val="none"/>
        </w:rPr>
        <w:t>成立时间：</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年</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月</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日</w:t>
      </w:r>
    </w:p>
    <w:p w14:paraId="6F7AA991">
      <w:pPr>
        <w:tabs>
          <w:tab w:val="left" w:pos="5475"/>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经营期限：</w:t>
      </w:r>
      <w:r>
        <w:rPr>
          <w:rFonts w:hint="eastAsia" w:ascii="仿宋" w:hAnsi="仿宋" w:eastAsia="仿宋" w:cs="仿宋"/>
          <w:w w:val="200"/>
          <w:sz w:val="21"/>
          <w:szCs w:val="21"/>
          <w:highlight w:val="none"/>
          <w:u w:val="single"/>
        </w:rPr>
        <w:t xml:space="preserve">                                     </w:t>
      </w:r>
    </w:p>
    <w:p w14:paraId="4FC810BE">
      <w:pPr>
        <w:tabs>
          <w:tab w:val="left" w:pos="1580"/>
          <w:tab w:val="left" w:pos="3260"/>
          <w:tab w:val="left" w:pos="4840"/>
          <w:tab w:val="left" w:pos="6300"/>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性别</w:t>
      </w:r>
      <w:r>
        <w:rPr>
          <w:rFonts w:hint="eastAsia" w:ascii="仿宋" w:hAnsi="仿宋" w:eastAsia="仿宋" w:cs="仿宋"/>
          <w:spacing w:val="-1"/>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pacing w:val="-1"/>
          <w:sz w:val="21"/>
          <w:szCs w:val="21"/>
          <w:highlight w:val="none"/>
        </w:rPr>
        <w:t>年</w:t>
      </w:r>
      <w:r>
        <w:rPr>
          <w:rFonts w:hint="eastAsia" w:ascii="仿宋" w:hAnsi="仿宋" w:eastAsia="仿宋" w:cs="仿宋"/>
          <w:sz w:val="21"/>
          <w:szCs w:val="21"/>
          <w:highlight w:val="none"/>
        </w:rPr>
        <w:t>龄：</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职务：</w:t>
      </w:r>
      <w:r>
        <w:rPr>
          <w:rFonts w:hint="eastAsia" w:ascii="仿宋" w:hAnsi="仿宋" w:eastAsia="仿宋" w:cs="仿宋"/>
          <w:sz w:val="21"/>
          <w:szCs w:val="21"/>
          <w:highlight w:val="none"/>
          <w:u w:val="single"/>
        </w:rPr>
        <w:t xml:space="preserve">               </w:t>
      </w:r>
    </w:p>
    <w:p w14:paraId="4937269C">
      <w:pPr>
        <w:tabs>
          <w:tab w:val="left" w:pos="3360"/>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系</w:t>
      </w:r>
      <w:r>
        <w:rPr>
          <w:rFonts w:hint="eastAsia" w:ascii="仿宋" w:hAnsi="仿宋" w:eastAsia="仿宋" w:cs="仿宋"/>
          <w:sz w:val="21"/>
          <w:szCs w:val="21"/>
          <w:highlight w:val="none"/>
          <w:u w:val="single"/>
        </w:rPr>
        <w:t xml:space="preserve">                                                         （比选申请人名称）</w:t>
      </w:r>
      <w:r>
        <w:rPr>
          <w:rFonts w:hint="eastAsia" w:ascii="仿宋" w:hAnsi="仿宋" w:eastAsia="仿宋" w:cs="仿宋"/>
          <w:sz w:val="21"/>
          <w:szCs w:val="21"/>
          <w:highlight w:val="none"/>
        </w:rPr>
        <w:t>的法定代表人。</w:t>
      </w:r>
    </w:p>
    <w:p w14:paraId="63D1037D">
      <w:pPr>
        <w:tabs>
          <w:tab w:val="left" w:pos="3360"/>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特此证明。</w:t>
      </w:r>
    </w:p>
    <w:p w14:paraId="647FC3ED">
      <w:pPr>
        <w:autoSpaceDE w:val="0"/>
        <w:autoSpaceDN w:val="0"/>
        <w:snapToGrid w:val="0"/>
        <w:spacing w:line="480" w:lineRule="auto"/>
        <w:ind w:firstLine="810" w:firstLineChars="3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附：法定代表人身份证复印件（双面）</w:t>
      </w:r>
    </w:p>
    <w:p w14:paraId="148C3C0F">
      <w:pPr>
        <w:spacing w:line="360" w:lineRule="auto"/>
        <w:rPr>
          <w:rFonts w:hint="eastAsia" w:ascii="仿宋" w:hAnsi="仿宋" w:eastAsia="仿宋" w:cs="仿宋"/>
          <w:kern w:val="2"/>
          <w:sz w:val="21"/>
          <w:szCs w:val="21"/>
          <w:highlight w:val="none"/>
        </w:rPr>
      </w:pPr>
    </w:p>
    <w:p w14:paraId="62E8C092">
      <w:pPr>
        <w:spacing w:line="360" w:lineRule="auto"/>
        <w:rPr>
          <w:rFonts w:hint="eastAsia" w:ascii="仿宋" w:hAnsi="仿宋" w:eastAsia="仿宋" w:cs="仿宋"/>
          <w:kern w:val="2"/>
          <w:sz w:val="21"/>
          <w:szCs w:val="21"/>
          <w:highlight w:val="none"/>
        </w:rPr>
      </w:pPr>
    </w:p>
    <w:p w14:paraId="163098ED">
      <w:pPr>
        <w:spacing w:line="360" w:lineRule="auto"/>
        <w:rPr>
          <w:rFonts w:hint="eastAsia" w:ascii="仿宋" w:hAnsi="仿宋" w:eastAsia="仿宋" w:cs="仿宋"/>
          <w:kern w:val="2"/>
          <w:sz w:val="21"/>
          <w:szCs w:val="21"/>
          <w:highlight w:val="none"/>
        </w:rPr>
      </w:pPr>
    </w:p>
    <w:p w14:paraId="6167878C">
      <w:pPr>
        <w:spacing w:line="360" w:lineRule="auto"/>
        <w:rPr>
          <w:rFonts w:hint="eastAsia" w:ascii="仿宋" w:hAnsi="仿宋" w:eastAsia="仿宋" w:cs="仿宋"/>
          <w:kern w:val="2"/>
          <w:sz w:val="21"/>
          <w:szCs w:val="21"/>
          <w:highlight w:val="none"/>
        </w:rPr>
      </w:pPr>
    </w:p>
    <w:p w14:paraId="5BC802B0">
      <w:pPr>
        <w:spacing w:line="360" w:lineRule="auto"/>
        <w:rPr>
          <w:rFonts w:hint="eastAsia" w:ascii="仿宋" w:hAnsi="仿宋" w:eastAsia="仿宋" w:cs="仿宋"/>
          <w:kern w:val="2"/>
          <w:sz w:val="21"/>
          <w:szCs w:val="21"/>
          <w:highlight w:val="none"/>
        </w:rPr>
      </w:pPr>
    </w:p>
    <w:p w14:paraId="231C0B4E">
      <w:pPr>
        <w:autoSpaceDE w:val="0"/>
        <w:autoSpaceDN w:val="0"/>
        <w:snapToGrid w:val="0"/>
        <w:spacing w:line="480" w:lineRule="auto"/>
        <w:ind w:firstLine="420" w:firstLineChars="200"/>
        <w:jc w:val="right"/>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pacing w:val="-1"/>
          <w:sz w:val="21"/>
          <w:szCs w:val="21"/>
          <w:highlight w:val="none"/>
        </w:rPr>
        <w:t>（</w:t>
      </w:r>
      <w:r>
        <w:rPr>
          <w:rFonts w:hint="eastAsia" w:ascii="仿宋" w:hAnsi="仿宋" w:eastAsia="仿宋" w:cs="仿宋"/>
          <w:sz w:val="21"/>
          <w:szCs w:val="21"/>
          <w:highlight w:val="none"/>
        </w:rPr>
        <w:t>盖单位法人章）</w:t>
      </w:r>
    </w:p>
    <w:p w14:paraId="05EA825C">
      <w:pPr>
        <w:autoSpaceDE w:val="0"/>
        <w:autoSpaceDN w:val="0"/>
        <w:snapToGrid w:val="0"/>
        <w:spacing w:line="480" w:lineRule="auto"/>
        <w:jc w:val="left"/>
        <w:rPr>
          <w:rFonts w:hint="eastAsia" w:ascii="仿宋" w:hAnsi="仿宋" w:eastAsia="仿宋" w:cs="仿宋"/>
          <w:sz w:val="20"/>
          <w:szCs w:val="20"/>
          <w:highlight w:val="none"/>
        </w:rPr>
      </w:pPr>
    </w:p>
    <w:p w14:paraId="1097C0CB">
      <w:pPr>
        <w:tabs>
          <w:tab w:val="left" w:pos="4935"/>
          <w:tab w:val="left" w:pos="5460"/>
          <w:tab w:val="left" w:pos="6400"/>
        </w:tabs>
        <w:wordWrap w:val="0"/>
        <w:autoSpaceDE w:val="0"/>
        <w:autoSpaceDN w:val="0"/>
        <w:snapToGrid w:val="0"/>
        <w:spacing w:line="480" w:lineRule="auto"/>
        <w:ind w:firstLine="3780"/>
        <w:jc w:val="right"/>
        <w:rPr>
          <w:rFonts w:hint="eastAsia" w:ascii="仿宋" w:hAnsi="仿宋" w:eastAsia="仿宋" w:cs="仿宋"/>
          <w:sz w:val="21"/>
          <w:szCs w:val="21"/>
          <w:highlight w:val="none"/>
        </w:rPr>
      </w:pP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年</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月</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日  </w:t>
      </w:r>
    </w:p>
    <w:p w14:paraId="28CBD628">
      <w:pPr>
        <w:autoSpaceDE w:val="0"/>
        <w:autoSpaceDN w:val="0"/>
        <w:snapToGrid w:val="0"/>
        <w:spacing w:line="360" w:lineRule="auto"/>
        <w:jc w:val="left"/>
        <w:rPr>
          <w:rFonts w:hint="eastAsia" w:ascii="仿宋" w:hAnsi="仿宋" w:eastAsia="仿宋" w:cs="仿宋"/>
          <w:sz w:val="21"/>
          <w:szCs w:val="24"/>
          <w:highlight w:val="none"/>
        </w:rPr>
      </w:pPr>
    </w:p>
    <w:p w14:paraId="2EE38F07">
      <w:pPr>
        <w:adjustRightInd/>
        <w:spacing w:line="360" w:lineRule="auto"/>
        <w:ind w:firstLine="420" w:firstLineChars="200"/>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注：法定代表人身份证明需按上述格式填写完整，不可缺少内容。在此基础上增加内容的不影响其有效性。</w:t>
      </w:r>
    </w:p>
    <w:p w14:paraId="6AF2D8DB">
      <w:pPr>
        <w:tabs>
          <w:tab w:val="left" w:pos="1680"/>
          <w:tab w:val="left" w:pos="4215"/>
          <w:tab w:val="left" w:pos="4305"/>
          <w:tab w:val="left" w:pos="8000"/>
        </w:tabs>
        <w:autoSpaceDE w:val="0"/>
        <w:autoSpaceDN w:val="0"/>
        <w:snapToGrid w:val="0"/>
        <w:spacing w:line="360" w:lineRule="auto"/>
        <w:jc w:val="center"/>
        <w:rPr>
          <w:rFonts w:hint="eastAsia" w:ascii="仿宋" w:hAnsi="仿宋" w:eastAsia="仿宋" w:cs="仿宋"/>
          <w:sz w:val="20"/>
          <w:szCs w:val="20"/>
          <w:highlight w:val="none"/>
        </w:rPr>
      </w:pPr>
      <w:r>
        <w:rPr>
          <w:rFonts w:hint="eastAsia" w:ascii="仿宋" w:hAnsi="仿宋" w:eastAsia="仿宋" w:cs="仿宋"/>
          <w:b/>
          <w:sz w:val="28"/>
          <w:szCs w:val="28"/>
          <w:highlight w:val="none"/>
        </w:rPr>
        <w:br w:type="page"/>
      </w:r>
      <w:r>
        <w:rPr>
          <w:rFonts w:hint="eastAsia" w:ascii="仿宋" w:hAnsi="仿宋" w:eastAsia="仿宋" w:cs="仿宋"/>
          <w:snapToGrid w:val="0"/>
          <w:highlight w:val="none"/>
        </w:rPr>
        <w:t>授权委托书</w:t>
      </w:r>
    </w:p>
    <w:p w14:paraId="0176372F">
      <w:pPr>
        <w:tabs>
          <w:tab w:val="left" w:pos="1680"/>
          <w:tab w:val="left" w:pos="4215"/>
          <w:tab w:val="left" w:pos="4305"/>
          <w:tab w:val="left" w:pos="8000"/>
        </w:tabs>
        <w:autoSpaceDE w:val="0"/>
        <w:autoSpaceDN w:val="0"/>
        <w:snapToGrid w:val="0"/>
        <w:spacing w:line="480" w:lineRule="auto"/>
        <w:ind w:firstLine="42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本人</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（姓名）</w:t>
      </w:r>
      <w:r>
        <w:rPr>
          <w:rFonts w:hint="eastAsia" w:ascii="仿宋" w:hAnsi="仿宋" w:eastAsia="仿宋" w:cs="仿宋"/>
          <w:sz w:val="21"/>
          <w:szCs w:val="21"/>
          <w:highlight w:val="none"/>
        </w:rPr>
        <w:t>系</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w:t>
      </w:r>
      <w:r>
        <w:rPr>
          <w:rFonts w:hint="eastAsia" w:ascii="仿宋" w:hAnsi="仿宋" w:eastAsia="仿宋" w:cs="仿宋"/>
          <w:spacing w:val="-1"/>
          <w:sz w:val="21"/>
          <w:szCs w:val="21"/>
          <w:highlight w:val="none"/>
          <w:u w:val="single"/>
        </w:rPr>
        <w:t>比选申请人</w:t>
      </w:r>
      <w:r>
        <w:rPr>
          <w:rFonts w:hint="eastAsia" w:ascii="仿宋" w:hAnsi="仿宋" w:eastAsia="仿宋" w:cs="仿宋"/>
          <w:sz w:val="21"/>
          <w:szCs w:val="21"/>
          <w:highlight w:val="none"/>
          <w:u w:val="single"/>
        </w:rPr>
        <w:t>名称</w:t>
      </w:r>
      <w:r>
        <w:rPr>
          <w:rFonts w:hint="eastAsia" w:ascii="仿宋" w:hAnsi="仿宋" w:eastAsia="仿宋" w:cs="仿宋"/>
          <w:spacing w:val="1"/>
          <w:sz w:val="21"/>
          <w:szCs w:val="21"/>
          <w:highlight w:val="none"/>
          <w:u w:val="single"/>
        </w:rPr>
        <w:t>）</w:t>
      </w:r>
      <w:r>
        <w:rPr>
          <w:rFonts w:hint="eastAsia" w:ascii="仿宋" w:hAnsi="仿宋" w:eastAsia="仿宋" w:cs="仿宋"/>
          <w:sz w:val="21"/>
          <w:szCs w:val="21"/>
          <w:highlight w:val="none"/>
        </w:rPr>
        <w:t>的法定代</w:t>
      </w:r>
      <w:r>
        <w:rPr>
          <w:rFonts w:hint="eastAsia" w:ascii="仿宋" w:hAnsi="仿宋" w:eastAsia="仿宋" w:cs="仿宋"/>
          <w:spacing w:val="1"/>
          <w:sz w:val="21"/>
          <w:szCs w:val="21"/>
          <w:highlight w:val="none"/>
        </w:rPr>
        <w:t>表</w:t>
      </w:r>
      <w:r>
        <w:rPr>
          <w:rFonts w:hint="eastAsia" w:ascii="仿宋" w:hAnsi="仿宋" w:eastAsia="仿宋" w:cs="仿宋"/>
          <w:sz w:val="21"/>
          <w:szCs w:val="21"/>
          <w:highlight w:val="none"/>
        </w:rPr>
        <w:t>人，现委托</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（姓名、电话）</w:t>
      </w:r>
      <w:r>
        <w:rPr>
          <w:rFonts w:hint="eastAsia" w:ascii="仿宋" w:hAnsi="仿宋" w:eastAsia="仿宋" w:cs="仿宋"/>
          <w:sz w:val="21"/>
          <w:szCs w:val="21"/>
          <w:highlight w:val="none"/>
        </w:rPr>
        <w:t>为我方代理人。代理人根据授权，以我方名义签署、澄清、说明、补正、递交、撤回、 修改</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（项</w:t>
      </w:r>
      <w:r>
        <w:rPr>
          <w:rFonts w:hint="eastAsia" w:ascii="仿宋" w:hAnsi="仿宋" w:eastAsia="仿宋" w:cs="仿宋"/>
          <w:spacing w:val="-1"/>
          <w:sz w:val="21"/>
          <w:szCs w:val="21"/>
          <w:highlight w:val="none"/>
          <w:u w:val="single"/>
        </w:rPr>
        <w:t>目</w:t>
      </w:r>
      <w:r>
        <w:rPr>
          <w:rFonts w:hint="eastAsia" w:ascii="仿宋" w:hAnsi="仿宋" w:eastAsia="仿宋" w:cs="仿宋"/>
          <w:sz w:val="21"/>
          <w:szCs w:val="21"/>
          <w:highlight w:val="none"/>
          <w:u w:val="single"/>
        </w:rPr>
        <w:t>名称）</w:t>
      </w:r>
      <w:r>
        <w:rPr>
          <w:rFonts w:hint="eastAsia" w:ascii="仿宋" w:hAnsi="仿宋" w:eastAsia="仿宋" w:cs="仿宋"/>
          <w:sz w:val="21"/>
          <w:szCs w:val="21"/>
          <w:highlight w:val="none"/>
        </w:rPr>
        <w:t>比选申请文件、签订合同和处理有关事宜， 其法律后果由我方承担。</w:t>
      </w:r>
    </w:p>
    <w:p w14:paraId="2F2FAFA9">
      <w:pPr>
        <w:tabs>
          <w:tab w:val="left" w:pos="1680"/>
          <w:tab w:val="left" w:pos="4200"/>
          <w:tab w:val="left" w:pos="4305"/>
          <w:tab w:val="left" w:pos="8000"/>
        </w:tabs>
        <w:autoSpaceDE w:val="0"/>
        <w:autoSpaceDN w:val="0"/>
        <w:snapToGrid w:val="0"/>
        <w:spacing w:line="48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委托</w:t>
      </w:r>
      <w:r>
        <w:rPr>
          <w:rFonts w:hint="eastAsia" w:ascii="仿宋" w:hAnsi="仿宋" w:eastAsia="仿宋" w:cs="仿宋"/>
          <w:spacing w:val="-1"/>
          <w:sz w:val="21"/>
          <w:szCs w:val="21"/>
          <w:highlight w:val="none"/>
        </w:rPr>
        <w:t>期</w:t>
      </w:r>
      <w:r>
        <w:rPr>
          <w:rFonts w:hint="eastAsia" w:ascii="仿宋" w:hAnsi="仿宋" w:eastAsia="仿宋" w:cs="仿宋"/>
          <w:sz w:val="21"/>
          <w:szCs w:val="21"/>
          <w:highlight w:val="none"/>
        </w:rPr>
        <w:t>限：</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 xml:space="preserve">。 </w:t>
      </w:r>
    </w:p>
    <w:p w14:paraId="5372B8F7">
      <w:pPr>
        <w:tabs>
          <w:tab w:val="left" w:pos="1680"/>
          <w:tab w:val="left" w:pos="4200"/>
          <w:tab w:val="left" w:pos="4305"/>
          <w:tab w:val="left" w:pos="8000"/>
        </w:tabs>
        <w:autoSpaceDE w:val="0"/>
        <w:autoSpaceDN w:val="0"/>
        <w:snapToGrid w:val="0"/>
        <w:spacing w:line="48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代理人无转委托权。</w:t>
      </w:r>
    </w:p>
    <w:p w14:paraId="732EC783">
      <w:pPr>
        <w:pStyle w:val="9"/>
        <w:rPr>
          <w:rFonts w:hint="eastAsia" w:ascii="仿宋" w:hAnsi="仿宋" w:eastAsia="仿宋" w:cs="仿宋"/>
          <w:highlight w:val="none"/>
        </w:rPr>
      </w:pPr>
    </w:p>
    <w:p w14:paraId="64A8E4C6">
      <w:pPr>
        <w:tabs>
          <w:tab w:val="left" w:pos="1680"/>
          <w:tab w:val="left" w:pos="4200"/>
          <w:tab w:val="left" w:pos="4305"/>
          <w:tab w:val="left" w:pos="8000"/>
        </w:tabs>
        <w:autoSpaceDE w:val="0"/>
        <w:autoSpaceDN w:val="0"/>
        <w:snapToGrid w:val="0"/>
        <w:spacing w:line="36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w:t>
      </w:r>
      <w:r>
        <w:rPr>
          <w:rFonts w:hint="eastAsia" w:ascii="仿宋" w:hAnsi="仿宋" w:eastAsia="仿宋" w:cs="仿宋"/>
          <w:spacing w:val="-1"/>
          <w:sz w:val="21"/>
          <w:szCs w:val="21"/>
          <w:highlight w:val="none"/>
        </w:rPr>
        <w:t>盖单位法人章</w:t>
      </w:r>
      <w:r>
        <w:rPr>
          <w:rFonts w:hint="eastAsia" w:ascii="仿宋" w:hAnsi="仿宋" w:eastAsia="仿宋" w:cs="仿宋"/>
          <w:sz w:val="21"/>
          <w:szCs w:val="21"/>
          <w:highlight w:val="none"/>
        </w:rPr>
        <w:t>）</w:t>
      </w:r>
    </w:p>
    <w:p w14:paraId="3E5D6742">
      <w:pPr>
        <w:tabs>
          <w:tab w:val="left" w:pos="6300"/>
        </w:tabs>
        <w:autoSpaceDE w:val="0"/>
        <w:autoSpaceDN w:val="0"/>
        <w:snapToGrid w:val="0"/>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（签名或盖章）</w:t>
      </w:r>
    </w:p>
    <w:p w14:paraId="204F14F6">
      <w:pPr>
        <w:tabs>
          <w:tab w:val="left" w:pos="5260"/>
        </w:tabs>
        <w:autoSpaceDE w:val="0"/>
        <w:autoSpaceDN w:val="0"/>
        <w:snapToGrid w:val="0"/>
        <w:spacing w:line="360" w:lineRule="auto"/>
        <w:ind w:firstLine="420" w:firstLineChars="200"/>
        <w:jc w:val="left"/>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身份证号码：</w:t>
      </w:r>
      <w:r>
        <w:rPr>
          <w:rFonts w:hint="eastAsia" w:ascii="仿宋" w:hAnsi="仿宋" w:eastAsia="仿宋" w:cs="仿宋"/>
          <w:w w:val="200"/>
          <w:sz w:val="21"/>
          <w:szCs w:val="21"/>
          <w:highlight w:val="none"/>
          <w:u w:val="single"/>
        </w:rPr>
        <w:t xml:space="preserve">                           </w:t>
      </w:r>
    </w:p>
    <w:p w14:paraId="14E3EDDF">
      <w:pPr>
        <w:tabs>
          <w:tab w:val="left" w:pos="5260"/>
        </w:tabs>
        <w:autoSpaceDE w:val="0"/>
        <w:autoSpaceDN w:val="0"/>
        <w:snapToGrid w:val="0"/>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委托代理人：</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（签名）</w:t>
      </w:r>
    </w:p>
    <w:p w14:paraId="072948F3">
      <w:pPr>
        <w:tabs>
          <w:tab w:val="left" w:pos="6825"/>
        </w:tabs>
        <w:autoSpaceDE w:val="0"/>
        <w:autoSpaceDN w:val="0"/>
        <w:snapToGrid w:val="0"/>
        <w:spacing w:line="360" w:lineRule="auto"/>
        <w:ind w:firstLine="420" w:firstLineChars="200"/>
        <w:jc w:val="left"/>
        <w:rPr>
          <w:rFonts w:hint="eastAsia" w:ascii="仿宋" w:hAnsi="仿宋" w:eastAsia="仿宋" w:cs="仿宋"/>
          <w:w w:val="200"/>
          <w:sz w:val="21"/>
          <w:szCs w:val="21"/>
          <w:highlight w:val="none"/>
          <w:u w:val="single"/>
        </w:rPr>
      </w:pPr>
      <w:r>
        <w:rPr>
          <w:rFonts w:hint="eastAsia" w:ascii="仿宋" w:hAnsi="仿宋" w:eastAsia="仿宋" w:cs="仿宋"/>
          <w:sz w:val="21"/>
          <w:szCs w:val="21"/>
          <w:highlight w:val="none"/>
        </w:rPr>
        <w:t>身份证号码：</w:t>
      </w:r>
      <w:r>
        <w:rPr>
          <w:rFonts w:hint="eastAsia" w:ascii="仿宋" w:hAnsi="仿宋" w:eastAsia="仿宋" w:cs="仿宋"/>
          <w:w w:val="200"/>
          <w:sz w:val="21"/>
          <w:szCs w:val="21"/>
          <w:highlight w:val="none"/>
          <w:u w:val="single"/>
        </w:rPr>
        <w:t xml:space="preserve">                           </w:t>
      </w:r>
    </w:p>
    <w:p w14:paraId="55E049F3">
      <w:pPr>
        <w:tabs>
          <w:tab w:val="left" w:pos="6825"/>
        </w:tabs>
        <w:autoSpaceDE w:val="0"/>
        <w:autoSpaceDN w:val="0"/>
        <w:snapToGrid w:val="0"/>
        <w:spacing w:line="360" w:lineRule="auto"/>
        <w:ind w:firstLine="420" w:firstLineChars="200"/>
        <w:jc w:val="left"/>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单位电话（座机）：</w:t>
      </w:r>
      <w:r>
        <w:rPr>
          <w:rFonts w:hint="eastAsia" w:ascii="仿宋" w:hAnsi="仿宋" w:eastAsia="仿宋" w:cs="仿宋"/>
          <w:sz w:val="21"/>
          <w:szCs w:val="21"/>
          <w:highlight w:val="none"/>
          <w:u w:val="single"/>
        </w:rPr>
        <w:t xml:space="preserve">                              </w:t>
      </w:r>
    </w:p>
    <w:p w14:paraId="1881C78C">
      <w:pPr>
        <w:autoSpaceDE w:val="0"/>
        <w:autoSpaceDN w:val="0"/>
        <w:snapToGrid w:val="0"/>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委托代理人电话（手机）：                                          </w:t>
      </w:r>
    </w:p>
    <w:p w14:paraId="45D0F849">
      <w:pPr>
        <w:autoSpaceDE w:val="0"/>
        <w:autoSpaceDN w:val="0"/>
        <w:snapToGrid w:val="0"/>
        <w:spacing w:line="480" w:lineRule="auto"/>
        <w:ind w:firstLine="810" w:firstLineChars="3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附：法定代表人和委托代理人身份证复印件（双面）</w:t>
      </w:r>
    </w:p>
    <w:p w14:paraId="7CD1EBB9">
      <w:pPr>
        <w:tabs>
          <w:tab w:val="left" w:pos="4005"/>
          <w:tab w:val="left" w:pos="4100"/>
          <w:tab w:val="left" w:pos="5040"/>
        </w:tabs>
        <w:wordWrap w:val="0"/>
        <w:autoSpaceDE w:val="0"/>
        <w:autoSpaceDN w:val="0"/>
        <w:snapToGrid w:val="0"/>
        <w:spacing w:line="360" w:lineRule="auto"/>
        <w:ind w:firstLine="3780"/>
        <w:jc w:val="right"/>
        <w:rPr>
          <w:rFonts w:hint="eastAsia" w:ascii="仿宋" w:hAnsi="仿宋" w:eastAsia="仿宋" w:cs="仿宋"/>
          <w:w w:val="200"/>
          <w:sz w:val="21"/>
          <w:szCs w:val="21"/>
          <w:highlight w:val="none"/>
          <w:u w:val="single"/>
        </w:rPr>
      </w:pPr>
    </w:p>
    <w:p w14:paraId="1C4D04EE">
      <w:pPr>
        <w:tabs>
          <w:tab w:val="left" w:pos="4005"/>
          <w:tab w:val="left" w:pos="4100"/>
          <w:tab w:val="left" w:pos="5040"/>
        </w:tabs>
        <w:autoSpaceDE w:val="0"/>
        <w:autoSpaceDN w:val="0"/>
        <w:snapToGrid w:val="0"/>
        <w:spacing w:line="360" w:lineRule="auto"/>
        <w:rPr>
          <w:rFonts w:hint="eastAsia" w:ascii="仿宋" w:hAnsi="仿宋" w:eastAsia="仿宋" w:cs="仿宋"/>
          <w:w w:val="200"/>
          <w:sz w:val="21"/>
          <w:szCs w:val="21"/>
          <w:highlight w:val="none"/>
          <w:u w:val="single"/>
        </w:rPr>
      </w:pPr>
    </w:p>
    <w:p w14:paraId="51C2E784">
      <w:pPr>
        <w:pStyle w:val="9"/>
        <w:rPr>
          <w:rFonts w:hint="eastAsia" w:ascii="仿宋" w:hAnsi="仿宋" w:eastAsia="仿宋" w:cs="仿宋"/>
          <w:w w:val="200"/>
          <w:sz w:val="21"/>
          <w:szCs w:val="21"/>
          <w:highlight w:val="none"/>
          <w:u w:val="single"/>
        </w:rPr>
      </w:pPr>
    </w:p>
    <w:p w14:paraId="3D38909D">
      <w:pPr>
        <w:tabs>
          <w:tab w:val="left" w:pos="4005"/>
          <w:tab w:val="left" w:pos="4100"/>
          <w:tab w:val="left" w:pos="5040"/>
        </w:tabs>
        <w:autoSpaceDE w:val="0"/>
        <w:autoSpaceDN w:val="0"/>
        <w:snapToGrid w:val="0"/>
        <w:spacing w:line="360" w:lineRule="auto"/>
        <w:rPr>
          <w:rFonts w:hint="eastAsia" w:ascii="仿宋" w:hAnsi="仿宋" w:eastAsia="仿宋" w:cs="仿宋"/>
          <w:w w:val="200"/>
          <w:sz w:val="21"/>
          <w:szCs w:val="21"/>
          <w:highlight w:val="none"/>
          <w:u w:val="single"/>
        </w:rPr>
      </w:pPr>
    </w:p>
    <w:p w14:paraId="3E10B2D3">
      <w:pPr>
        <w:tabs>
          <w:tab w:val="left" w:pos="4005"/>
          <w:tab w:val="left" w:pos="4100"/>
          <w:tab w:val="left" w:pos="5040"/>
        </w:tabs>
        <w:autoSpaceDE w:val="0"/>
        <w:autoSpaceDN w:val="0"/>
        <w:snapToGrid w:val="0"/>
        <w:spacing w:line="360" w:lineRule="auto"/>
        <w:ind w:firstLine="3780"/>
        <w:jc w:val="right"/>
        <w:rPr>
          <w:rFonts w:hint="eastAsia" w:ascii="仿宋" w:hAnsi="仿宋" w:eastAsia="仿宋" w:cs="仿宋"/>
          <w:w w:val="200"/>
          <w:sz w:val="21"/>
          <w:szCs w:val="21"/>
          <w:highlight w:val="none"/>
          <w:u w:val="single"/>
        </w:rPr>
      </w:pPr>
    </w:p>
    <w:p w14:paraId="21A90FB0">
      <w:pPr>
        <w:tabs>
          <w:tab w:val="left" w:pos="4005"/>
          <w:tab w:val="left" w:pos="4100"/>
          <w:tab w:val="left" w:pos="5040"/>
        </w:tabs>
        <w:wordWrap w:val="0"/>
        <w:autoSpaceDE w:val="0"/>
        <w:autoSpaceDN w:val="0"/>
        <w:snapToGrid w:val="0"/>
        <w:spacing w:line="360" w:lineRule="auto"/>
        <w:ind w:firstLine="3780"/>
        <w:jc w:val="right"/>
        <w:rPr>
          <w:rFonts w:hint="eastAsia" w:ascii="仿宋" w:hAnsi="仿宋" w:eastAsia="仿宋" w:cs="仿宋"/>
          <w:sz w:val="21"/>
          <w:szCs w:val="21"/>
          <w:highlight w:val="none"/>
        </w:rPr>
      </w:pP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年</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月</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日</w:t>
      </w:r>
    </w:p>
    <w:p w14:paraId="6DCB8DE7">
      <w:pPr>
        <w:tabs>
          <w:tab w:val="left" w:pos="4005"/>
          <w:tab w:val="left" w:pos="4100"/>
          <w:tab w:val="left" w:pos="5040"/>
        </w:tabs>
        <w:autoSpaceDE w:val="0"/>
        <w:autoSpaceDN w:val="0"/>
        <w:snapToGrid w:val="0"/>
        <w:spacing w:line="360" w:lineRule="auto"/>
        <w:ind w:firstLine="3780"/>
        <w:jc w:val="right"/>
        <w:rPr>
          <w:rFonts w:hint="eastAsia" w:ascii="仿宋" w:hAnsi="仿宋" w:eastAsia="仿宋" w:cs="仿宋"/>
          <w:sz w:val="21"/>
          <w:szCs w:val="21"/>
          <w:highlight w:val="none"/>
        </w:rPr>
      </w:pPr>
    </w:p>
    <w:p w14:paraId="350FD540">
      <w:pPr>
        <w:tabs>
          <w:tab w:val="left" w:pos="4005"/>
          <w:tab w:val="left" w:pos="4100"/>
          <w:tab w:val="left" w:pos="5040"/>
        </w:tabs>
        <w:autoSpaceDE w:val="0"/>
        <w:autoSpaceDN w:val="0"/>
        <w:snapToGrid w:val="0"/>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3B74B551">
      <w:pPr>
        <w:tabs>
          <w:tab w:val="left" w:pos="5760"/>
        </w:tabs>
        <w:autoSpaceDE w:val="0"/>
        <w:autoSpaceDN w:val="0"/>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2、法定代表人身份证明及授权委托书原件装入比选申请文件一并递交。另外须准备一份授权委托书原件在开标现场出具。</w:t>
      </w:r>
    </w:p>
    <w:p w14:paraId="075CBFB1">
      <w:pPr>
        <w:adjustRightInd/>
        <w:spacing w:line="360" w:lineRule="auto"/>
        <w:ind w:firstLine="420" w:firstLineChars="200"/>
        <w:jc w:val="left"/>
        <w:rPr>
          <w:rFonts w:hint="eastAsia" w:ascii="仿宋" w:hAnsi="仿宋" w:eastAsia="仿宋" w:cs="仿宋"/>
          <w:kern w:val="2"/>
          <w:sz w:val="21"/>
          <w:szCs w:val="24"/>
          <w:highlight w:val="none"/>
        </w:rPr>
      </w:pPr>
      <w:r>
        <w:rPr>
          <w:rFonts w:hint="eastAsia" w:ascii="仿宋" w:hAnsi="仿宋" w:eastAsia="仿宋" w:cs="仿宋"/>
          <w:sz w:val="21"/>
          <w:szCs w:val="21"/>
          <w:highlight w:val="none"/>
        </w:rPr>
        <w:t>3.</w:t>
      </w:r>
      <w:r>
        <w:rPr>
          <w:rFonts w:hint="eastAsia" w:ascii="仿宋" w:hAnsi="仿宋" w:eastAsia="仿宋" w:cs="仿宋"/>
          <w:kern w:val="2"/>
          <w:sz w:val="21"/>
          <w:szCs w:val="24"/>
          <w:highlight w:val="none"/>
        </w:rPr>
        <w:t>授权委托书需按上述格式填写完整，不可缺少内容。在此基础上增加内容的不影响其有效性。</w:t>
      </w:r>
    </w:p>
    <w:p w14:paraId="0C32A5EC">
      <w:pPr>
        <w:pStyle w:val="7"/>
        <w:tabs>
          <w:tab w:val="left" w:pos="315"/>
        </w:tabs>
        <w:spacing w:before="156" w:beforeLines="50" w:line="500" w:lineRule="exact"/>
        <w:ind w:firstLine="420" w:firstLineChars="200"/>
        <w:jc w:val="right"/>
        <w:rPr>
          <w:rFonts w:hint="eastAsia" w:ascii="仿宋" w:hAnsi="仿宋" w:eastAsia="仿宋" w:cs="仿宋"/>
          <w:spacing w:val="-1"/>
          <w:sz w:val="21"/>
          <w:szCs w:val="21"/>
          <w:highlight w:val="none"/>
        </w:rPr>
      </w:pPr>
      <w:r>
        <w:rPr>
          <w:rFonts w:hint="eastAsia" w:ascii="仿宋" w:hAnsi="仿宋" w:eastAsia="仿宋" w:cs="仿宋"/>
          <w:kern w:val="2"/>
          <w:sz w:val="21"/>
          <w:szCs w:val="24"/>
          <w:highlight w:val="none"/>
        </w:rPr>
        <w:br w:type="page"/>
      </w:r>
    </w:p>
    <w:p w14:paraId="0E140031">
      <w:pPr>
        <w:rPr>
          <w:rFonts w:hint="eastAsia" w:ascii="仿宋" w:hAnsi="仿宋" w:eastAsia="仿宋" w:cs="仿宋"/>
          <w:highlight w:val="none"/>
        </w:rPr>
      </w:pPr>
    </w:p>
    <w:p w14:paraId="305806C8">
      <w:pPr>
        <w:pStyle w:val="9"/>
        <w:rPr>
          <w:rFonts w:hint="eastAsia" w:ascii="仿宋" w:hAnsi="仿宋" w:eastAsia="仿宋" w:cs="仿宋"/>
          <w:snapToGrid w:val="0"/>
          <w:highlight w:val="none"/>
        </w:rPr>
      </w:pPr>
    </w:p>
    <w:p w14:paraId="3C08FC3A">
      <w:pPr>
        <w:rPr>
          <w:rFonts w:hint="eastAsia" w:ascii="仿宋" w:hAnsi="仿宋" w:eastAsia="仿宋" w:cs="仿宋"/>
          <w:highlight w:val="none"/>
        </w:rPr>
      </w:pPr>
    </w:p>
    <w:p w14:paraId="3FC1012E">
      <w:pPr>
        <w:pStyle w:val="9"/>
        <w:rPr>
          <w:rFonts w:hint="eastAsia" w:ascii="仿宋" w:hAnsi="仿宋" w:eastAsia="仿宋" w:cs="仿宋"/>
          <w:highlight w:val="none"/>
        </w:rPr>
      </w:pPr>
    </w:p>
    <w:bookmarkEnd w:id="506"/>
    <w:bookmarkEnd w:id="507"/>
    <w:bookmarkEnd w:id="508"/>
    <w:p w14:paraId="6A571FD2">
      <w:pPr>
        <w:keepNext/>
        <w:keepLines/>
        <w:spacing w:line="360" w:lineRule="auto"/>
        <w:jc w:val="center"/>
        <w:outlineLvl w:val="0"/>
        <w:rPr>
          <w:rFonts w:hint="eastAsia" w:ascii="仿宋" w:hAnsi="仿宋" w:eastAsia="仿宋" w:cs="仿宋"/>
          <w:sz w:val="44"/>
          <w:szCs w:val="44"/>
          <w:highlight w:val="none"/>
        </w:rPr>
      </w:pPr>
      <w:bookmarkStart w:id="515" w:name="_Toc7263"/>
      <w:bookmarkStart w:id="516" w:name="_Toc57796013"/>
      <w:bookmarkStart w:id="517" w:name="_Toc23031"/>
      <w:bookmarkStart w:id="518" w:name="_Toc4551"/>
      <w:bookmarkStart w:id="519" w:name="_Toc492244551"/>
      <w:bookmarkStart w:id="520" w:name="_Toc430206090"/>
      <w:bookmarkStart w:id="521" w:name="_Toc19190"/>
      <w:bookmarkStart w:id="522" w:name="_Toc19345"/>
      <w:r>
        <w:rPr>
          <w:rFonts w:hint="eastAsia" w:ascii="仿宋" w:hAnsi="仿宋" w:eastAsia="仿宋" w:cs="仿宋"/>
          <w:sz w:val="44"/>
          <w:szCs w:val="44"/>
          <w:highlight w:val="none"/>
        </w:rPr>
        <w:t>二、商务部分</w:t>
      </w:r>
      <w:bookmarkEnd w:id="515"/>
      <w:bookmarkEnd w:id="516"/>
      <w:bookmarkEnd w:id="517"/>
      <w:bookmarkEnd w:id="518"/>
    </w:p>
    <w:p w14:paraId="2B6C9A86">
      <w:pPr>
        <w:autoSpaceDE w:val="0"/>
        <w:autoSpaceDN w:val="0"/>
        <w:snapToGrid w:val="0"/>
        <w:spacing w:line="360" w:lineRule="auto"/>
        <w:jc w:val="center"/>
        <w:rPr>
          <w:rFonts w:hint="eastAsia" w:ascii="仿宋" w:hAnsi="仿宋" w:eastAsia="仿宋" w:cs="仿宋"/>
          <w:kern w:val="2"/>
          <w:highlight w:val="none"/>
        </w:rPr>
      </w:pPr>
    </w:p>
    <w:p w14:paraId="0070DB5A">
      <w:pPr>
        <w:adjustRightInd/>
        <w:spacing w:line="360" w:lineRule="auto"/>
        <w:jc w:val="center"/>
        <w:rPr>
          <w:rFonts w:hint="eastAsia" w:ascii="仿宋" w:hAnsi="仿宋" w:eastAsia="仿宋" w:cs="仿宋"/>
          <w:highlight w:val="none"/>
        </w:rPr>
      </w:pPr>
      <w:r>
        <w:rPr>
          <w:rFonts w:hint="eastAsia" w:ascii="仿宋" w:hAnsi="仿宋" w:eastAsia="仿宋" w:cs="仿宋"/>
          <w:kern w:val="2"/>
          <w:highlight w:val="none"/>
        </w:rPr>
        <w:br w:type="page"/>
      </w:r>
      <w:r>
        <w:rPr>
          <w:rFonts w:hint="eastAsia" w:ascii="仿宋" w:hAnsi="仿宋" w:eastAsia="仿宋" w:cs="仿宋"/>
          <w:highlight w:val="none"/>
          <w:u w:val="single"/>
        </w:rPr>
        <w:t xml:space="preserve">                   （项目名称）</w:t>
      </w:r>
    </w:p>
    <w:p w14:paraId="049BC8EA">
      <w:pPr>
        <w:tabs>
          <w:tab w:val="left" w:pos="3600"/>
          <w:tab w:val="left" w:pos="4480"/>
          <w:tab w:val="left" w:pos="5360"/>
        </w:tabs>
        <w:autoSpaceDE w:val="0"/>
        <w:autoSpaceDN w:val="0"/>
        <w:snapToGrid w:val="0"/>
        <w:spacing w:line="360" w:lineRule="auto"/>
        <w:jc w:val="left"/>
        <w:rPr>
          <w:rFonts w:hint="eastAsia" w:ascii="仿宋" w:hAnsi="仿宋" w:eastAsia="仿宋" w:cs="仿宋"/>
          <w:sz w:val="44"/>
          <w:szCs w:val="44"/>
          <w:highlight w:val="none"/>
        </w:rPr>
      </w:pPr>
    </w:p>
    <w:p w14:paraId="67777BD8">
      <w:pPr>
        <w:tabs>
          <w:tab w:val="left" w:pos="3600"/>
          <w:tab w:val="left" w:pos="4480"/>
          <w:tab w:val="left" w:pos="5360"/>
        </w:tabs>
        <w:autoSpaceDE w:val="0"/>
        <w:autoSpaceDN w:val="0"/>
        <w:snapToGrid w:val="0"/>
        <w:spacing w:line="360" w:lineRule="auto"/>
        <w:jc w:val="left"/>
        <w:rPr>
          <w:rFonts w:hint="eastAsia" w:ascii="仿宋" w:hAnsi="仿宋" w:eastAsia="仿宋" w:cs="仿宋"/>
          <w:sz w:val="44"/>
          <w:szCs w:val="44"/>
          <w:highlight w:val="none"/>
        </w:rPr>
      </w:pPr>
    </w:p>
    <w:p w14:paraId="6DD6F3B4">
      <w:pPr>
        <w:tabs>
          <w:tab w:val="left" w:pos="3600"/>
          <w:tab w:val="left" w:pos="4480"/>
          <w:tab w:val="left" w:pos="5360"/>
        </w:tabs>
        <w:autoSpaceDE w:val="0"/>
        <w:autoSpaceDN w:val="0"/>
        <w:snapToGrid w:val="0"/>
        <w:spacing w:line="360" w:lineRule="auto"/>
        <w:jc w:val="left"/>
        <w:rPr>
          <w:rFonts w:hint="eastAsia" w:ascii="仿宋" w:hAnsi="仿宋" w:eastAsia="仿宋" w:cs="仿宋"/>
          <w:sz w:val="44"/>
          <w:szCs w:val="44"/>
          <w:highlight w:val="none"/>
        </w:rPr>
      </w:pPr>
    </w:p>
    <w:p w14:paraId="6A501FFF">
      <w:pPr>
        <w:tabs>
          <w:tab w:val="left" w:pos="3600"/>
          <w:tab w:val="left" w:pos="4480"/>
          <w:tab w:val="left" w:pos="5360"/>
        </w:tabs>
        <w:autoSpaceDE w:val="0"/>
        <w:autoSpaceDN w:val="0"/>
        <w:snapToGrid w:val="0"/>
        <w:spacing w:line="360" w:lineRule="auto"/>
        <w:jc w:val="left"/>
        <w:rPr>
          <w:rFonts w:hint="eastAsia" w:ascii="仿宋" w:hAnsi="仿宋" w:eastAsia="仿宋" w:cs="仿宋"/>
          <w:sz w:val="44"/>
          <w:szCs w:val="44"/>
          <w:highlight w:val="none"/>
        </w:rPr>
      </w:pPr>
    </w:p>
    <w:p w14:paraId="1EE87126">
      <w:pPr>
        <w:tabs>
          <w:tab w:val="left" w:pos="3600"/>
          <w:tab w:val="left" w:pos="4480"/>
          <w:tab w:val="left" w:pos="5360"/>
        </w:tabs>
        <w:autoSpaceDE w:val="0"/>
        <w:autoSpaceDN w:val="0"/>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比选申请文件</w:t>
      </w:r>
    </w:p>
    <w:p w14:paraId="56498DC7">
      <w:pPr>
        <w:autoSpaceDE w:val="0"/>
        <w:autoSpaceDN w:val="0"/>
        <w:snapToGrid w:val="0"/>
        <w:spacing w:line="360" w:lineRule="auto"/>
        <w:jc w:val="left"/>
        <w:rPr>
          <w:rFonts w:hint="eastAsia" w:ascii="仿宋" w:hAnsi="仿宋" w:eastAsia="仿宋" w:cs="仿宋"/>
          <w:sz w:val="16"/>
          <w:szCs w:val="16"/>
          <w:highlight w:val="none"/>
        </w:rPr>
      </w:pPr>
    </w:p>
    <w:p w14:paraId="5ED0F65D">
      <w:pPr>
        <w:autoSpaceDE w:val="0"/>
        <w:autoSpaceDN w:val="0"/>
        <w:snapToGrid w:val="0"/>
        <w:spacing w:line="360" w:lineRule="auto"/>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商务部分</w:t>
      </w:r>
    </w:p>
    <w:p w14:paraId="11883D48">
      <w:pPr>
        <w:autoSpaceDE w:val="0"/>
        <w:autoSpaceDN w:val="0"/>
        <w:snapToGrid w:val="0"/>
        <w:spacing w:line="360" w:lineRule="auto"/>
        <w:jc w:val="left"/>
        <w:rPr>
          <w:rFonts w:hint="eastAsia" w:ascii="仿宋" w:hAnsi="仿宋" w:eastAsia="仿宋" w:cs="仿宋"/>
          <w:b/>
          <w:sz w:val="20"/>
          <w:szCs w:val="20"/>
          <w:highlight w:val="none"/>
        </w:rPr>
      </w:pPr>
    </w:p>
    <w:p w14:paraId="32A3B16C">
      <w:pPr>
        <w:autoSpaceDE w:val="0"/>
        <w:autoSpaceDN w:val="0"/>
        <w:snapToGrid w:val="0"/>
        <w:spacing w:line="360" w:lineRule="auto"/>
        <w:jc w:val="left"/>
        <w:rPr>
          <w:rFonts w:hint="eastAsia" w:ascii="仿宋" w:hAnsi="仿宋" w:eastAsia="仿宋" w:cs="仿宋"/>
          <w:b/>
          <w:sz w:val="20"/>
          <w:szCs w:val="20"/>
          <w:highlight w:val="none"/>
        </w:rPr>
      </w:pPr>
    </w:p>
    <w:p w14:paraId="4CDA53E6">
      <w:pPr>
        <w:autoSpaceDE w:val="0"/>
        <w:autoSpaceDN w:val="0"/>
        <w:snapToGrid w:val="0"/>
        <w:spacing w:line="360" w:lineRule="auto"/>
        <w:jc w:val="left"/>
        <w:rPr>
          <w:rFonts w:hint="eastAsia" w:ascii="仿宋" w:hAnsi="仿宋" w:eastAsia="仿宋" w:cs="仿宋"/>
          <w:b/>
          <w:sz w:val="20"/>
          <w:szCs w:val="20"/>
          <w:highlight w:val="none"/>
        </w:rPr>
      </w:pPr>
    </w:p>
    <w:p w14:paraId="6ED18C52">
      <w:pPr>
        <w:autoSpaceDE w:val="0"/>
        <w:autoSpaceDN w:val="0"/>
        <w:snapToGrid w:val="0"/>
        <w:spacing w:line="360" w:lineRule="auto"/>
        <w:jc w:val="left"/>
        <w:rPr>
          <w:rFonts w:hint="eastAsia" w:ascii="仿宋" w:hAnsi="仿宋" w:eastAsia="仿宋" w:cs="仿宋"/>
          <w:b/>
          <w:sz w:val="20"/>
          <w:szCs w:val="20"/>
          <w:highlight w:val="none"/>
        </w:rPr>
      </w:pPr>
    </w:p>
    <w:p w14:paraId="780129F6">
      <w:pPr>
        <w:autoSpaceDE w:val="0"/>
        <w:autoSpaceDN w:val="0"/>
        <w:snapToGrid w:val="0"/>
        <w:spacing w:line="360" w:lineRule="auto"/>
        <w:jc w:val="left"/>
        <w:rPr>
          <w:rFonts w:hint="eastAsia" w:ascii="仿宋" w:hAnsi="仿宋" w:eastAsia="仿宋" w:cs="仿宋"/>
          <w:b/>
          <w:sz w:val="20"/>
          <w:szCs w:val="20"/>
          <w:highlight w:val="none"/>
        </w:rPr>
      </w:pPr>
    </w:p>
    <w:p w14:paraId="5FB3AC17">
      <w:pPr>
        <w:autoSpaceDE w:val="0"/>
        <w:autoSpaceDN w:val="0"/>
        <w:snapToGrid w:val="0"/>
        <w:spacing w:line="360" w:lineRule="auto"/>
        <w:jc w:val="left"/>
        <w:rPr>
          <w:rFonts w:hint="eastAsia" w:ascii="仿宋" w:hAnsi="仿宋" w:eastAsia="仿宋" w:cs="仿宋"/>
          <w:b/>
          <w:sz w:val="20"/>
          <w:szCs w:val="20"/>
          <w:highlight w:val="none"/>
        </w:rPr>
      </w:pPr>
    </w:p>
    <w:p w14:paraId="0ADDD396">
      <w:pPr>
        <w:autoSpaceDE w:val="0"/>
        <w:autoSpaceDN w:val="0"/>
        <w:snapToGrid w:val="0"/>
        <w:spacing w:line="360" w:lineRule="auto"/>
        <w:jc w:val="left"/>
        <w:rPr>
          <w:rFonts w:hint="eastAsia" w:ascii="仿宋" w:hAnsi="仿宋" w:eastAsia="仿宋" w:cs="仿宋"/>
          <w:b/>
          <w:sz w:val="20"/>
          <w:szCs w:val="20"/>
          <w:highlight w:val="none"/>
        </w:rPr>
      </w:pPr>
    </w:p>
    <w:p w14:paraId="7B0AE42D">
      <w:pPr>
        <w:autoSpaceDE w:val="0"/>
        <w:autoSpaceDN w:val="0"/>
        <w:snapToGrid w:val="0"/>
        <w:spacing w:line="360" w:lineRule="auto"/>
        <w:jc w:val="left"/>
        <w:rPr>
          <w:rFonts w:hint="eastAsia" w:ascii="仿宋" w:hAnsi="仿宋" w:eastAsia="仿宋" w:cs="仿宋"/>
          <w:b/>
          <w:sz w:val="20"/>
          <w:szCs w:val="20"/>
          <w:highlight w:val="none"/>
        </w:rPr>
      </w:pPr>
    </w:p>
    <w:p w14:paraId="6BE08583">
      <w:pPr>
        <w:autoSpaceDE w:val="0"/>
        <w:autoSpaceDN w:val="0"/>
        <w:snapToGrid w:val="0"/>
        <w:spacing w:line="360" w:lineRule="auto"/>
        <w:jc w:val="left"/>
        <w:rPr>
          <w:rFonts w:hint="eastAsia" w:ascii="仿宋" w:hAnsi="仿宋" w:eastAsia="仿宋" w:cs="仿宋"/>
          <w:b/>
          <w:sz w:val="20"/>
          <w:szCs w:val="20"/>
          <w:highlight w:val="none"/>
        </w:rPr>
      </w:pPr>
    </w:p>
    <w:p w14:paraId="1F6ED379">
      <w:pPr>
        <w:autoSpaceDE w:val="0"/>
        <w:autoSpaceDN w:val="0"/>
        <w:snapToGrid w:val="0"/>
        <w:spacing w:line="360" w:lineRule="auto"/>
        <w:jc w:val="left"/>
        <w:rPr>
          <w:rFonts w:hint="eastAsia" w:ascii="仿宋" w:hAnsi="仿宋" w:eastAsia="仿宋" w:cs="仿宋"/>
          <w:b/>
          <w:sz w:val="20"/>
          <w:szCs w:val="20"/>
          <w:highlight w:val="none"/>
        </w:rPr>
      </w:pPr>
    </w:p>
    <w:p w14:paraId="79B39D8C">
      <w:pPr>
        <w:autoSpaceDE w:val="0"/>
        <w:autoSpaceDN w:val="0"/>
        <w:snapToGrid w:val="0"/>
        <w:spacing w:line="360" w:lineRule="auto"/>
        <w:jc w:val="left"/>
        <w:rPr>
          <w:rFonts w:hint="eastAsia" w:ascii="仿宋" w:hAnsi="仿宋" w:eastAsia="仿宋" w:cs="仿宋"/>
          <w:b/>
          <w:sz w:val="20"/>
          <w:szCs w:val="20"/>
          <w:highlight w:val="none"/>
        </w:rPr>
      </w:pPr>
    </w:p>
    <w:p w14:paraId="7AB006D5">
      <w:pPr>
        <w:autoSpaceDE w:val="0"/>
        <w:autoSpaceDN w:val="0"/>
        <w:snapToGrid w:val="0"/>
        <w:spacing w:line="360" w:lineRule="auto"/>
        <w:jc w:val="left"/>
        <w:rPr>
          <w:rFonts w:hint="eastAsia" w:ascii="仿宋" w:hAnsi="仿宋" w:eastAsia="仿宋" w:cs="仿宋"/>
          <w:b/>
          <w:sz w:val="20"/>
          <w:szCs w:val="20"/>
          <w:highlight w:val="none"/>
        </w:rPr>
      </w:pPr>
    </w:p>
    <w:p w14:paraId="4E0306B3">
      <w:pPr>
        <w:autoSpaceDE w:val="0"/>
        <w:autoSpaceDN w:val="0"/>
        <w:snapToGrid w:val="0"/>
        <w:spacing w:line="360" w:lineRule="auto"/>
        <w:jc w:val="left"/>
        <w:rPr>
          <w:rFonts w:hint="eastAsia" w:ascii="仿宋" w:hAnsi="仿宋" w:eastAsia="仿宋" w:cs="仿宋"/>
          <w:b/>
          <w:sz w:val="20"/>
          <w:szCs w:val="20"/>
          <w:highlight w:val="none"/>
        </w:rPr>
      </w:pPr>
    </w:p>
    <w:p w14:paraId="6524DB77">
      <w:pPr>
        <w:tabs>
          <w:tab w:val="left" w:pos="6080"/>
          <w:tab w:val="left" w:pos="6640"/>
        </w:tabs>
        <w:autoSpaceDE w:val="0"/>
        <w:autoSpaceDN w:val="0"/>
        <w:snapToGrid w:val="0"/>
        <w:spacing w:after="156" w:afterLines="50" w:line="360" w:lineRule="auto"/>
        <w:jc w:val="center"/>
        <w:rPr>
          <w:rFonts w:hint="eastAsia" w:ascii="仿宋" w:hAnsi="仿宋" w:eastAsia="仿宋" w:cs="仿宋"/>
          <w:w w:val="99"/>
          <w:sz w:val="28"/>
          <w:szCs w:val="28"/>
          <w:highlight w:val="none"/>
        </w:rPr>
      </w:pPr>
      <w:r>
        <w:rPr>
          <w:rFonts w:hint="eastAsia" w:ascii="仿宋" w:hAnsi="仿宋" w:eastAsia="仿宋" w:cs="仿宋"/>
          <w:w w:val="99"/>
          <w:sz w:val="28"/>
          <w:szCs w:val="28"/>
          <w:highlight w:val="none"/>
        </w:rPr>
        <w:t>比选申请人</w:t>
      </w:r>
      <w:r>
        <w:rPr>
          <w:rFonts w:hint="eastAsia" w:ascii="仿宋" w:hAnsi="仿宋" w:eastAsia="仿宋" w:cs="仿宋"/>
          <w:spacing w:val="1"/>
          <w:w w:val="99"/>
          <w:sz w:val="28"/>
          <w:szCs w:val="28"/>
          <w:highlight w:val="none"/>
        </w:rPr>
        <w:t>：</w:t>
      </w:r>
      <w:r>
        <w:rPr>
          <w:rFonts w:hint="eastAsia" w:ascii="仿宋" w:hAnsi="仿宋" w:eastAsia="仿宋" w:cs="仿宋"/>
          <w:w w:val="198"/>
          <w:sz w:val="28"/>
          <w:szCs w:val="28"/>
          <w:highlight w:val="none"/>
          <w:u w:val="single"/>
        </w:rPr>
        <w:t xml:space="preserve"> 　　　　 　　</w:t>
      </w:r>
      <w:r>
        <w:rPr>
          <w:rFonts w:hint="eastAsia" w:ascii="仿宋" w:hAnsi="仿宋" w:eastAsia="仿宋" w:cs="仿宋"/>
          <w:w w:val="99"/>
          <w:sz w:val="28"/>
          <w:szCs w:val="28"/>
          <w:highlight w:val="none"/>
        </w:rPr>
        <w:t>（盖单位法人章）</w:t>
      </w:r>
    </w:p>
    <w:p w14:paraId="52044749">
      <w:pPr>
        <w:tabs>
          <w:tab w:val="left" w:pos="6080"/>
          <w:tab w:val="left" w:pos="6640"/>
        </w:tabs>
        <w:autoSpaceDE w:val="0"/>
        <w:autoSpaceDN w:val="0"/>
        <w:snapToGrid w:val="0"/>
        <w:spacing w:after="156" w:afterLines="50" w:line="360" w:lineRule="auto"/>
        <w:jc w:val="center"/>
        <w:rPr>
          <w:rFonts w:hint="eastAsia" w:ascii="仿宋" w:hAnsi="仿宋" w:eastAsia="仿宋" w:cs="仿宋"/>
          <w:b/>
          <w:sz w:val="28"/>
          <w:szCs w:val="28"/>
          <w:highlight w:val="none"/>
        </w:rPr>
      </w:pPr>
      <w:r>
        <w:rPr>
          <w:rFonts w:hint="eastAsia" w:ascii="仿宋" w:hAnsi="仿宋" w:eastAsia="仿宋" w:cs="仿宋"/>
          <w:w w:val="99"/>
          <w:sz w:val="28"/>
          <w:szCs w:val="28"/>
          <w:highlight w:val="none"/>
        </w:rPr>
        <w:t>法定代表人或其委托代理人：</w:t>
      </w:r>
      <w:r>
        <w:rPr>
          <w:rFonts w:hint="eastAsia" w:ascii="仿宋" w:hAnsi="仿宋" w:eastAsia="仿宋" w:cs="仿宋"/>
          <w:w w:val="198"/>
          <w:sz w:val="28"/>
          <w:szCs w:val="28"/>
          <w:highlight w:val="none"/>
          <w:u w:val="single"/>
        </w:rPr>
        <w:t xml:space="preserve">  　　</w:t>
      </w:r>
      <w:r>
        <w:rPr>
          <w:rFonts w:hint="eastAsia" w:ascii="仿宋" w:hAnsi="仿宋" w:eastAsia="仿宋" w:cs="仿宋"/>
          <w:w w:val="99"/>
          <w:sz w:val="28"/>
          <w:szCs w:val="28"/>
          <w:highlight w:val="none"/>
        </w:rPr>
        <w:t>（签名或盖章）</w:t>
      </w:r>
    </w:p>
    <w:p w14:paraId="092F9A4F">
      <w:pPr>
        <w:tabs>
          <w:tab w:val="left" w:pos="3280"/>
          <w:tab w:val="left" w:pos="4680"/>
          <w:tab w:val="left" w:pos="6080"/>
        </w:tabs>
        <w:autoSpaceDE w:val="0"/>
        <w:autoSpaceDN w:val="0"/>
        <w:snapToGrid w:val="0"/>
        <w:spacing w:after="156" w:afterLines="50" w:line="360" w:lineRule="auto"/>
        <w:jc w:val="center"/>
        <w:rPr>
          <w:rFonts w:hint="eastAsia" w:ascii="仿宋" w:hAnsi="仿宋" w:eastAsia="仿宋" w:cs="仿宋"/>
          <w:sz w:val="24"/>
          <w:szCs w:val="21"/>
          <w:highlight w:val="none"/>
        </w:rPr>
      </w:pPr>
      <w:r>
        <w:rPr>
          <w:rFonts w:hint="eastAsia" w:ascii="仿宋" w:hAnsi="仿宋" w:eastAsia="仿宋" w:cs="仿宋"/>
          <w:w w:val="198"/>
          <w:sz w:val="28"/>
          <w:szCs w:val="28"/>
          <w:highlight w:val="none"/>
          <w:u w:val="single"/>
        </w:rPr>
        <w:t xml:space="preserve">    </w:t>
      </w:r>
      <w:r>
        <w:rPr>
          <w:rFonts w:hint="eastAsia" w:ascii="仿宋" w:hAnsi="仿宋" w:eastAsia="仿宋" w:cs="仿宋"/>
          <w:w w:val="99"/>
          <w:sz w:val="28"/>
          <w:szCs w:val="28"/>
          <w:highlight w:val="none"/>
        </w:rPr>
        <w:t>年</w:t>
      </w:r>
      <w:r>
        <w:rPr>
          <w:rFonts w:hint="eastAsia" w:ascii="仿宋" w:hAnsi="仿宋" w:eastAsia="仿宋" w:cs="仿宋"/>
          <w:w w:val="198"/>
          <w:sz w:val="28"/>
          <w:szCs w:val="28"/>
          <w:highlight w:val="none"/>
          <w:u w:val="single"/>
        </w:rPr>
        <w:t xml:space="preserve">    </w:t>
      </w:r>
      <w:r>
        <w:rPr>
          <w:rFonts w:hint="eastAsia" w:ascii="仿宋" w:hAnsi="仿宋" w:eastAsia="仿宋" w:cs="仿宋"/>
          <w:w w:val="99"/>
          <w:sz w:val="28"/>
          <w:szCs w:val="28"/>
          <w:highlight w:val="none"/>
        </w:rPr>
        <w:t>月</w:t>
      </w:r>
      <w:r>
        <w:rPr>
          <w:rFonts w:hint="eastAsia" w:ascii="仿宋" w:hAnsi="仿宋" w:eastAsia="仿宋" w:cs="仿宋"/>
          <w:w w:val="198"/>
          <w:sz w:val="28"/>
          <w:szCs w:val="28"/>
          <w:highlight w:val="none"/>
          <w:u w:val="single"/>
        </w:rPr>
        <w:t xml:space="preserve">    </w:t>
      </w:r>
      <w:r>
        <w:rPr>
          <w:rFonts w:hint="eastAsia" w:ascii="仿宋" w:hAnsi="仿宋" w:eastAsia="仿宋" w:cs="仿宋"/>
          <w:w w:val="99"/>
          <w:sz w:val="28"/>
          <w:szCs w:val="28"/>
          <w:highlight w:val="none"/>
        </w:rPr>
        <w:t>日</w:t>
      </w:r>
      <w:r>
        <w:rPr>
          <w:rFonts w:hint="eastAsia" w:ascii="仿宋" w:hAnsi="仿宋" w:eastAsia="仿宋" w:cs="仿宋"/>
          <w:sz w:val="24"/>
          <w:szCs w:val="21"/>
          <w:highlight w:val="none"/>
        </w:rPr>
        <w:br w:type="page"/>
      </w:r>
    </w:p>
    <w:p w14:paraId="023F7390">
      <w:pPr>
        <w:autoSpaceDE w:val="0"/>
        <w:autoSpaceDN w:val="0"/>
        <w:snapToGrid w:val="0"/>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目  录</w:t>
      </w:r>
    </w:p>
    <w:p w14:paraId="57410AE4">
      <w:pPr>
        <w:autoSpaceDE w:val="0"/>
        <w:autoSpaceDN w:val="0"/>
        <w:snapToGrid w:val="0"/>
        <w:spacing w:line="360" w:lineRule="auto"/>
        <w:jc w:val="left"/>
        <w:rPr>
          <w:rFonts w:hint="eastAsia" w:ascii="仿宋" w:hAnsi="仿宋" w:eastAsia="仿宋" w:cs="仿宋"/>
          <w:sz w:val="21"/>
          <w:szCs w:val="21"/>
          <w:highlight w:val="none"/>
        </w:rPr>
      </w:pPr>
    </w:p>
    <w:p w14:paraId="754BB3C7">
      <w:pPr>
        <w:autoSpaceDE w:val="0"/>
        <w:autoSpaceDN w:val="0"/>
        <w:snapToGrid w:val="0"/>
        <w:spacing w:line="360" w:lineRule="auto"/>
        <w:jc w:val="center"/>
        <w:rPr>
          <w:rFonts w:hint="eastAsia" w:ascii="仿宋" w:hAnsi="仿宋" w:eastAsia="仿宋" w:cs="仿宋"/>
          <w:i/>
          <w:iCs/>
          <w:sz w:val="21"/>
          <w:szCs w:val="21"/>
          <w:highlight w:val="none"/>
        </w:rPr>
      </w:pPr>
      <w:r>
        <w:rPr>
          <w:rFonts w:hint="eastAsia" w:ascii="仿宋" w:hAnsi="仿宋" w:eastAsia="仿宋" w:cs="仿宋"/>
          <w:i/>
          <w:iCs/>
          <w:sz w:val="21"/>
          <w:szCs w:val="21"/>
          <w:highlight w:val="none"/>
        </w:rPr>
        <w:t>[提示：目录由比选申请人自行编制]</w:t>
      </w:r>
    </w:p>
    <w:p w14:paraId="743CE029">
      <w:pPr>
        <w:keepNext/>
        <w:keepLines/>
        <w:spacing w:line="240" w:lineRule="auto"/>
        <w:jc w:val="center"/>
        <w:outlineLvl w:val="2"/>
        <w:rPr>
          <w:rFonts w:hint="eastAsia" w:ascii="仿宋" w:hAnsi="仿宋" w:eastAsia="仿宋" w:cs="仿宋"/>
          <w:kern w:val="2"/>
          <w:highlight w:val="none"/>
        </w:rPr>
      </w:pPr>
      <w:bookmarkStart w:id="523" w:name="_Toc287620820"/>
      <w:bookmarkStart w:id="524" w:name="_Toc224103501"/>
      <w:bookmarkStart w:id="525" w:name="_Toc430530535"/>
      <w:bookmarkStart w:id="526" w:name="_Toc287607873"/>
      <w:bookmarkStart w:id="527" w:name="_Toc277082648"/>
      <w:r>
        <w:rPr>
          <w:rFonts w:hint="eastAsia" w:ascii="仿宋" w:hAnsi="仿宋" w:eastAsia="仿宋" w:cs="仿宋"/>
          <w:sz w:val="21"/>
          <w:szCs w:val="21"/>
          <w:highlight w:val="none"/>
        </w:rPr>
        <w:br w:type="page"/>
      </w:r>
      <w:bookmarkStart w:id="528" w:name="_Toc10606"/>
      <w:bookmarkStart w:id="529" w:name="_Toc57796014"/>
      <w:r>
        <w:rPr>
          <w:rFonts w:hint="eastAsia" w:ascii="仿宋" w:hAnsi="仿宋" w:eastAsia="仿宋" w:cs="仿宋"/>
          <w:kern w:val="2"/>
          <w:highlight w:val="none"/>
        </w:rPr>
        <w:t>（一）</w:t>
      </w:r>
      <w:bookmarkEnd w:id="523"/>
      <w:bookmarkEnd w:id="524"/>
      <w:bookmarkEnd w:id="525"/>
      <w:bookmarkEnd w:id="526"/>
      <w:bookmarkEnd w:id="527"/>
      <w:bookmarkEnd w:id="528"/>
      <w:bookmarkEnd w:id="529"/>
      <w:r>
        <w:rPr>
          <w:rFonts w:hint="eastAsia" w:ascii="仿宋" w:hAnsi="仿宋" w:eastAsia="仿宋" w:cs="仿宋"/>
          <w:kern w:val="2"/>
          <w:highlight w:val="none"/>
        </w:rPr>
        <w:t>按照商务部分评分要求结合自身企业实力进行提供</w:t>
      </w:r>
    </w:p>
    <w:p w14:paraId="5E70834C">
      <w:pPr>
        <w:tabs>
          <w:tab w:val="left" w:pos="2580"/>
          <w:tab w:val="left" w:pos="5940"/>
        </w:tabs>
        <w:autoSpaceDE w:val="0"/>
        <w:autoSpaceDN w:val="0"/>
        <w:snapToGrid w:val="0"/>
        <w:spacing w:line="360" w:lineRule="auto"/>
        <w:ind w:firstLine="2940"/>
        <w:jc w:val="left"/>
        <w:rPr>
          <w:rFonts w:hint="eastAsia" w:ascii="仿宋" w:hAnsi="仿宋" w:eastAsia="仿宋" w:cs="仿宋"/>
          <w:sz w:val="28"/>
          <w:szCs w:val="28"/>
          <w:highlight w:val="none"/>
        </w:rPr>
      </w:pPr>
    </w:p>
    <w:p w14:paraId="1D69E4EF">
      <w:pPr>
        <w:keepNext/>
        <w:keepLines/>
        <w:spacing w:line="360" w:lineRule="auto"/>
        <w:jc w:val="center"/>
        <w:outlineLvl w:val="0"/>
        <w:rPr>
          <w:rFonts w:hint="eastAsia" w:ascii="仿宋" w:hAnsi="仿宋" w:eastAsia="仿宋" w:cs="仿宋"/>
          <w:sz w:val="44"/>
          <w:szCs w:val="44"/>
          <w:highlight w:val="none"/>
        </w:rPr>
      </w:pPr>
      <w:r>
        <w:rPr>
          <w:rFonts w:hint="eastAsia" w:ascii="仿宋" w:hAnsi="仿宋" w:eastAsia="仿宋" w:cs="仿宋"/>
          <w:b/>
          <w:bCs/>
          <w:highlight w:val="none"/>
        </w:rPr>
        <w:br w:type="page"/>
      </w:r>
      <w:bookmarkStart w:id="530" w:name="_Toc57796015"/>
      <w:bookmarkStart w:id="531" w:name="_Toc20258"/>
      <w:bookmarkStart w:id="532" w:name="_Toc16522"/>
      <w:r>
        <w:rPr>
          <w:rFonts w:hint="eastAsia" w:ascii="仿宋" w:hAnsi="仿宋" w:eastAsia="仿宋" w:cs="仿宋"/>
          <w:sz w:val="44"/>
          <w:szCs w:val="44"/>
          <w:highlight w:val="none"/>
        </w:rPr>
        <w:t>三</w:t>
      </w:r>
      <w:bookmarkEnd w:id="530"/>
      <w:bookmarkStart w:id="533" w:name="_Toc57796016"/>
      <w:r>
        <w:rPr>
          <w:rFonts w:hint="eastAsia" w:ascii="仿宋" w:hAnsi="仿宋" w:eastAsia="仿宋" w:cs="仿宋"/>
          <w:b/>
          <w:bCs/>
          <w:sz w:val="44"/>
          <w:szCs w:val="44"/>
          <w:highlight w:val="none"/>
        </w:rPr>
        <w:t>、</w:t>
      </w:r>
      <w:r>
        <w:rPr>
          <w:rFonts w:hint="eastAsia" w:ascii="仿宋" w:hAnsi="仿宋" w:eastAsia="仿宋" w:cs="仿宋"/>
          <w:sz w:val="44"/>
          <w:szCs w:val="44"/>
          <w:highlight w:val="none"/>
        </w:rPr>
        <w:t>技术部分</w:t>
      </w:r>
      <w:bookmarkEnd w:id="531"/>
      <w:bookmarkEnd w:id="532"/>
      <w:bookmarkEnd w:id="533"/>
    </w:p>
    <w:p w14:paraId="02807500">
      <w:pPr>
        <w:adjustRightInd/>
        <w:spacing w:line="240" w:lineRule="auto"/>
        <w:jc w:val="center"/>
        <w:rPr>
          <w:rFonts w:hint="eastAsia" w:ascii="仿宋" w:hAnsi="仿宋" w:eastAsia="仿宋" w:cs="仿宋"/>
          <w:kern w:val="2"/>
          <w:sz w:val="21"/>
          <w:szCs w:val="24"/>
          <w:highlight w:val="none"/>
        </w:rPr>
      </w:pPr>
    </w:p>
    <w:p w14:paraId="1515421E">
      <w:pPr>
        <w:autoSpaceDE w:val="0"/>
        <w:autoSpaceDN w:val="0"/>
        <w:snapToGrid w:val="0"/>
        <w:spacing w:line="360" w:lineRule="auto"/>
        <w:jc w:val="center"/>
        <w:rPr>
          <w:rFonts w:hint="eastAsia" w:ascii="仿宋" w:hAnsi="仿宋" w:eastAsia="仿宋" w:cs="仿宋"/>
          <w:kern w:val="2"/>
          <w:sz w:val="44"/>
          <w:szCs w:val="44"/>
          <w:highlight w:val="none"/>
        </w:rPr>
      </w:pPr>
    </w:p>
    <w:p w14:paraId="6B962674">
      <w:pPr>
        <w:autoSpaceDE w:val="0"/>
        <w:autoSpaceDN w:val="0"/>
        <w:snapToGrid w:val="0"/>
        <w:jc w:val="center"/>
        <w:rPr>
          <w:rFonts w:hint="eastAsia" w:ascii="仿宋" w:hAnsi="仿宋" w:eastAsia="仿宋" w:cs="仿宋"/>
          <w:sz w:val="36"/>
          <w:szCs w:val="36"/>
          <w:highlight w:val="none"/>
        </w:rPr>
      </w:pPr>
      <w:r>
        <w:rPr>
          <w:rFonts w:hint="eastAsia" w:ascii="仿宋" w:hAnsi="仿宋" w:eastAsia="仿宋" w:cs="仿宋"/>
          <w:kern w:val="2"/>
          <w:sz w:val="44"/>
          <w:szCs w:val="44"/>
          <w:highlight w:val="none"/>
        </w:rPr>
        <w:br w:type="page"/>
      </w:r>
      <w:r>
        <w:rPr>
          <w:rFonts w:hint="eastAsia" w:ascii="仿宋" w:hAnsi="仿宋" w:eastAsia="仿宋" w:cs="仿宋"/>
          <w:sz w:val="36"/>
          <w:szCs w:val="36"/>
          <w:highlight w:val="none"/>
        </w:rPr>
        <w:t>目  录</w:t>
      </w:r>
    </w:p>
    <w:p w14:paraId="7A4E31C3">
      <w:pPr>
        <w:autoSpaceDE w:val="0"/>
        <w:autoSpaceDN w:val="0"/>
        <w:snapToGrid w:val="0"/>
        <w:spacing w:line="360" w:lineRule="auto"/>
        <w:jc w:val="center"/>
        <w:rPr>
          <w:rFonts w:hint="eastAsia" w:ascii="仿宋" w:hAnsi="仿宋" w:eastAsia="仿宋" w:cs="仿宋"/>
          <w:b/>
          <w:bCs/>
          <w:sz w:val="24"/>
          <w:szCs w:val="24"/>
          <w:highlight w:val="none"/>
        </w:rPr>
      </w:pPr>
    </w:p>
    <w:p w14:paraId="24D80F56">
      <w:pPr>
        <w:autoSpaceDE w:val="0"/>
        <w:autoSpaceDN w:val="0"/>
        <w:snapToGrid w:val="0"/>
        <w:spacing w:line="360" w:lineRule="auto"/>
        <w:jc w:val="left"/>
        <w:rPr>
          <w:rFonts w:hint="eastAsia" w:ascii="仿宋" w:hAnsi="仿宋" w:eastAsia="仿宋" w:cs="仿宋"/>
          <w:sz w:val="28"/>
          <w:szCs w:val="28"/>
          <w:highlight w:val="none"/>
        </w:rPr>
      </w:pPr>
    </w:p>
    <w:p w14:paraId="0FD115B6">
      <w:pPr>
        <w:autoSpaceDE w:val="0"/>
        <w:autoSpaceDN w:val="0"/>
        <w:snapToGrid w:val="0"/>
        <w:spacing w:line="360" w:lineRule="auto"/>
        <w:jc w:val="left"/>
        <w:rPr>
          <w:rFonts w:hint="eastAsia" w:ascii="仿宋" w:hAnsi="仿宋" w:eastAsia="仿宋" w:cs="仿宋"/>
          <w:sz w:val="28"/>
          <w:szCs w:val="28"/>
          <w:highlight w:val="none"/>
        </w:rPr>
      </w:pPr>
    </w:p>
    <w:p w14:paraId="633A94D2">
      <w:pPr>
        <w:autoSpaceDE w:val="0"/>
        <w:autoSpaceDN w:val="0"/>
        <w:spacing w:line="360" w:lineRule="auto"/>
        <w:ind w:right="-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[目录由比选申请人自行编制]</w:t>
      </w:r>
    </w:p>
    <w:p w14:paraId="596C34D9">
      <w:pPr>
        <w:autoSpaceDE w:val="0"/>
        <w:autoSpaceDN w:val="0"/>
        <w:snapToGrid w:val="0"/>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highlight w:val="none"/>
        </w:rPr>
        <w:br w:type="page"/>
      </w:r>
      <w:r>
        <w:rPr>
          <w:rFonts w:hint="eastAsia" w:ascii="仿宋" w:hAnsi="仿宋" w:eastAsia="仿宋" w:cs="仿宋"/>
          <w:sz w:val="40"/>
          <w:szCs w:val="40"/>
          <w:highlight w:val="none"/>
        </w:rPr>
        <w:t>技术方案</w:t>
      </w:r>
    </w:p>
    <w:p w14:paraId="27344CA3">
      <w:pPr>
        <w:autoSpaceDE w:val="0"/>
        <w:autoSpaceDN w:val="0"/>
        <w:snapToGrid w:val="0"/>
        <w:spacing w:line="360" w:lineRule="auto"/>
        <w:jc w:val="left"/>
        <w:rPr>
          <w:rFonts w:hint="eastAsia" w:ascii="仿宋" w:hAnsi="仿宋" w:eastAsia="仿宋" w:cs="仿宋"/>
          <w:sz w:val="12"/>
          <w:highlight w:val="none"/>
        </w:rPr>
      </w:pPr>
    </w:p>
    <w:p w14:paraId="1C6CE0F5">
      <w:pPr>
        <w:autoSpaceDE w:val="0"/>
        <w:autoSpaceDN w:val="0"/>
        <w:snapToGrid w:val="0"/>
        <w:spacing w:line="360" w:lineRule="auto"/>
        <w:jc w:val="center"/>
        <w:rPr>
          <w:rFonts w:hint="eastAsia" w:ascii="仿宋" w:hAnsi="仿宋" w:eastAsia="仿宋" w:cs="仿宋"/>
          <w:i/>
          <w:iCs/>
          <w:sz w:val="24"/>
          <w:szCs w:val="24"/>
          <w:highlight w:val="none"/>
        </w:rPr>
      </w:pPr>
      <w:r>
        <w:rPr>
          <w:rFonts w:hint="eastAsia" w:ascii="仿宋" w:hAnsi="仿宋" w:eastAsia="仿宋" w:cs="仿宋"/>
          <w:i/>
          <w:iCs/>
          <w:sz w:val="24"/>
          <w:szCs w:val="24"/>
          <w:highlight w:val="none"/>
        </w:rPr>
        <w:t>[提示：</w:t>
      </w:r>
      <w:r>
        <w:rPr>
          <w:rFonts w:hint="eastAsia" w:ascii="仿宋" w:hAnsi="仿宋" w:eastAsia="仿宋" w:cs="仿宋"/>
          <w:sz w:val="24"/>
          <w:szCs w:val="24"/>
          <w:highlight w:val="none"/>
        </w:rPr>
        <w:t>比选申请人</w:t>
      </w:r>
      <w:r>
        <w:rPr>
          <w:rFonts w:hint="eastAsia" w:ascii="仿宋" w:hAnsi="仿宋" w:eastAsia="仿宋" w:cs="仿宋"/>
          <w:i/>
          <w:iCs/>
          <w:sz w:val="24"/>
          <w:szCs w:val="24"/>
          <w:highlight w:val="none"/>
        </w:rPr>
        <w:t>应根据比选文件的要求编制技术方案]</w:t>
      </w:r>
    </w:p>
    <w:p w14:paraId="17FEE562">
      <w:pPr>
        <w:autoSpaceDE w:val="0"/>
        <w:autoSpaceDN w:val="0"/>
        <w:snapToGrid w:val="0"/>
        <w:spacing w:line="360" w:lineRule="auto"/>
        <w:jc w:val="left"/>
        <w:rPr>
          <w:rFonts w:hint="eastAsia" w:ascii="仿宋" w:hAnsi="仿宋" w:eastAsia="仿宋" w:cs="仿宋"/>
          <w:sz w:val="20"/>
          <w:highlight w:val="none"/>
        </w:rPr>
      </w:pPr>
    </w:p>
    <w:p w14:paraId="28B293EE">
      <w:pPr>
        <w:pStyle w:val="9"/>
        <w:rPr>
          <w:rFonts w:hint="eastAsia" w:ascii="仿宋" w:hAnsi="仿宋" w:eastAsia="仿宋" w:cs="仿宋"/>
          <w:sz w:val="28"/>
          <w:highlight w:val="none"/>
        </w:rPr>
      </w:pPr>
      <w:bookmarkStart w:id="534" w:name="_Toc15717"/>
      <w:bookmarkStart w:id="535" w:name="_Toc287620823"/>
      <w:bookmarkStart w:id="536" w:name="_Toc287620826"/>
      <w:bookmarkStart w:id="537" w:name="_Toc287607879"/>
      <w:bookmarkStart w:id="538" w:name="_Toc277082653"/>
      <w:bookmarkStart w:id="539" w:name="_Toc277082650"/>
      <w:bookmarkStart w:id="540" w:name="_Toc287607876"/>
      <w:bookmarkStart w:id="541" w:name="_Toc224103504"/>
      <w:bookmarkStart w:id="542" w:name="_Toc422321236"/>
      <w:bookmarkStart w:id="543" w:name="_Toc484630440"/>
      <w:bookmarkStart w:id="544" w:name="_Toc224103507"/>
      <w:bookmarkStart w:id="545" w:name="_Toc459930686"/>
      <w:r>
        <w:rPr>
          <w:rFonts w:hint="eastAsia" w:ascii="仿宋" w:hAnsi="仿宋" w:eastAsia="仿宋" w:cs="仿宋"/>
          <w:sz w:val="28"/>
          <w:highlight w:val="none"/>
        </w:rPr>
        <w:br w:type="page"/>
      </w:r>
    </w:p>
    <w:p w14:paraId="65E1D532">
      <w:pPr>
        <w:rPr>
          <w:rFonts w:hint="eastAsia" w:ascii="仿宋" w:hAnsi="仿宋" w:eastAsia="仿宋" w:cs="仿宋"/>
          <w:sz w:val="28"/>
          <w:highlight w:val="none"/>
        </w:rPr>
      </w:pPr>
    </w:p>
    <w:p w14:paraId="23BCC0CC">
      <w:pPr>
        <w:pStyle w:val="9"/>
        <w:rPr>
          <w:rFonts w:hint="eastAsia" w:ascii="仿宋" w:hAnsi="仿宋" w:eastAsia="仿宋" w:cs="仿宋"/>
          <w:sz w:val="28"/>
          <w:highlight w:val="none"/>
        </w:rPr>
      </w:pPr>
    </w:p>
    <w:bookmarkEnd w:id="534"/>
    <w:bookmarkEnd w:id="535"/>
    <w:bookmarkEnd w:id="536"/>
    <w:bookmarkEnd w:id="537"/>
    <w:bookmarkEnd w:id="538"/>
    <w:bookmarkEnd w:id="539"/>
    <w:bookmarkEnd w:id="540"/>
    <w:bookmarkEnd w:id="541"/>
    <w:bookmarkEnd w:id="542"/>
    <w:bookmarkEnd w:id="543"/>
    <w:bookmarkEnd w:id="544"/>
    <w:bookmarkEnd w:id="545"/>
    <w:p w14:paraId="1B3D1F96">
      <w:pPr>
        <w:autoSpaceDE w:val="0"/>
        <w:autoSpaceDN w:val="0"/>
        <w:snapToGrid w:val="0"/>
        <w:spacing w:line="360" w:lineRule="auto"/>
        <w:ind w:firstLine="420" w:firstLineChars="200"/>
        <w:jc w:val="center"/>
        <w:outlineLvl w:val="1"/>
        <w:rPr>
          <w:rFonts w:hint="eastAsia" w:ascii="仿宋" w:hAnsi="仿宋" w:eastAsia="仿宋" w:cs="仿宋"/>
          <w:kern w:val="2"/>
          <w:sz w:val="21"/>
          <w:szCs w:val="24"/>
          <w:highlight w:val="none"/>
        </w:rPr>
      </w:pPr>
    </w:p>
    <w:p w14:paraId="12F1904B">
      <w:pPr>
        <w:pStyle w:val="9"/>
        <w:rPr>
          <w:rFonts w:hint="eastAsia" w:ascii="仿宋" w:hAnsi="仿宋" w:eastAsia="仿宋" w:cs="仿宋"/>
          <w:kern w:val="2"/>
          <w:sz w:val="21"/>
          <w:szCs w:val="24"/>
          <w:highlight w:val="none"/>
        </w:rPr>
      </w:pPr>
    </w:p>
    <w:p w14:paraId="583935B5">
      <w:pPr>
        <w:rPr>
          <w:rFonts w:hint="eastAsia" w:ascii="仿宋" w:hAnsi="仿宋" w:eastAsia="仿宋" w:cs="仿宋"/>
          <w:highlight w:val="none"/>
        </w:rPr>
      </w:pPr>
    </w:p>
    <w:p w14:paraId="25CE3DE4">
      <w:pPr>
        <w:autoSpaceDE w:val="0"/>
        <w:autoSpaceDN w:val="0"/>
        <w:snapToGrid w:val="0"/>
        <w:spacing w:line="360" w:lineRule="auto"/>
        <w:ind w:firstLine="880" w:firstLineChars="200"/>
        <w:jc w:val="center"/>
        <w:outlineLvl w:val="1"/>
        <w:rPr>
          <w:rFonts w:hint="eastAsia" w:ascii="仿宋" w:hAnsi="仿宋" w:eastAsia="仿宋" w:cs="仿宋"/>
          <w:bCs/>
          <w:sz w:val="44"/>
          <w:szCs w:val="44"/>
          <w:highlight w:val="none"/>
        </w:rPr>
      </w:pPr>
      <w:bookmarkStart w:id="546" w:name="_Toc19034"/>
      <w:bookmarkStart w:id="547" w:name="_Toc17390"/>
      <w:r>
        <w:rPr>
          <w:rFonts w:hint="eastAsia" w:ascii="仿宋" w:hAnsi="仿宋" w:eastAsia="仿宋" w:cs="仿宋"/>
          <w:bCs/>
          <w:sz w:val="44"/>
          <w:szCs w:val="44"/>
          <w:highlight w:val="none"/>
        </w:rPr>
        <w:t>四、资格审查资料</w:t>
      </w:r>
      <w:bookmarkEnd w:id="509"/>
      <w:bookmarkEnd w:id="510"/>
      <w:bookmarkEnd w:id="511"/>
      <w:bookmarkEnd w:id="512"/>
      <w:bookmarkEnd w:id="513"/>
      <w:bookmarkEnd w:id="514"/>
      <w:bookmarkEnd w:id="519"/>
      <w:bookmarkEnd w:id="520"/>
      <w:bookmarkEnd w:id="521"/>
      <w:bookmarkEnd w:id="522"/>
      <w:bookmarkEnd w:id="546"/>
      <w:bookmarkEnd w:id="547"/>
    </w:p>
    <w:p w14:paraId="74292533">
      <w:pPr>
        <w:adjustRightInd/>
        <w:spacing w:line="360" w:lineRule="auto"/>
        <w:jc w:val="center"/>
        <w:rPr>
          <w:rFonts w:hint="eastAsia" w:ascii="仿宋" w:hAnsi="仿宋" w:eastAsia="仿宋" w:cs="仿宋"/>
          <w:highlight w:val="none"/>
        </w:rPr>
      </w:pPr>
      <w:r>
        <w:rPr>
          <w:rFonts w:hint="eastAsia" w:ascii="仿宋" w:hAnsi="仿宋" w:eastAsia="仿宋" w:cs="仿宋"/>
          <w:b/>
          <w:sz w:val="28"/>
          <w:szCs w:val="28"/>
          <w:highlight w:val="none"/>
          <w:u w:val="single"/>
        </w:rPr>
        <w:br w:type="page"/>
      </w:r>
      <w:r>
        <w:rPr>
          <w:rFonts w:hint="eastAsia" w:ascii="仿宋" w:hAnsi="仿宋" w:eastAsia="仿宋" w:cs="仿宋"/>
          <w:highlight w:val="none"/>
          <w:u w:val="single"/>
        </w:rPr>
        <w:t xml:space="preserve">                   （项目名称）</w:t>
      </w:r>
    </w:p>
    <w:p w14:paraId="6984F968">
      <w:pPr>
        <w:tabs>
          <w:tab w:val="left" w:pos="3600"/>
          <w:tab w:val="left" w:pos="4480"/>
          <w:tab w:val="left" w:pos="5360"/>
        </w:tabs>
        <w:autoSpaceDE w:val="0"/>
        <w:autoSpaceDN w:val="0"/>
        <w:snapToGrid w:val="0"/>
        <w:spacing w:line="360" w:lineRule="auto"/>
        <w:jc w:val="left"/>
        <w:rPr>
          <w:rFonts w:hint="eastAsia" w:ascii="仿宋" w:hAnsi="仿宋" w:eastAsia="仿宋" w:cs="仿宋"/>
          <w:sz w:val="44"/>
          <w:szCs w:val="44"/>
          <w:highlight w:val="none"/>
        </w:rPr>
      </w:pPr>
    </w:p>
    <w:p w14:paraId="2D60E991">
      <w:pPr>
        <w:tabs>
          <w:tab w:val="left" w:pos="3600"/>
          <w:tab w:val="left" w:pos="4480"/>
          <w:tab w:val="left" w:pos="5360"/>
        </w:tabs>
        <w:autoSpaceDE w:val="0"/>
        <w:autoSpaceDN w:val="0"/>
        <w:snapToGrid w:val="0"/>
        <w:spacing w:line="360" w:lineRule="auto"/>
        <w:jc w:val="left"/>
        <w:rPr>
          <w:rFonts w:hint="eastAsia" w:ascii="仿宋" w:hAnsi="仿宋" w:eastAsia="仿宋" w:cs="仿宋"/>
          <w:sz w:val="44"/>
          <w:szCs w:val="44"/>
          <w:highlight w:val="none"/>
        </w:rPr>
      </w:pPr>
    </w:p>
    <w:p w14:paraId="79ED30E5">
      <w:pPr>
        <w:tabs>
          <w:tab w:val="left" w:pos="3600"/>
          <w:tab w:val="left" w:pos="4480"/>
          <w:tab w:val="left" w:pos="5360"/>
        </w:tabs>
        <w:autoSpaceDE w:val="0"/>
        <w:autoSpaceDN w:val="0"/>
        <w:snapToGrid w:val="0"/>
        <w:spacing w:line="360" w:lineRule="auto"/>
        <w:jc w:val="left"/>
        <w:rPr>
          <w:rFonts w:hint="eastAsia" w:ascii="仿宋" w:hAnsi="仿宋" w:eastAsia="仿宋" w:cs="仿宋"/>
          <w:sz w:val="44"/>
          <w:szCs w:val="44"/>
          <w:highlight w:val="none"/>
        </w:rPr>
      </w:pPr>
    </w:p>
    <w:p w14:paraId="1B79BD80">
      <w:pPr>
        <w:tabs>
          <w:tab w:val="left" w:pos="3600"/>
          <w:tab w:val="left" w:pos="4480"/>
          <w:tab w:val="left" w:pos="5360"/>
        </w:tabs>
        <w:autoSpaceDE w:val="0"/>
        <w:autoSpaceDN w:val="0"/>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比选申请文件</w:t>
      </w:r>
    </w:p>
    <w:p w14:paraId="2867982A">
      <w:pPr>
        <w:autoSpaceDE w:val="0"/>
        <w:autoSpaceDN w:val="0"/>
        <w:snapToGrid w:val="0"/>
        <w:spacing w:line="360" w:lineRule="auto"/>
        <w:jc w:val="left"/>
        <w:rPr>
          <w:rFonts w:hint="eastAsia" w:ascii="仿宋" w:hAnsi="仿宋" w:eastAsia="仿宋" w:cs="仿宋"/>
          <w:sz w:val="16"/>
          <w:szCs w:val="16"/>
          <w:highlight w:val="none"/>
        </w:rPr>
      </w:pPr>
    </w:p>
    <w:p w14:paraId="294553BC">
      <w:pPr>
        <w:autoSpaceDE w:val="0"/>
        <w:autoSpaceDN w:val="0"/>
        <w:snapToGrid w:val="0"/>
        <w:spacing w:line="360" w:lineRule="auto"/>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资格审查部分</w:t>
      </w:r>
    </w:p>
    <w:p w14:paraId="63AA09EB">
      <w:pPr>
        <w:autoSpaceDE w:val="0"/>
        <w:autoSpaceDN w:val="0"/>
        <w:snapToGrid w:val="0"/>
        <w:spacing w:line="360" w:lineRule="auto"/>
        <w:jc w:val="left"/>
        <w:rPr>
          <w:rFonts w:hint="eastAsia" w:ascii="仿宋" w:hAnsi="仿宋" w:eastAsia="仿宋" w:cs="仿宋"/>
          <w:sz w:val="20"/>
          <w:szCs w:val="20"/>
          <w:highlight w:val="none"/>
        </w:rPr>
      </w:pPr>
    </w:p>
    <w:p w14:paraId="0D4B662C">
      <w:pPr>
        <w:snapToGrid w:val="0"/>
        <w:spacing w:line="264" w:lineRule="auto"/>
        <w:rPr>
          <w:rFonts w:hint="eastAsia" w:ascii="仿宋" w:hAnsi="仿宋" w:eastAsia="仿宋" w:cs="仿宋"/>
          <w:kern w:val="2"/>
          <w:sz w:val="21"/>
          <w:szCs w:val="21"/>
          <w:highlight w:val="none"/>
        </w:rPr>
      </w:pPr>
    </w:p>
    <w:p w14:paraId="209B6BBF">
      <w:pPr>
        <w:autoSpaceDE w:val="0"/>
        <w:autoSpaceDN w:val="0"/>
        <w:snapToGrid w:val="0"/>
        <w:spacing w:line="360" w:lineRule="auto"/>
        <w:jc w:val="left"/>
        <w:rPr>
          <w:rFonts w:hint="eastAsia" w:ascii="仿宋" w:hAnsi="仿宋" w:eastAsia="仿宋" w:cs="仿宋"/>
          <w:sz w:val="20"/>
          <w:szCs w:val="20"/>
          <w:highlight w:val="none"/>
        </w:rPr>
      </w:pPr>
    </w:p>
    <w:p w14:paraId="058135FD">
      <w:pPr>
        <w:autoSpaceDE w:val="0"/>
        <w:autoSpaceDN w:val="0"/>
        <w:snapToGrid w:val="0"/>
        <w:spacing w:line="360" w:lineRule="auto"/>
        <w:jc w:val="left"/>
        <w:rPr>
          <w:rFonts w:hint="eastAsia" w:ascii="仿宋" w:hAnsi="仿宋" w:eastAsia="仿宋" w:cs="仿宋"/>
          <w:sz w:val="20"/>
          <w:szCs w:val="20"/>
          <w:highlight w:val="none"/>
        </w:rPr>
      </w:pPr>
    </w:p>
    <w:p w14:paraId="4900D5D8">
      <w:pPr>
        <w:autoSpaceDE w:val="0"/>
        <w:autoSpaceDN w:val="0"/>
        <w:snapToGrid w:val="0"/>
        <w:spacing w:line="360" w:lineRule="auto"/>
        <w:jc w:val="left"/>
        <w:rPr>
          <w:rFonts w:hint="eastAsia" w:ascii="仿宋" w:hAnsi="仿宋" w:eastAsia="仿宋" w:cs="仿宋"/>
          <w:sz w:val="20"/>
          <w:szCs w:val="20"/>
          <w:highlight w:val="none"/>
        </w:rPr>
      </w:pPr>
    </w:p>
    <w:p w14:paraId="40189C61">
      <w:pPr>
        <w:autoSpaceDE w:val="0"/>
        <w:autoSpaceDN w:val="0"/>
        <w:snapToGrid w:val="0"/>
        <w:spacing w:line="360" w:lineRule="auto"/>
        <w:jc w:val="left"/>
        <w:rPr>
          <w:rFonts w:hint="eastAsia" w:ascii="仿宋" w:hAnsi="仿宋" w:eastAsia="仿宋" w:cs="仿宋"/>
          <w:sz w:val="20"/>
          <w:szCs w:val="20"/>
          <w:highlight w:val="none"/>
        </w:rPr>
      </w:pPr>
    </w:p>
    <w:p w14:paraId="0B341812">
      <w:pPr>
        <w:autoSpaceDE w:val="0"/>
        <w:autoSpaceDN w:val="0"/>
        <w:snapToGrid w:val="0"/>
        <w:spacing w:line="360" w:lineRule="auto"/>
        <w:jc w:val="left"/>
        <w:rPr>
          <w:rFonts w:hint="eastAsia" w:ascii="仿宋" w:hAnsi="仿宋" w:eastAsia="仿宋" w:cs="仿宋"/>
          <w:sz w:val="20"/>
          <w:szCs w:val="20"/>
          <w:highlight w:val="none"/>
        </w:rPr>
      </w:pPr>
    </w:p>
    <w:p w14:paraId="688C346B">
      <w:pPr>
        <w:autoSpaceDE w:val="0"/>
        <w:autoSpaceDN w:val="0"/>
        <w:snapToGrid w:val="0"/>
        <w:spacing w:line="360" w:lineRule="auto"/>
        <w:jc w:val="left"/>
        <w:rPr>
          <w:rFonts w:hint="eastAsia" w:ascii="仿宋" w:hAnsi="仿宋" w:eastAsia="仿宋" w:cs="仿宋"/>
          <w:sz w:val="20"/>
          <w:szCs w:val="20"/>
          <w:highlight w:val="none"/>
        </w:rPr>
      </w:pPr>
    </w:p>
    <w:p w14:paraId="65C3CA74">
      <w:pPr>
        <w:autoSpaceDE w:val="0"/>
        <w:autoSpaceDN w:val="0"/>
        <w:snapToGrid w:val="0"/>
        <w:spacing w:line="360" w:lineRule="auto"/>
        <w:jc w:val="left"/>
        <w:rPr>
          <w:rFonts w:hint="eastAsia" w:ascii="仿宋" w:hAnsi="仿宋" w:eastAsia="仿宋" w:cs="仿宋"/>
          <w:sz w:val="20"/>
          <w:szCs w:val="20"/>
          <w:highlight w:val="none"/>
        </w:rPr>
      </w:pPr>
    </w:p>
    <w:p w14:paraId="233ABF53">
      <w:pPr>
        <w:autoSpaceDE w:val="0"/>
        <w:autoSpaceDN w:val="0"/>
        <w:snapToGrid w:val="0"/>
        <w:spacing w:line="360" w:lineRule="auto"/>
        <w:jc w:val="left"/>
        <w:rPr>
          <w:rFonts w:hint="eastAsia" w:ascii="仿宋" w:hAnsi="仿宋" w:eastAsia="仿宋" w:cs="仿宋"/>
          <w:sz w:val="20"/>
          <w:szCs w:val="20"/>
          <w:highlight w:val="none"/>
        </w:rPr>
      </w:pPr>
    </w:p>
    <w:p w14:paraId="1FCA9E4F">
      <w:pPr>
        <w:autoSpaceDE w:val="0"/>
        <w:autoSpaceDN w:val="0"/>
        <w:snapToGrid w:val="0"/>
        <w:spacing w:line="360" w:lineRule="auto"/>
        <w:jc w:val="left"/>
        <w:rPr>
          <w:rFonts w:hint="eastAsia" w:ascii="仿宋" w:hAnsi="仿宋" w:eastAsia="仿宋" w:cs="仿宋"/>
          <w:sz w:val="20"/>
          <w:szCs w:val="20"/>
          <w:highlight w:val="none"/>
        </w:rPr>
      </w:pPr>
    </w:p>
    <w:p w14:paraId="3B27F74B">
      <w:pPr>
        <w:autoSpaceDE w:val="0"/>
        <w:autoSpaceDN w:val="0"/>
        <w:snapToGrid w:val="0"/>
        <w:spacing w:line="360" w:lineRule="auto"/>
        <w:jc w:val="left"/>
        <w:rPr>
          <w:rFonts w:hint="eastAsia" w:ascii="仿宋" w:hAnsi="仿宋" w:eastAsia="仿宋" w:cs="仿宋"/>
          <w:sz w:val="20"/>
          <w:szCs w:val="20"/>
          <w:highlight w:val="none"/>
        </w:rPr>
      </w:pPr>
    </w:p>
    <w:p w14:paraId="0746D3BD">
      <w:pPr>
        <w:autoSpaceDE w:val="0"/>
        <w:autoSpaceDN w:val="0"/>
        <w:snapToGrid w:val="0"/>
        <w:spacing w:line="360" w:lineRule="auto"/>
        <w:jc w:val="left"/>
        <w:rPr>
          <w:rFonts w:hint="eastAsia" w:ascii="仿宋" w:hAnsi="仿宋" w:eastAsia="仿宋" w:cs="仿宋"/>
          <w:sz w:val="20"/>
          <w:szCs w:val="20"/>
          <w:highlight w:val="none"/>
        </w:rPr>
      </w:pPr>
    </w:p>
    <w:p w14:paraId="4335A4D2">
      <w:pPr>
        <w:autoSpaceDE w:val="0"/>
        <w:autoSpaceDN w:val="0"/>
        <w:snapToGrid w:val="0"/>
        <w:spacing w:line="360" w:lineRule="auto"/>
        <w:jc w:val="left"/>
        <w:rPr>
          <w:rFonts w:hint="eastAsia" w:ascii="仿宋" w:hAnsi="仿宋" w:eastAsia="仿宋" w:cs="仿宋"/>
          <w:sz w:val="20"/>
          <w:szCs w:val="20"/>
          <w:highlight w:val="none"/>
        </w:rPr>
      </w:pPr>
    </w:p>
    <w:p w14:paraId="7C00D7BD">
      <w:pPr>
        <w:autoSpaceDE w:val="0"/>
        <w:autoSpaceDN w:val="0"/>
        <w:snapToGrid w:val="0"/>
        <w:spacing w:line="360" w:lineRule="auto"/>
        <w:jc w:val="left"/>
        <w:rPr>
          <w:rFonts w:hint="eastAsia" w:ascii="仿宋" w:hAnsi="仿宋" w:eastAsia="仿宋" w:cs="仿宋"/>
          <w:sz w:val="20"/>
          <w:szCs w:val="20"/>
          <w:highlight w:val="none"/>
        </w:rPr>
      </w:pPr>
    </w:p>
    <w:p w14:paraId="47616A7E">
      <w:pPr>
        <w:tabs>
          <w:tab w:val="left" w:pos="6080"/>
          <w:tab w:val="left" w:pos="6640"/>
        </w:tabs>
        <w:autoSpaceDE w:val="0"/>
        <w:autoSpaceDN w:val="0"/>
        <w:snapToGrid w:val="0"/>
        <w:spacing w:line="480" w:lineRule="auto"/>
        <w:jc w:val="center"/>
        <w:rPr>
          <w:rFonts w:hint="eastAsia" w:ascii="仿宋" w:hAnsi="仿宋" w:eastAsia="仿宋" w:cs="仿宋"/>
          <w:w w:val="99"/>
          <w:sz w:val="28"/>
          <w:szCs w:val="28"/>
          <w:highlight w:val="none"/>
        </w:rPr>
      </w:pPr>
      <w:r>
        <w:rPr>
          <w:rFonts w:hint="eastAsia" w:ascii="仿宋" w:hAnsi="仿宋" w:eastAsia="仿宋" w:cs="仿宋"/>
          <w:w w:val="99"/>
          <w:sz w:val="28"/>
          <w:szCs w:val="28"/>
          <w:highlight w:val="none"/>
        </w:rPr>
        <w:t>比选申请人</w:t>
      </w:r>
      <w:r>
        <w:rPr>
          <w:rFonts w:hint="eastAsia" w:ascii="仿宋" w:hAnsi="仿宋" w:eastAsia="仿宋" w:cs="仿宋"/>
          <w:spacing w:val="1"/>
          <w:w w:val="99"/>
          <w:sz w:val="28"/>
          <w:szCs w:val="28"/>
          <w:highlight w:val="none"/>
        </w:rPr>
        <w:t>：</w:t>
      </w:r>
      <w:r>
        <w:rPr>
          <w:rFonts w:hint="eastAsia" w:ascii="仿宋" w:hAnsi="仿宋" w:eastAsia="仿宋" w:cs="仿宋"/>
          <w:w w:val="198"/>
          <w:sz w:val="28"/>
          <w:szCs w:val="28"/>
          <w:highlight w:val="none"/>
          <w:u w:val="single"/>
        </w:rPr>
        <w:t xml:space="preserve"> 　　 　　 　　</w:t>
      </w:r>
      <w:r>
        <w:rPr>
          <w:rFonts w:hint="eastAsia" w:ascii="仿宋" w:hAnsi="仿宋" w:eastAsia="仿宋" w:cs="仿宋"/>
          <w:w w:val="99"/>
          <w:sz w:val="28"/>
          <w:szCs w:val="28"/>
          <w:highlight w:val="none"/>
        </w:rPr>
        <w:t>（盖单位法人章）</w:t>
      </w:r>
    </w:p>
    <w:p w14:paraId="7F3F2EEC">
      <w:pPr>
        <w:tabs>
          <w:tab w:val="left" w:pos="6080"/>
          <w:tab w:val="left" w:pos="6640"/>
        </w:tabs>
        <w:autoSpaceDE w:val="0"/>
        <w:autoSpaceDN w:val="0"/>
        <w:snapToGrid w:val="0"/>
        <w:spacing w:line="480" w:lineRule="auto"/>
        <w:jc w:val="center"/>
        <w:rPr>
          <w:rFonts w:hint="eastAsia" w:ascii="仿宋" w:hAnsi="仿宋" w:eastAsia="仿宋" w:cs="仿宋"/>
          <w:sz w:val="28"/>
          <w:szCs w:val="28"/>
          <w:highlight w:val="none"/>
        </w:rPr>
      </w:pPr>
      <w:r>
        <w:rPr>
          <w:rFonts w:hint="eastAsia" w:ascii="仿宋" w:hAnsi="仿宋" w:eastAsia="仿宋" w:cs="仿宋"/>
          <w:w w:val="99"/>
          <w:sz w:val="28"/>
          <w:szCs w:val="28"/>
          <w:highlight w:val="none"/>
        </w:rPr>
        <w:t>法定代表人或其委托代理人：</w:t>
      </w:r>
      <w:r>
        <w:rPr>
          <w:rFonts w:hint="eastAsia" w:ascii="仿宋" w:hAnsi="仿宋" w:eastAsia="仿宋" w:cs="仿宋"/>
          <w:w w:val="198"/>
          <w:sz w:val="28"/>
          <w:szCs w:val="28"/>
          <w:highlight w:val="none"/>
          <w:u w:val="single"/>
        </w:rPr>
        <w:t xml:space="preserve"> 　 　</w:t>
      </w:r>
      <w:r>
        <w:rPr>
          <w:rFonts w:hint="eastAsia" w:ascii="仿宋" w:hAnsi="仿宋" w:eastAsia="仿宋" w:cs="仿宋"/>
          <w:w w:val="99"/>
          <w:sz w:val="28"/>
          <w:szCs w:val="28"/>
          <w:highlight w:val="none"/>
        </w:rPr>
        <w:t>（签名或盖章）</w:t>
      </w:r>
    </w:p>
    <w:p w14:paraId="35F81B0E">
      <w:pPr>
        <w:tabs>
          <w:tab w:val="left" w:pos="3280"/>
          <w:tab w:val="left" w:pos="4680"/>
          <w:tab w:val="left" w:pos="6080"/>
        </w:tabs>
        <w:autoSpaceDE w:val="0"/>
        <w:autoSpaceDN w:val="0"/>
        <w:snapToGrid w:val="0"/>
        <w:spacing w:line="360" w:lineRule="auto"/>
        <w:jc w:val="center"/>
        <w:rPr>
          <w:rFonts w:hint="eastAsia" w:ascii="仿宋" w:hAnsi="仿宋" w:eastAsia="仿宋" w:cs="仿宋"/>
          <w:sz w:val="24"/>
          <w:szCs w:val="21"/>
          <w:highlight w:val="none"/>
        </w:rPr>
      </w:pPr>
      <w:r>
        <w:rPr>
          <w:rFonts w:hint="eastAsia" w:ascii="仿宋" w:hAnsi="仿宋" w:eastAsia="仿宋" w:cs="仿宋"/>
          <w:w w:val="198"/>
          <w:sz w:val="28"/>
          <w:szCs w:val="28"/>
          <w:highlight w:val="none"/>
          <w:u w:val="single"/>
        </w:rPr>
        <w:t xml:space="preserve">    </w:t>
      </w:r>
      <w:r>
        <w:rPr>
          <w:rFonts w:hint="eastAsia" w:ascii="仿宋" w:hAnsi="仿宋" w:eastAsia="仿宋" w:cs="仿宋"/>
          <w:w w:val="99"/>
          <w:sz w:val="28"/>
          <w:szCs w:val="28"/>
          <w:highlight w:val="none"/>
        </w:rPr>
        <w:t>年</w:t>
      </w:r>
      <w:r>
        <w:rPr>
          <w:rFonts w:hint="eastAsia" w:ascii="仿宋" w:hAnsi="仿宋" w:eastAsia="仿宋" w:cs="仿宋"/>
          <w:w w:val="198"/>
          <w:sz w:val="28"/>
          <w:szCs w:val="28"/>
          <w:highlight w:val="none"/>
          <w:u w:val="single"/>
        </w:rPr>
        <w:t xml:space="preserve">    </w:t>
      </w:r>
      <w:r>
        <w:rPr>
          <w:rFonts w:hint="eastAsia" w:ascii="仿宋" w:hAnsi="仿宋" w:eastAsia="仿宋" w:cs="仿宋"/>
          <w:w w:val="99"/>
          <w:sz w:val="28"/>
          <w:szCs w:val="28"/>
          <w:highlight w:val="none"/>
        </w:rPr>
        <w:t>月</w:t>
      </w:r>
      <w:r>
        <w:rPr>
          <w:rFonts w:hint="eastAsia" w:ascii="仿宋" w:hAnsi="仿宋" w:eastAsia="仿宋" w:cs="仿宋"/>
          <w:w w:val="198"/>
          <w:sz w:val="28"/>
          <w:szCs w:val="28"/>
          <w:highlight w:val="none"/>
          <w:u w:val="single"/>
        </w:rPr>
        <w:t xml:space="preserve">    </w:t>
      </w:r>
      <w:r>
        <w:rPr>
          <w:rFonts w:hint="eastAsia" w:ascii="仿宋" w:hAnsi="仿宋" w:eastAsia="仿宋" w:cs="仿宋"/>
          <w:w w:val="99"/>
          <w:sz w:val="28"/>
          <w:szCs w:val="28"/>
          <w:highlight w:val="none"/>
        </w:rPr>
        <w:t>日</w:t>
      </w:r>
    </w:p>
    <w:p w14:paraId="0A32C3BA">
      <w:pPr>
        <w:snapToGrid w:val="0"/>
        <w:spacing w:line="520" w:lineRule="exact"/>
        <w:ind w:firstLine="301" w:firstLineChars="100"/>
        <w:jc w:val="center"/>
        <w:rPr>
          <w:rFonts w:hint="eastAsia" w:ascii="仿宋" w:hAnsi="仿宋" w:eastAsia="仿宋" w:cs="仿宋"/>
          <w:b/>
          <w:sz w:val="30"/>
          <w:szCs w:val="30"/>
          <w:highlight w:val="none"/>
        </w:rPr>
      </w:pPr>
    </w:p>
    <w:p w14:paraId="588B6FAA">
      <w:pPr>
        <w:snapToGrid w:val="0"/>
        <w:spacing w:line="520" w:lineRule="exact"/>
        <w:ind w:firstLine="301" w:firstLineChars="100"/>
        <w:jc w:val="center"/>
        <w:rPr>
          <w:rFonts w:hint="eastAsia" w:ascii="仿宋" w:hAnsi="仿宋" w:eastAsia="仿宋" w:cs="仿宋"/>
          <w:b/>
          <w:sz w:val="30"/>
          <w:szCs w:val="30"/>
          <w:highlight w:val="none"/>
        </w:rPr>
      </w:pPr>
    </w:p>
    <w:p w14:paraId="7847B654">
      <w:pPr>
        <w:autoSpaceDE w:val="0"/>
        <w:autoSpaceDN w:val="0"/>
        <w:snapToGrid w:val="0"/>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目  录</w:t>
      </w:r>
    </w:p>
    <w:p w14:paraId="722AB218">
      <w:pPr>
        <w:autoSpaceDE w:val="0"/>
        <w:autoSpaceDN w:val="0"/>
        <w:snapToGrid w:val="0"/>
        <w:spacing w:before="70" w:line="360" w:lineRule="auto"/>
        <w:ind w:right="-20"/>
        <w:rPr>
          <w:rFonts w:hint="eastAsia" w:ascii="仿宋" w:hAnsi="仿宋" w:eastAsia="仿宋" w:cs="仿宋"/>
          <w:snapToGrid w:val="0"/>
          <w:sz w:val="24"/>
          <w:highlight w:val="none"/>
        </w:rPr>
      </w:pPr>
    </w:p>
    <w:p w14:paraId="6AFF2D0A">
      <w:pPr>
        <w:tabs>
          <w:tab w:val="left" w:pos="2000"/>
          <w:tab w:val="left" w:pos="5580"/>
          <w:tab w:val="left" w:pos="6220"/>
          <w:tab w:val="left" w:pos="6840"/>
          <w:tab w:val="left" w:pos="7460"/>
          <w:tab w:val="left" w:pos="8100"/>
        </w:tabs>
        <w:autoSpaceDE w:val="0"/>
        <w:autoSpaceDN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（一）法定代表人身份证明或附有法定代表人身份证明的授权委托书</w:t>
      </w:r>
    </w:p>
    <w:p w14:paraId="5A6FCF3E">
      <w:pPr>
        <w:tabs>
          <w:tab w:val="left" w:pos="2000"/>
          <w:tab w:val="left" w:pos="5580"/>
          <w:tab w:val="left" w:pos="6220"/>
          <w:tab w:val="left" w:pos="6840"/>
          <w:tab w:val="left" w:pos="7460"/>
          <w:tab w:val="left" w:pos="8100"/>
        </w:tabs>
        <w:autoSpaceDE w:val="0"/>
        <w:autoSpaceDN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（二）比选申请人基本情况表</w:t>
      </w:r>
    </w:p>
    <w:p w14:paraId="0E6E6C0C">
      <w:pPr>
        <w:tabs>
          <w:tab w:val="left" w:pos="2000"/>
          <w:tab w:val="left" w:pos="5580"/>
          <w:tab w:val="left" w:pos="6220"/>
          <w:tab w:val="left" w:pos="6840"/>
          <w:tab w:val="left" w:pos="7460"/>
          <w:tab w:val="left" w:pos="8100"/>
        </w:tabs>
        <w:autoSpaceDE w:val="0"/>
        <w:autoSpaceDN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（三）项目管理机构</w:t>
      </w:r>
    </w:p>
    <w:p w14:paraId="3D33B8C3">
      <w:pPr>
        <w:tabs>
          <w:tab w:val="left" w:pos="2000"/>
          <w:tab w:val="left" w:pos="5580"/>
          <w:tab w:val="left" w:pos="6220"/>
          <w:tab w:val="left" w:pos="6840"/>
          <w:tab w:val="left" w:pos="7460"/>
          <w:tab w:val="left" w:pos="8100"/>
        </w:tabs>
        <w:autoSpaceDE w:val="0"/>
        <w:autoSpaceDN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（四）承诺</w:t>
      </w:r>
    </w:p>
    <w:p w14:paraId="0443F7B8">
      <w:pPr>
        <w:tabs>
          <w:tab w:val="left" w:pos="2000"/>
          <w:tab w:val="left" w:pos="5580"/>
          <w:tab w:val="left" w:pos="6220"/>
          <w:tab w:val="left" w:pos="6840"/>
          <w:tab w:val="left" w:pos="7460"/>
          <w:tab w:val="left" w:pos="8100"/>
        </w:tabs>
        <w:autoSpaceDE w:val="0"/>
        <w:autoSpaceDN w:val="0"/>
        <w:snapToGrid w:val="0"/>
        <w:spacing w:line="360" w:lineRule="auto"/>
        <w:rPr>
          <w:rFonts w:hint="eastAsia" w:ascii="仿宋" w:hAnsi="仿宋" w:eastAsia="仿宋" w:cs="仿宋"/>
          <w:sz w:val="24"/>
          <w:szCs w:val="24"/>
          <w:highlight w:val="none"/>
        </w:rPr>
        <w:sectPr>
          <w:footerReference r:id="rId12"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sz w:val="24"/>
          <w:szCs w:val="24"/>
          <w:highlight w:val="none"/>
        </w:rPr>
        <w:t>（五）其他资料</w:t>
      </w:r>
    </w:p>
    <w:p w14:paraId="3E831061">
      <w:pPr>
        <w:keepNext/>
        <w:keepLines/>
        <w:spacing w:before="260" w:after="260" w:line="416" w:lineRule="auto"/>
        <w:jc w:val="center"/>
        <w:outlineLvl w:val="2"/>
        <w:rPr>
          <w:rFonts w:hint="eastAsia" w:ascii="仿宋" w:hAnsi="仿宋" w:eastAsia="仿宋" w:cs="仿宋"/>
          <w:b/>
          <w:bCs/>
          <w:snapToGrid w:val="0"/>
          <w:sz w:val="30"/>
          <w:szCs w:val="30"/>
          <w:highlight w:val="none"/>
        </w:rPr>
      </w:pPr>
      <w:bookmarkStart w:id="548" w:name="_Toc57905929"/>
      <w:bookmarkStart w:id="549" w:name="_Toc5633"/>
      <w:bookmarkStart w:id="550" w:name="_Toc430530546"/>
      <w:bookmarkStart w:id="551" w:name="_Toc287607883"/>
      <w:bookmarkStart w:id="552" w:name="_Toc224103511"/>
      <w:bookmarkStart w:id="553" w:name="_Toc287620830"/>
      <w:bookmarkStart w:id="554" w:name="_Toc277082657"/>
      <w:r>
        <w:rPr>
          <w:rFonts w:hint="eastAsia" w:ascii="仿宋" w:hAnsi="仿宋" w:eastAsia="仿宋" w:cs="仿宋"/>
          <w:b/>
          <w:bCs/>
          <w:kern w:val="2"/>
          <w:sz w:val="30"/>
          <w:szCs w:val="30"/>
          <w:highlight w:val="none"/>
        </w:rPr>
        <w:t>（一）法定代表人身份证明或附有法定代表人身份证明的授权委托书</w:t>
      </w:r>
      <w:bookmarkEnd w:id="548"/>
      <w:bookmarkEnd w:id="549"/>
    </w:p>
    <w:p w14:paraId="45183E77">
      <w:pPr>
        <w:adjustRightInd/>
        <w:spacing w:line="480" w:lineRule="auto"/>
        <w:jc w:val="center"/>
        <w:rPr>
          <w:rFonts w:hint="eastAsia" w:ascii="仿宋" w:hAnsi="仿宋" w:eastAsia="仿宋" w:cs="仿宋"/>
          <w:kern w:val="2"/>
          <w:sz w:val="28"/>
          <w:szCs w:val="24"/>
          <w:highlight w:val="none"/>
        </w:rPr>
      </w:pPr>
      <w:r>
        <w:rPr>
          <w:rFonts w:hint="eastAsia" w:ascii="仿宋" w:hAnsi="仿宋" w:eastAsia="仿宋" w:cs="仿宋"/>
          <w:kern w:val="2"/>
          <w:sz w:val="28"/>
          <w:szCs w:val="24"/>
          <w:highlight w:val="none"/>
        </w:rPr>
        <w:t>法定代表人身份证明</w:t>
      </w:r>
    </w:p>
    <w:p w14:paraId="4E214448">
      <w:pPr>
        <w:adjustRightInd/>
        <w:spacing w:line="480" w:lineRule="auto"/>
        <w:jc w:val="center"/>
        <w:rPr>
          <w:rFonts w:hint="eastAsia" w:ascii="仿宋" w:hAnsi="仿宋" w:eastAsia="仿宋" w:cs="仿宋"/>
          <w:kern w:val="2"/>
          <w:sz w:val="21"/>
          <w:szCs w:val="24"/>
          <w:highlight w:val="none"/>
        </w:rPr>
      </w:pPr>
    </w:p>
    <w:p w14:paraId="6D454AF5">
      <w:pPr>
        <w:tabs>
          <w:tab w:val="left" w:pos="5565"/>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比选申请人名称：</w:t>
      </w:r>
      <w:r>
        <w:rPr>
          <w:rFonts w:hint="eastAsia" w:ascii="仿宋" w:hAnsi="仿宋" w:eastAsia="仿宋" w:cs="仿宋"/>
          <w:w w:val="200"/>
          <w:sz w:val="21"/>
          <w:szCs w:val="21"/>
          <w:highlight w:val="none"/>
          <w:u w:val="single"/>
        </w:rPr>
        <w:t xml:space="preserve">                                     </w:t>
      </w:r>
    </w:p>
    <w:p w14:paraId="165979D0">
      <w:pPr>
        <w:tabs>
          <w:tab w:val="left" w:pos="5475"/>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单位性质：</w:t>
      </w:r>
      <w:r>
        <w:rPr>
          <w:rFonts w:hint="eastAsia" w:ascii="仿宋" w:hAnsi="仿宋" w:eastAsia="仿宋" w:cs="仿宋"/>
          <w:w w:val="200"/>
          <w:sz w:val="21"/>
          <w:szCs w:val="21"/>
          <w:highlight w:val="none"/>
          <w:u w:val="single"/>
        </w:rPr>
        <w:t xml:space="preserve">                                     </w:t>
      </w:r>
    </w:p>
    <w:p w14:paraId="01A2EE1E">
      <w:pPr>
        <w:tabs>
          <w:tab w:val="left" w:pos="5475"/>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地    址：</w:t>
      </w:r>
      <w:r>
        <w:rPr>
          <w:rFonts w:hint="eastAsia" w:ascii="仿宋" w:hAnsi="仿宋" w:eastAsia="仿宋" w:cs="仿宋"/>
          <w:w w:val="200"/>
          <w:sz w:val="21"/>
          <w:szCs w:val="21"/>
          <w:highlight w:val="none"/>
          <w:u w:val="single"/>
        </w:rPr>
        <w:t xml:space="preserve">                                     </w:t>
      </w:r>
    </w:p>
    <w:p w14:paraId="6295A84C">
      <w:pPr>
        <w:tabs>
          <w:tab w:val="left" w:pos="2520"/>
          <w:tab w:val="left" w:pos="3836"/>
        </w:tabs>
        <w:autoSpaceDE w:val="0"/>
        <w:autoSpaceDN w:val="0"/>
        <w:snapToGrid w:val="0"/>
        <w:spacing w:line="480" w:lineRule="auto"/>
        <w:ind w:firstLine="390" w:firstLineChars="186"/>
        <w:jc w:val="left"/>
        <w:rPr>
          <w:rFonts w:hint="eastAsia" w:ascii="仿宋" w:hAnsi="仿宋" w:eastAsia="仿宋" w:cs="仿宋"/>
          <w:sz w:val="10"/>
          <w:szCs w:val="10"/>
          <w:highlight w:val="none"/>
        </w:rPr>
      </w:pPr>
      <w:r>
        <w:rPr>
          <w:rFonts w:hint="eastAsia" w:ascii="仿宋" w:hAnsi="仿宋" w:eastAsia="仿宋" w:cs="仿宋"/>
          <w:sz w:val="21"/>
          <w:szCs w:val="21"/>
          <w:highlight w:val="none"/>
        </w:rPr>
        <w:t>成立时间：</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年</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月</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日</w:t>
      </w:r>
    </w:p>
    <w:p w14:paraId="22665CAE">
      <w:pPr>
        <w:tabs>
          <w:tab w:val="left" w:pos="5475"/>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经营期限：</w:t>
      </w:r>
      <w:r>
        <w:rPr>
          <w:rFonts w:hint="eastAsia" w:ascii="仿宋" w:hAnsi="仿宋" w:eastAsia="仿宋" w:cs="仿宋"/>
          <w:w w:val="200"/>
          <w:sz w:val="21"/>
          <w:szCs w:val="21"/>
          <w:highlight w:val="none"/>
          <w:u w:val="single"/>
        </w:rPr>
        <w:t xml:space="preserve">                                     </w:t>
      </w:r>
    </w:p>
    <w:p w14:paraId="4BFE41D2">
      <w:pPr>
        <w:tabs>
          <w:tab w:val="left" w:pos="1580"/>
          <w:tab w:val="left" w:pos="3260"/>
          <w:tab w:val="left" w:pos="4840"/>
          <w:tab w:val="left" w:pos="6300"/>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性别</w:t>
      </w:r>
      <w:r>
        <w:rPr>
          <w:rFonts w:hint="eastAsia" w:ascii="仿宋" w:hAnsi="仿宋" w:eastAsia="仿宋" w:cs="仿宋"/>
          <w:spacing w:val="-1"/>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pacing w:val="-1"/>
          <w:sz w:val="21"/>
          <w:szCs w:val="21"/>
          <w:highlight w:val="none"/>
        </w:rPr>
        <w:t>年</w:t>
      </w:r>
      <w:r>
        <w:rPr>
          <w:rFonts w:hint="eastAsia" w:ascii="仿宋" w:hAnsi="仿宋" w:eastAsia="仿宋" w:cs="仿宋"/>
          <w:sz w:val="21"/>
          <w:szCs w:val="21"/>
          <w:highlight w:val="none"/>
        </w:rPr>
        <w:t>龄：</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职务：</w:t>
      </w:r>
      <w:r>
        <w:rPr>
          <w:rFonts w:hint="eastAsia" w:ascii="仿宋" w:hAnsi="仿宋" w:eastAsia="仿宋" w:cs="仿宋"/>
          <w:sz w:val="21"/>
          <w:szCs w:val="21"/>
          <w:highlight w:val="none"/>
          <w:u w:val="single"/>
        </w:rPr>
        <w:t xml:space="preserve">               </w:t>
      </w:r>
    </w:p>
    <w:p w14:paraId="7430017C">
      <w:pPr>
        <w:tabs>
          <w:tab w:val="left" w:pos="3360"/>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系</w:t>
      </w:r>
      <w:r>
        <w:rPr>
          <w:rFonts w:hint="eastAsia" w:ascii="仿宋" w:hAnsi="仿宋" w:eastAsia="仿宋" w:cs="仿宋"/>
          <w:sz w:val="21"/>
          <w:szCs w:val="21"/>
          <w:highlight w:val="none"/>
          <w:u w:val="single"/>
        </w:rPr>
        <w:t xml:space="preserve">                                                         （比选申请人名称）</w:t>
      </w:r>
      <w:r>
        <w:rPr>
          <w:rFonts w:hint="eastAsia" w:ascii="仿宋" w:hAnsi="仿宋" w:eastAsia="仿宋" w:cs="仿宋"/>
          <w:sz w:val="21"/>
          <w:szCs w:val="21"/>
          <w:highlight w:val="none"/>
        </w:rPr>
        <w:t>的法定代表人。</w:t>
      </w:r>
    </w:p>
    <w:p w14:paraId="70B5D6F9">
      <w:pPr>
        <w:tabs>
          <w:tab w:val="left" w:pos="3360"/>
        </w:tabs>
        <w:autoSpaceDE w:val="0"/>
        <w:autoSpaceDN w:val="0"/>
        <w:snapToGrid w:val="0"/>
        <w:spacing w:line="480" w:lineRule="auto"/>
        <w:ind w:firstLine="390" w:firstLineChars="1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特此证明。</w:t>
      </w:r>
    </w:p>
    <w:p w14:paraId="0B050213">
      <w:pPr>
        <w:autoSpaceDE w:val="0"/>
        <w:autoSpaceDN w:val="0"/>
        <w:snapToGrid w:val="0"/>
        <w:spacing w:line="480" w:lineRule="auto"/>
        <w:ind w:firstLine="810" w:firstLineChars="3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附：法定代表人身份证复印件（双面）</w:t>
      </w:r>
    </w:p>
    <w:p w14:paraId="5A2D50DE">
      <w:pPr>
        <w:autoSpaceDE w:val="0"/>
        <w:autoSpaceDN w:val="0"/>
        <w:snapToGrid w:val="0"/>
        <w:spacing w:line="360" w:lineRule="auto"/>
        <w:jc w:val="left"/>
        <w:rPr>
          <w:rFonts w:hint="eastAsia" w:ascii="仿宋" w:hAnsi="仿宋" w:eastAsia="仿宋" w:cs="仿宋"/>
          <w:kern w:val="2"/>
          <w:sz w:val="21"/>
          <w:szCs w:val="21"/>
          <w:highlight w:val="none"/>
        </w:rPr>
      </w:pPr>
    </w:p>
    <w:p w14:paraId="178436CF">
      <w:pPr>
        <w:spacing w:line="360" w:lineRule="auto"/>
        <w:rPr>
          <w:rFonts w:hint="eastAsia" w:ascii="仿宋" w:hAnsi="仿宋" w:eastAsia="仿宋" w:cs="仿宋"/>
          <w:kern w:val="2"/>
          <w:sz w:val="21"/>
          <w:szCs w:val="21"/>
          <w:highlight w:val="none"/>
        </w:rPr>
      </w:pPr>
    </w:p>
    <w:p w14:paraId="463754BA">
      <w:pPr>
        <w:spacing w:line="360" w:lineRule="auto"/>
        <w:rPr>
          <w:rFonts w:hint="eastAsia" w:ascii="仿宋" w:hAnsi="仿宋" w:eastAsia="仿宋" w:cs="仿宋"/>
          <w:kern w:val="2"/>
          <w:sz w:val="21"/>
          <w:szCs w:val="21"/>
          <w:highlight w:val="none"/>
        </w:rPr>
      </w:pPr>
    </w:p>
    <w:p w14:paraId="53BA3FE2">
      <w:pPr>
        <w:spacing w:line="360" w:lineRule="auto"/>
        <w:rPr>
          <w:rFonts w:hint="eastAsia" w:ascii="仿宋" w:hAnsi="仿宋" w:eastAsia="仿宋" w:cs="仿宋"/>
          <w:kern w:val="2"/>
          <w:sz w:val="21"/>
          <w:szCs w:val="21"/>
          <w:highlight w:val="none"/>
        </w:rPr>
      </w:pPr>
    </w:p>
    <w:p w14:paraId="2B31928D">
      <w:pPr>
        <w:autoSpaceDE w:val="0"/>
        <w:autoSpaceDN w:val="0"/>
        <w:snapToGrid w:val="0"/>
        <w:spacing w:line="480" w:lineRule="auto"/>
        <w:ind w:firstLine="810" w:firstLineChars="386"/>
        <w:jc w:val="right"/>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pacing w:val="-1"/>
          <w:sz w:val="21"/>
          <w:szCs w:val="21"/>
          <w:highlight w:val="none"/>
        </w:rPr>
        <w:t>（</w:t>
      </w:r>
      <w:r>
        <w:rPr>
          <w:rFonts w:hint="eastAsia" w:ascii="仿宋" w:hAnsi="仿宋" w:eastAsia="仿宋" w:cs="仿宋"/>
          <w:sz w:val="21"/>
          <w:szCs w:val="21"/>
          <w:highlight w:val="none"/>
        </w:rPr>
        <w:t>盖单位法人章）</w:t>
      </w:r>
    </w:p>
    <w:p w14:paraId="27CFEFB5">
      <w:pPr>
        <w:autoSpaceDE w:val="0"/>
        <w:autoSpaceDN w:val="0"/>
        <w:snapToGrid w:val="0"/>
        <w:spacing w:line="480" w:lineRule="auto"/>
        <w:jc w:val="left"/>
        <w:rPr>
          <w:rFonts w:hint="eastAsia" w:ascii="仿宋" w:hAnsi="仿宋" w:eastAsia="仿宋" w:cs="仿宋"/>
          <w:sz w:val="20"/>
          <w:szCs w:val="20"/>
          <w:highlight w:val="none"/>
        </w:rPr>
      </w:pPr>
    </w:p>
    <w:p w14:paraId="6F2BCD57">
      <w:pPr>
        <w:tabs>
          <w:tab w:val="left" w:pos="4935"/>
          <w:tab w:val="left" w:pos="5460"/>
          <w:tab w:val="left" w:pos="6400"/>
        </w:tabs>
        <w:wordWrap w:val="0"/>
        <w:autoSpaceDE w:val="0"/>
        <w:autoSpaceDN w:val="0"/>
        <w:snapToGrid w:val="0"/>
        <w:spacing w:line="480" w:lineRule="auto"/>
        <w:ind w:firstLine="3780"/>
        <w:jc w:val="right"/>
        <w:rPr>
          <w:rFonts w:hint="eastAsia" w:ascii="仿宋" w:hAnsi="仿宋" w:eastAsia="仿宋" w:cs="仿宋"/>
          <w:sz w:val="21"/>
          <w:szCs w:val="21"/>
          <w:highlight w:val="none"/>
        </w:rPr>
      </w:pP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年</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月</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日  </w:t>
      </w:r>
    </w:p>
    <w:p w14:paraId="7E717398">
      <w:pPr>
        <w:autoSpaceDE w:val="0"/>
        <w:autoSpaceDN w:val="0"/>
        <w:snapToGrid w:val="0"/>
        <w:spacing w:line="360" w:lineRule="auto"/>
        <w:jc w:val="left"/>
        <w:rPr>
          <w:rFonts w:hint="eastAsia" w:ascii="仿宋" w:hAnsi="仿宋" w:eastAsia="仿宋" w:cs="仿宋"/>
          <w:sz w:val="21"/>
          <w:szCs w:val="24"/>
          <w:highlight w:val="none"/>
        </w:rPr>
      </w:pPr>
    </w:p>
    <w:p w14:paraId="616C8B1F">
      <w:pPr>
        <w:autoSpaceDE w:val="0"/>
        <w:autoSpaceDN w:val="0"/>
        <w:snapToGrid w:val="0"/>
        <w:spacing w:line="360" w:lineRule="auto"/>
        <w:jc w:val="left"/>
        <w:rPr>
          <w:rFonts w:hint="eastAsia" w:ascii="仿宋" w:hAnsi="仿宋" w:eastAsia="仿宋" w:cs="仿宋"/>
          <w:sz w:val="21"/>
          <w:szCs w:val="24"/>
          <w:highlight w:val="none"/>
        </w:rPr>
      </w:pPr>
    </w:p>
    <w:p w14:paraId="1C221CAD">
      <w:pPr>
        <w:tabs>
          <w:tab w:val="left" w:pos="1680"/>
          <w:tab w:val="left" w:pos="4215"/>
          <w:tab w:val="left" w:pos="4305"/>
          <w:tab w:val="left" w:pos="8000"/>
        </w:tabs>
        <w:autoSpaceDE w:val="0"/>
        <w:autoSpaceDN w:val="0"/>
        <w:snapToGrid w:val="0"/>
        <w:spacing w:line="360" w:lineRule="auto"/>
        <w:ind w:firstLine="411" w:firstLineChars="196"/>
        <w:jc w:val="left"/>
        <w:rPr>
          <w:rFonts w:hint="eastAsia" w:ascii="仿宋" w:hAnsi="仿宋" w:eastAsia="仿宋" w:cs="仿宋"/>
          <w:sz w:val="21"/>
          <w:szCs w:val="21"/>
          <w:highlight w:val="none"/>
        </w:rPr>
      </w:pPr>
      <w:r>
        <w:rPr>
          <w:rFonts w:hint="eastAsia" w:ascii="仿宋" w:hAnsi="仿宋" w:eastAsia="仿宋" w:cs="仿宋"/>
          <w:kern w:val="2"/>
          <w:sz w:val="21"/>
          <w:szCs w:val="24"/>
          <w:highlight w:val="none"/>
        </w:rPr>
        <w:t>注：法定代表人身份证明需按上述格式填写完整，不可缺少内容。在此基础上增加内容的不影响其有效性</w:t>
      </w:r>
      <w:bookmarkEnd w:id="550"/>
      <w:bookmarkEnd w:id="551"/>
      <w:bookmarkEnd w:id="552"/>
      <w:bookmarkEnd w:id="553"/>
      <w:bookmarkEnd w:id="554"/>
      <w:r>
        <w:rPr>
          <w:rFonts w:hint="eastAsia" w:ascii="仿宋" w:hAnsi="仿宋" w:eastAsia="仿宋" w:cs="仿宋"/>
          <w:sz w:val="21"/>
          <w:szCs w:val="21"/>
          <w:highlight w:val="none"/>
        </w:rPr>
        <w:t>。</w:t>
      </w:r>
    </w:p>
    <w:p w14:paraId="63B2C85A">
      <w:pPr>
        <w:tabs>
          <w:tab w:val="left" w:pos="1680"/>
          <w:tab w:val="left" w:pos="4215"/>
          <w:tab w:val="left" w:pos="4305"/>
          <w:tab w:val="left" w:pos="8000"/>
        </w:tabs>
        <w:autoSpaceDE w:val="0"/>
        <w:autoSpaceDN w:val="0"/>
        <w:snapToGrid w:val="0"/>
        <w:spacing w:line="360" w:lineRule="auto"/>
        <w:jc w:val="center"/>
        <w:rPr>
          <w:rFonts w:hint="eastAsia" w:ascii="仿宋" w:hAnsi="仿宋" w:eastAsia="仿宋" w:cs="仿宋"/>
          <w:sz w:val="20"/>
          <w:szCs w:val="20"/>
          <w:highlight w:val="none"/>
        </w:rPr>
      </w:pPr>
      <w:r>
        <w:rPr>
          <w:rFonts w:hint="eastAsia" w:ascii="仿宋" w:hAnsi="仿宋" w:eastAsia="仿宋" w:cs="仿宋"/>
          <w:b/>
          <w:sz w:val="28"/>
          <w:szCs w:val="28"/>
          <w:highlight w:val="none"/>
        </w:rPr>
        <w:br w:type="page"/>
      </w:r>
      <w:r>
        <w:rPr>
          <w:rFonts w:hint="eastAsia" w:ascii="仿宋" w:hAnsi="仿宋" w:eastAsia="仿宋" w:cs="仿宋"/>
          <w:snapToGrid w:val="0"/>
          <w:highlight w:val="none"/>
        </w:rPr>
        <w:t>授权委托书</w:t>
      </w:r>
    </w:p>
    <w:p w14:paraId="5CBD04AD">
      <w:pPr>
        <w:tabs>
          <w:tab w:val="left" w:pos="1680"/>
          <w:tab w:val="left" w:pos="4215"/>
          <w:tab w:val="left" w:pos="4305"/>
          <w:tab w:val="left" w:pos="8000"/>
        </w:tabs>
        <w:autoSpaceDE w:val="0"/>
        <w:autoSpaceDN w:val="0"/>
        <w:snapToGrid w:val="0"/>
        <w:spacing w:line="480" w:lineRule="auto"/>
        <w:ind w:firstLine="42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本人</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（姓名）</w:t>
      </w:r>
      <w:r>
        <w:rPr>
          <w:rFonts w:hint="eastAsia" w:ascii="仿宋" w:hAnsi="仿宋" w:eastAsia="仿宋" w:cs="仿宋"/>
          <w:sz w:val="21"/>
          <w:szCs w:val="21"/>
          <w:highlight w:val="none"/>
        </w:rPr>
        <w:t>系</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w:t>
      </w:r>
      <w:r>
        <w:rPr>
          <w:rFonts w:hint="eastAsia" w:ascii="仿宋" w:hAnsi="仿宋" w:eastAsia="仿宋" w:cs="仿宋"/>
          <w:spacing w:val="-1"/>
          <w:sz w:val="21"/>
          <w:szCs w:val="21"/>
          <w:highlight w:val="none"/>
          <w:u w:val="single"/>
        </w:rPr>
        <w:t>比选申请人</w:t>
      </w:r>
      <w:r>
        <w:rPr>
          <w:rFonts w:hint="eastAsia" w:ascii="仿宋" w:hAnsi="仿宋" w:eastAsia="仿宋" w:cs="仿宋"/>
          <w:sz w:val="21"/>
          <w:szCs w:val="21"/>
          <w:highlight w:val="none"/>
          <w:u w:val="single"/>
        </w:rPr>
        <w:t>名称</w:t>
      </w:r>
      <w:r>
        <w:rPr>
          <w:rFonts w:hint="eastAsia" w:ascii="仿宋" w:hAnsi="仿宋" w:eastAsia="仿宋" w:cs="仿宋"/>
          <w:spacing w:val="1"/>
          <w:sz w:val="21"/>
          <w:szCs w:val="21"/>
          <w:highlight w:val="none"/>
          <w:u w:val="single"/>
        </w:rPr>
        <w:t>）</w:t>
      </w:r>
      <w:r>
        <w:rPr>
          <w:rFonts w:hint="eastAsia" w:ascii="仿宋" w:hAnsi="仿宋" w:eastAsia="仿宋" w:cs="仿宋"/>
          <w:sz w:val="21"/>
          <w:szCs w:val="21"/>
          <w:highlight w:val="none"/>
        </w:rPr>
        <w:t>的法定代</w:t>
      </w:r>
      <w:r>
        <w:rPr>
          <w:rFonts w:hint="eastAsia" w:ascii="仿宋" w:hAnsi="仿宋" w:eastAsia="仿宋" w:cs="仿宋"/>
          <w:spacing w:val="1"/>
          <w:sz w:val="21"/>
          <w:szCs w:val="21"/>
          <w:highlight w:val="none"/>
        </w:rPr>
        <w:t>表</w:t>
      </w:r>
      <w:r>
        <w:rPr>
          <w:rFonts w:hint="eastAsia" w:ascii="仿宋" w:hAnsi="仿宋" w:eastAsia="仿宋" w:cs="仿宋"/>
          <w:sz w:val="21"/>
          <w:szCs w:val="21"/>
          <w:highlight w:val="none"/>
        </w:rPr>
        <w:t>人，现委托</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（姓名）</w:t>
      </w:r>
      <w:r>
        <w:rPr>
          <w:rFonts w:hint="eastAsia" w:ascii="仿宋" w:hAnsi="仿宋" w:eastAsia="仿宋" w:cs="仿宋"/>
          <w:sz w:val="21"/>
          <w:szCs w:val="21"/>
          <w:highlight w:val="none"/>
        </w:rPr>
        <w:t>为我方代理人。代理人根据授权，以我方名义签署、澄清、说明、补正、递交、撤回、 修改</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u w:val="single"/>
        </w:rPr>
        <w:t>（项</w:t>
      </w:r>
      <w:r>
        <w:rPr>
          <w:rFonts w:hint="eastAsia" w:ascii="仿宋" w:hAnsi="仿宋" w:eastAsia="仿宋" w:cs="仿宋"/>
          <w:spacing w:val="-1"/>
          <w:sz w:val="21"/>
          <w:szCs w:val="21"/>
          <w:highlight w:val="none"/>
          <w:u w:val="single"/>
        </w:rPr>
        <w:t>目</w:t>
      </w:r>
      <w:r>
        <w:rPr>
          <w:rFonts w:hint="eastAsia" w:ascii="仿宋" w:hAnsi="仿宋" w:eastAsia="仿宋" w:cs="仿宋"/>
          <w:sz w:val="21"/>
          <w:szCs w:val="21"/>
          <w:highlight w:val="none"/>
          <w:u w:val="single"/>
        </w:rPr>
        <w:t>名称）</w:t>
      </w:r>
      <w:r>
        <w:rPr>
          <w:rFonts w:hint="eastAsia" w:ascii="仿宋" w:hAnsi="仿宋" w:eastAsia="仿宋" w:cs="仿宋"/>
          <w:sz w:val="21"/>
          <w:szCs w:val="21"/>
          <w:highlight w:val="none"/>
        </w:rPr>
        <w:t>比选申请文件、签订合同和处理有关事宜， 其法律后果由我方承担。</w:t>
      </w:r>
    </w:p>
    <w:p w14:paraId="5A6954D6">
      <w:pPr>
        <w:tabs>
          <w:tab w:val="left" w:pos="1680"/>
          <w:tab w:val="left" w:pos="4200"/>
          <w:tab w:val="left" w:pos="4305"/>
          <w:tab w:val="left" w:pos="8000"/>
        </w:tabs>
        <w:autoSpaceDE w:val="0"/>
        <w:autoSpaceDN w:val="0"/>
        <w:snapToGrid w:val="0"/>
        <w:spacing w:line="48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委托</w:t>
      </w:r>
      <w:r>
        <w:rPr>
          <w:rFonts w:hint="eastAsia" w:ascii="仿宋" w:hAnsi="仿宋" w:eastAsia="仿宋" w:cs="仿宋"/>
          <w:spacing w:val="-1"/>
          <w:sz w:val="21"/>
          <w:szCs w:val="21"/>
          <w:highlight w:val="none"/>
        </w:rPr>
        <w:t>期</w:t>
      </w:r>
      <w:r>
        <w:rPr>
          <w:rFonts w:hint="eastAsia" w:ascii="仿宋" w:hAnsi="仿宋" w:eastAsia="仿宋" w:cs="仿宋"/>
          <w:sz w:val="21"/>
          <w:szCs w:val="21"/>
          <w:highlight w:val="none"/>
        </w:rPr>
        <w:t>限：</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 xml:space="preserve">。 </w:t>
      </w:r>
    </w:p>
    <w:p w14:paraId="15E8767A">
      <w:pPr>
        <w:tabs>
          <w:tab w:val="left" w:pos="1680"/>
          <w:tab w:val="left" w:pos="4200"/>
          <w:tab w:val="left" w:pos="4305"/>
          <w:tab w:val="left" w:pos="8000"/>
        </w:tabs>
        <w:autoSpaceDE w:val="0"/>
        <w:autoSpaceDN w:val="0"/>
        <w:snapToGrid w:val="0"/>
        <w:spacing w:line="48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代理人无转委托权。</w:t>
      </w:r>
    </w:p>
    <w:p w14:paraId="1215ECE8">
      <w:pPr>
        <w:tabs>
          <w:tab w:val="left" w:pos="1680"/>
          <w:tab w:val="left" w:pos="4200"/>
          <w:tab w:val="left" w:pos="4305"/>
          <w:tab w:val="left" w:pos="8000"/>
        </w:tabs>
        <w:autoSpaceDE w:val="0"/>
        <w:autoSpaceDN w:val="0"/>
        <w:snapToGrid w:val="0"/>
        <w:spacing w:line="480" w:lineRule="auto"/>
        <w:ind w:firstLine="420"/>
        <w:rPr>
          <w:rFonts w:hint="eastAsia" w:ascii="仿宋" w:hAnsi="仿宋" w:eastAsia="仿宋" w:cs="仿宋"/>
          <w:sz w:val="21"/>
          <w:szCs w:val="21"/>
          <w:highlight w:val="none"/>
        </w:rPr>
      </w:pPr>
    </w:p>
    <w:p w14:paraId="6E2E37CD">
      <w:pPr>
        <w:tabs>
          <w:tab w:val="left" w:pos="1680"/>
          <w:tab w:val="left" w:pos="4200"/>
          <w:tab w:val="left" w:pos="4305"/>
          <w:tab w:val="left" w:pos="8000"/>
        </w:tabs>
        <w:autoSpaceDE w:val="0"/>
        <w:autoSpaceDN w:val="0"/>
        <w:snapToGrid w:val="0"/>
        <w:spacing w:line="480" w:lineRule="auto"/>
        <w:ind w:firstLine="420"/>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w:t>
      </w:r>
      <w:r>
        <w:rPr>
          <w:rFonts w:hint="eastAsia" w:ascii="仿宋" w:hAnsi="仿宋" w:eastAsia="仿宋" w:cs="仿宋"/>
          <w:spacing w:val="-1"/>
          <w:sz w:val="21"/>
          <w:szCs w:val="21"/>
          <w:highlight w:val="none"/>
        </w:rPr>
        <w:t>盖单位法人章</w:t>
      </w:r>
      <w:r>
        <w:rPr>
          <w:rFonts w:hint="eastAsia" w:ascii="仿宋" w:hAnsi="仿宋" w:eastAsia="仿宋" w:cs="仿宋"/>
          <w:sz w:val="21"/>
          <w:szCs w:val="21"/>
          <w:highlight w:val="none"/>
        </w:rPr>
        <w:t>）</w:t>
      </w:r>
    </w:p>
    <w:p w14:paraId="7E1FA429">
      <w:pPr>
        <w:tabs>
          <w:tab w:val="left" w:pos="6300"/>
        </w:tabs>
        <w:autoSpaceDE w:val="0"/>
        <w:autoSpaceDN w:val="0"/>
        <w:snapToGrid w:val="0"/>
        <w:spacing w:line="48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（签名或盖章）</w:t>
      </w:r>
    </w:p>
    <w:p w14:paraId="1EE9C04B">
      <w:pPr>
        <w:tabs>
          <w:tab w:val="left" w:pos="5260"/>
        </w:tabs>
        <w:autoSpaceDE w:val="0"/>
        <w:autoSpaceDN w:val="0"/>
        <w:snapToGrid w:val="0"/>
        <w:spacing w:line="480" w:lineRule="auto"/>
        <w:ind w:firstLine="420" w:firstLineChars="200"/>
        <w:jc w:val="left"/>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身份证号码：</w:t>
      </w:r>
      <w:r>
        <w:rPr>
          <w:rFonts w:hint="eastAsia" w:ascii="仿宋" w:hAnsi="仿宋" w:eastAsia="仿宋" w:cs="仿宋"/>
          <w:w w:val="200"/>
          <w:sz w:val="21"/>
          <w:szCs w:val="21"/>
          <w:highlight w:val="none"/>
          <w:u w:val="single"/>
        </w:rPr>
        <w:t xml:space="preserve">                           </w:t>
      </w:r>
    </w:p>
    <w:p w14:paraId="0882B96B">
      <w:pPr>
        <w:tabs>
          <w:tab w:val="left" w:pos="5260"/>
        </w:tabs>
        <w:autoSpaceDE w:val="0"/>
        <w:autoSpaceDN w:val="0"/>
        <w:snapToGrid w:val="0"/>
        <w:spacing w:line="48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委托代理人：</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（签名）</w:t>
      </w:r>
    </w:p>
    <w:p w14:paraId="1A0FEBE1">
      <w:pPr>
        <w:tabs>
          <w:tab w:val="left" w:pos="6825"/>
        </w:tabs>
        <w:autoSpaceDE w:val="0"/>
        <w:autoSpaceDN w:val="0"/>
        <w:snapToGrid w:val="0"/>
        <w:spacing w:line="480" w:lineRule="auto"/>
        <w:ind w:firstLine="420" w:firstLineChars="200"/>
        <w:jc w:val="left"/>
        <w:rPr>
          <w:rFonts w:hint="eastAsia" w:ascii="仿宋" w:hAnsi="仿宋" w:eastAsia="仿宋" w:cs="仿宋"/>
          <w:w w:val="200"/>
          <w:sz w:val="21"/>
          <w:szCs w:val="21"/>
          <w:highlight w:val="none"/>
          <w:u w:val="single"/>
        </w:rPr>
      </w:pPr>
      <w:r>
        <w:rPr>
          <w:rFonts w:hint="eastAsia" w:ascii="仿宋" w:hAnsi="仿宋" w:eastAsia="仿宋" w:cs="仿宋"/>
          <w:sz w:val="21"/>
          <w:szCs w:val="21"/>
          <w:highlight w:val="none"/>
        </w:rPr>
        <w:t>身份证号码：</w:t>
      </w:r>
      <w:r>
        <w:rPr>
          <w:rFonts w:hint="eastAsia" w:ascii="仿宋" w:hAnsi="仿宋" w:eastAsia="仿宋" w:cs="仿宋"/>
          <w:w w:val="200"/>
          <w:sz w:val="21"/>
          <w:szCs w:val="21"/>
          <w:highlight w:val="none"/>
          <w:u w:val="single"/>
        </w:rPr>
        <w:t xml:space="preserve">                           </w:t>
      </w:r>
    </w:p>
    <w:p w14:paraId="6FD8DE71">
      <w:pPr>
        <w:tabs>
          <w:tab w:val="left" w:pos="6825"/>
        </w:tabs>
        <w:autoSpaceDE w:val="0"/>
        <w:autoSpaceDN w:val="0"/>
        <w:snapToGrid w:val="0"/>
        <w:spacing w:line="480" w:lineRule="auto"/>
        <w:ind w:firstLine="420" w:firstLineChars="200"/>
        <w:jc w:val="left"/>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单位电话（座机）：</w:t>
      </w:r>
      <w:r>
        <w:rPr>
          <w:rFonts w:hint="eastAsia" w:ascii="仿宋" w:hAnsi="仿宋" w:eastAsia="仿宋" w:cs="仿宋"/>
          <w:sz w:val="21"/>
          <w:szCs w:val="21"/>
          <w:highlight w:val="none"/>
          <w:u w:val="single"/>
        </w:rPr>
        <w:t xml:space="preserve">                              </w:t>
      </w:r>
    </w:p>
    <w:p w14:paraId="6DDA8EBB">
      <w:pPr>
        <w:tabs>
          <w:tab w:val="left" w:pos="5260"/>
        </w:tabs>
        <w:autoSpaceDE w:val="0"/>
        <w:autoSpaceDN w:val="0"/>
        <w:snapToGrid w:val="0"/>
        <w:spacing w:line="48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委托代理人电话（手机）：                                          </w:t>
      </w:r>
    </w:p>
    <w:p w14:paraId="74A29B89">
      <w:pPr>
        <w:autoSpaceDE w:val="0"/>
        <w:autoSpaceDN w:val="0"/>
        <w:snapToGrid w:val="0"/>
        <w:spacing w:line="480" w:lineRule="auto"/>
        <w:ind w:firstLine="810" w:firstLineChars="386"/>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附：法定代表人和委托代理人身份证复印件（双面）</w:t>
      </w:r>
    </w:p>
    <w:p w14:paraId="1D35BD80">
      <w:pPr>
        <w:tabs>
          <w:tab w:val="left" w:pos="4005"/>
          <w:tab w:val="left" w:pos="4100"/>
          <w:tab w:val="left" w:pos="5040"/>
        </w:tabs>
        <w:wordWrap w:val="0"/>
        <w:autoSpaceDE w:val="0"/>
        <w:autoSpaceDN w:val="0"/>
        <w:snapToGrid w:val="0"/>
        <w:spacing w:line="360" w:lineRule="auto"/>
        <w:ind w:firstLine="3780"/>
        <w:jc w:val="right"/>
        <w:rPr>
          <w:rFonts w:hint="eastAsia" w:ascii="仿宋" w:hAnsi="仿宋" w:eastAsia="仿宋" w:cs="仿宋"/>
          <w:w w:val="200"/>
          <w:sz w:val="21"/>
          <w:szCs w:val="21"/>
          <w:highlight w:val="none"/>
          <w:u w:val="single"/>
        </w:rPr>
      </w:pPr>
    </w:p>
    <w:p w14:paraId="31B38C2D">
      <w:pPr>
        <w:tabs>
          <w:tab w:val="left" w:pos="6825"/>
        </w:tabs>
        <w:autoSpaceDE w:val="0"/>
        <w:autoSpaceDN w:val="0"/>
        <w:snapToGrid w:val="0"/>
        <w:spacing w:line="480" w:lineRule="auto"/>
        <w:jc w:val="left"/>
        <w:rPr>
          <w:rFonts w:hint="eastAsia" w:ascii="仿宋" w:hAnsi="仿宋" w:eastAsia="仿宋" w:cs="仿宋"/>
          <w:sz w:val="21"/>
          <w:szCs w:val="21"/>
          <w:highlight w:val="none"/>
        </w:rPr>
      </w:pPr>
    </w:p>
    <w:p w14:paraId="5015686C">
      <w:pPr>
        <w:pStyle w:val="9"/>
        <w:rPr>
          <w:rFonts w:hint="eastAsia" w:ascii="仿宋" w:hAnsi="仿宋" w:eastAsia="仿宋" w:cs="仿宋"/>
          <w:highlight w:val="none"/>
        </w:rPr>
      </w:pPr>
    </w:p>
    <w:p w14:paraId="6053DB69">
      <w:pPr>
        <w:tabs>
          <w:tab w:val="left" w:pos="4005"/>
          <w:tab w:val="left" w:pos="4100"/>
          <w:tab w:val="left" w:pos="5040"/>
        </w:tabs>
        <w:wordWrap w:val="0"/>
        <w:autoSpaceDE w:val="0"/>
        <w:autoSpaceDN w:val="0"/>
        <w:snapToGrid w:val="0"/>
        <w:spacing w:line="360" w:lineRule="auto"/>
        <w:ind w:firstLine="3780"/>
        <w:jc w:val="right"/>
        <w:rPr>
          <w:rFonts w:hint="eastAsia" w:ascii="仿宋" w:hAnsi="仿宋" w:eastAsia="仿宋" w:cs="仿宋"/>
          <w:sz w:val="21"/>
          <w:szCs w:val="21"/>
          <w:highlight w:val="none"/>
        </w:rPr>
      </w:pP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年</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月</w:t>
      </w:r>
      <w:r>
        <w:rPr>
          <w:rFonts w:hint="eastAsia" w:ascii="仿宋" w:hAnsi="仿宋" w:eastAsia="仿宋" w:cs="仿宋"/>
          <w:w w:val="200"/>
          <w:sz w:val="21"/>
          <w:szCs w:val="21"/>
          <w:highlight w:val="none"/>
          <w:u w:val="single"/>
        </w:rPr>
        <w:t xml:space="preserve">  </w:t>
      </w:r>
      <w:r>
        <w:rPr>
          <w:rFonts w:hint="eastAsia" w:ascii="仿宋" w:hAnsi="仿宋" w:eastAsia="仿宋" w:cs="仿宋"/>
          <w:sz w:val="21"/>
          <w:szCs w:val="21"/>
          <w:highlight w:val="none"/>
        </w:rPr>
        <w:t xml:space="preserve">日 </w:t>
      </w:r>
    </w:p>
    <w:p w14:paraId="0C1545BB">
      <w:pPr>
        <w:tabs>
          <w:tab w:val="left" w:pos="5760"/>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2720D0B5">
      <w:pPr>
        <w:tabs>
          <w:tab w:val="left" w:pos="5760"/>
        </w:tabs>
        <w:autoSpaceDE w:val="0"/>
        <w:autoSpaceDN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2、法定代表人身份证明及授权委托书原件装入比选申请文件一并递交。另外须准备一份授权委托书原件在开标现场出具。</w:t>
      </w:r>
    </w:p>
    <w:p w14:paraId="30F364F4">
      <w:pPr>
        <w:pStyle w:val="9"/>
        <w:rPr>
          <w:rFonts w:hint="eastAsia" w:ascii="仿宋" w:hAnsi="仿宋" w:eastAsia="仿宋" w:cs="仿宋"/>
          <w:highlight w:val="none"/>
        </w:rPr>
      </w:pPr>
      <w:r>
        <w:rPr>
          <w:rFonts w:hint="eastAsia" w:ascii="仿宋" w:hAnsi="仿宋" w:eastAsia="仿宋" w:cs="仿宋"/>
          <w:sz w:val="21"/>
          <w:szCs w:val="21"/>
          <w:highlight w:val="none"/>
        </w:rPr>
        <w:t>3.</w:t>
      </w:r>
      <w:r>
        <w:rPr>
          <w:rFonts w:hint="eastAsia" w:ascii="仿宋" w:hAnsi="仿宋" w:eastAsia="仿宋" w:cs="仿宋"/>
          <w:kern w:val="2"/>
          <w:sz w:val="21"/>
          <w:szCs w:val="24"/>
          <w:highlight w:val="none"/>
        </w:rPr>
        <w:t>授权委托书需按上述格式填写完整，不可缺少内容。在此基础上增加内容的不影响其有效性。</w:t>
      </w:r>
    </w:p>
    <w:p w14:paraId="0474BD23">
      <w:pPr>
        <w:pStyle w:val="4"/>
        <w:adjustRightInd/>
        <w:spacing w:before="0" w:after="0" w:line="240" w:lineRule="auto"/>
        <w:jc w:val="center"/>
        <w:rPr>
          <w:rFonts w:hint="eastAsia" w:ascii="仿宋" w:hAnsi="仿宋" w:eastAsia="仿宋" w:cs="仿宋"/>
          <w:kern w:val="2"/>
          <w:highlight w:val="none"/>
        </w:rPr>
      </w:pPr>
      <w:r>
        <w:rPr>
          <w:rFonts w:hint="eastAsia" w:ascii="仿宋" w:hAnsi="仿宋" w:eastAsia="仿宋" w:cs="仿宋"/>
          <w:kern w:val="2"/>
          <w:sz w:val="30"/>
          <w:szCs w:val="30"/>
          <w:highlight w:val="none"/>
        </w:rPr>
        <w:t>（二）比选申请人基本情况表</w:t>
      </w:r>
    </w:p>
    <w:tbl>
      <w:tblPr>
        <w:tblStyle w:val="24"/>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94868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D8888B0">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比选申请人名称</w:t>
            </w:r>
          </w:p>
        </w:tc>
        <w:tc>
          <w:tcPr>
            <w:tcW w:w="7607" w:type="dxa"/>
            <w:gridSpan w:val="9"/>
            <w:vAlign w:val="center"/>
          </w:tcPr>
          <w:p w14:paraId="49F0786A">
            <w:pPr>
              <w:autoSpaceDE w:val="0"/>
              <w:autoSpaceDN w:val="0"/>
              <w:snapToGrid w:val="0"/>
              <w:spacing w:line="240" w:lineRule="auto"/>
              <w:jc w:val="center"/>
              <w:rPr>
                <w:rFonts w:hint="eastAsia" w:ascii="仿宋" w:hAnsi="仿宋" w:eastAsia="仿宋" w:cs="仿宋"/>
                <w:sz w:val="21"/>
                <w:szCs w:val="21"/>
                <w:highlight w:val="none"/>
              </w:rPr>
            </w:pPr>
          </w:p>
        </w:tc>
      </w:tr>
      <w:tr w14:paraId="23692F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9D82979">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注册地址</w:t>
            </w:r>
          </w:p>
        </w:tc>
        <w:tc>
          <w:tcPr>
            <w:tcW w:w="3450" w:type="dxa"/>
            <w:gridSpan w:val="5"/>
            <w:vAlign w:val="center"/>
          </w:tcPr>
          <w:p w14:paraId="54BBEC8F">
            <w:pPr>
              <w:autoSpaceDE w:val="0"/>
              <w:autoSpaceDN w:val="0"/>
              <w:snapToGrid w:val="0"/>
              <w:spacing w:line="240" w:lineRule="auto"/>
              <w:jc w:val="center"/>
              <w:rPr>
                <w:rFonts w:hint="eastAsia" w:ascii="仿宋" w:hAnsi="仿宋" w:eastAsia="仿宋" w:cs="仿宋"/>
                <w:sz w:val="21"/>
                <w:szCs w:val="21"/>
                <w:highlight w:val="none"/>
              </w:rPr>
            </w:pPr>
          </w:p>
        </w:tc>
        <w:tc>
          <w:tcPr>
            <w:tcW w:w="1392" w:type="dxa"/>
            <w:vAlign w:val="center"/>
          </w:tcPr>
          <w:p w14:paraId="486F0F7A">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邮政编码</w:t>
            </w:r>
          </w:p>
        </w:tc>
        <w:tc>
          <w:tcPr>
            <w:tcW w:w="2765" w:type="dxa"/>
            <w:gridSpan w:val="3"/>
            <w:vAlign w:val="center"/>
          </w:tcPr>
          <w:p w14:paraId="67B199E1">
            <w:pPr>
              <w:autoSpaceDE w:val="0"/>
              <w:autoSpaceDN w:val="0"/>
              <w:snapToGrid w:val="0"/>
              <w:spacing w:line="240" w:lineRule="auto"/>
              <w:jc w:val="center"/>
              <w:rPr>
                <w:rFonts w:hint="eastAsia" w:ascii="仿宋" w:hAnsi="仿宋" w:eastAsia="仿宋" w:cs="仿宋"/>
                <w:sz w:val="21"/>
                <w:szCs w:val="21"/>
                <w:highlight w:val="none"/>
              </w:rPr>
            </w:pPr>
          </w:p>
        </w:tc>
      </w:tr>
      <w:tr w14:paraId="46E77E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154CFE2E">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联系方式</w:t>
            </w:r>
          </w:p>
        </w:tc>
        <w:tc>
          <w:tcPr>
            <w:tcW w:w="967" w:type="dxa"/>
            <w:vAlign w:val="center"/>
          </w:tcPr>
          <w:p w14:paraId="45BFEA2D">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联系人</w:t>
            </w:r>
          </w:p>
        </w:tc>
        <w:tc>
          <w:tcPr>
            <w:tcW w:w="2483" w:type="dxa"/>
            <w:gridSpan w:val="4"/>
            <w:vAlign w:val="center"/>
          </w:tcPr>
          <w:p w14:paraId="6E87946A">
            <w:pPr>
              <w:autoSpaceDE w:val="0"/>
              <w:autoSpaceDN w:val="0"/>
              <w:snapToGrid w:val="0"/>
              <w:spacing w:line="240" w:lineRule="auto"/>
              <w:jc w:val="center"/>
              <w:rPr>
                <w:rFonts w:hint="eastAsia" w:ascii="仿宋" w:hAnsi="仿宋" w:eastAsia="仿宋" w:cs="仿宋"/>
                <w:sz w:val="21"/>
                <w:szCs w:val="21"/>
                <w:highlight w:val="none"/>
              </w:rPr>
            </w:pPr>
          </w:p>
        </w:tc>
        <w:tc>
          <w:tcPr>
            <w:tcW w:w="1392" w:type="dxa"/>
            <w:vAlign w:val="center"/>
          </w:tcPr>
          <w:p w14:paraId="62559F11">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tc>
        <w:tc>
          <w:tcPr>
            <w:tcW w:w="2765" w:type="dxa"/>
            <w:gridSpan w:val="3"/>
            <w:vAlign w:val="center"/>
          </w:tcPr>
          <w:p w14:paraId="09C4330F">
            <w:pPr>
              <w:autoSpaceDE w:val="0"/>
              <w:autoSpaceDN w:val="0"/>
              <w:snapToGrid w:val="0"/>
              <w:spacing w:line="240" w:lineRule="auto"/>
              <w:jc w:val="center"/>
              <w:rPr>
                <w:rFonts w:hint="eastAsia" w:ascii="仿宋" w:hAnsi="仿宋" w:eastAsia="仿宋" w:cs="仿宋"/>
                <w:sz w:val="21"/>
                <w:szCs w:val="21"/>
                <w:highlight w:val="none"/>
              </w:rPr>
            </w:pPr>
          </w:p>
        </w:tc>
      </w:tr>
      <w:tr w14:paraId="0E2ABF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39F8225D">
            <w:pPr>
              <w:autoSpaceDE w:val="0"/>
              <w:autoSpaceDN w:val="0"/>
              <w:snapToGrid w:val="0"/>
              <w:spacing w:line="240" w:lineRule="auto"/>
              <w:jc w:val="center"/>
              <w:rPr>
                <w:rFonts w:hint="eastAsia" w:ascii="仿宋" w:hAnsi="仿宋" w:eastAsia="仿宋" w:cs="仿宋"/>
                <w:sz w:val="21"/>
                <w:szCs w:val="21"/>
                <w:highlight w:val="none"/>
              </w:rPr>
            </w:pPr>
          </w:p>
        </w:tc>
        <w:tc>
          <w:tcPr>
            <w:tcW w:w="967" w:type="dxa"/>
            <w:vAlign w:val="center"/>
          </w:tcPr>
          <w:p w14:paraId="7F4B23D8">
            <w:pPr>
              <w:tabs>
                <w:tab w:val="left" w:pos="540"/>
              </w:tabs>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传  真</w:t>
            </w:r>
          </w:p>
        </w:tc>
        <w:tc>
          <w:tcPr>
            <w:tcW w:w="2483" w:type="dxa"/>
            <w:gridSpan w:val="4"/>
            <w:vAlign w:val="center"/>
          </w:tcPr>
          <w:p w14:paraId="00AB226A">
            <w:pPr>
              <w:autoSpaceDE w:val="0"/>
              <w:autoSpaceDN w:val="0"/>
              <w:snapToGrid w:val="0"/>
              <w:spacing w:line="240" w:lineRule="auto"/>
              <w:jc w:val="center"/>
              <w:rPr>
                <w:rFonts w:hint="eastAsia" w:ascii="仿宋" w:hAnsi="仿宋" w:eastAsia="仿宋" w:cs="仿宋"/>
                <w:sz w:val="21"/>
                <w:szCs w:val="21"/>
                <w:highlight w:val="none"/>
              </w:rPr>
            </w:pPr>
          </w:p>
        </w:tc>
        <w:tc>
          <w:tcPr>
            <w:tcW w:w="1392" w:type="dxa"/>
            <w:vAlign w:val="center"/>
          </w:tcPr>
          <w:p w14:paraId="4053E33F">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网址</w:t>
            </w:r>
          </w:p>
        </w:tc>
        <w:tc>
          <w:tcPr>
            <w:tcW w:w="2765" w:type="dxa"/>
            <w:gridSpan w:val="3"/>
            <w:vAlign w:val="center"/>
          </w:tcPr>
          <w:p w14:paraId="6D41BE34">
            <w:pPr>
              <w:autoSpaceDE w:val="0"/>
              <w:autoSpaceDN w:val="0"/>
              <w:snapToGrid w:val="0"/>
              <w:spacing w:line="240" w:lineRule="auto"/>
              <w:jc w:val="center"/>
              <w:rPr>
                <w:rFonts w:hint="eastAsia" w:ascii="仿宋" w:hAnsi="仿宋" w:eastAsia="仿宋" w:cs="仿宋"/>
                <w:sz w:val="21"/>
                <w:szCs w:val="21"/>
                <w:highlight w:val="none"/>
              </w:rPr>
            </w:pPr>
          </w:p>
        </w:tc>
      </w:tr>
      <w:tr w14:paraId="0D49B2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90C5544">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组织结构</w:t>
            </w:r>
          </w:p>
        </w:tc>
        <w:tc>
          <w:tcPr>
            <w:tcW w:w="7607" w:type="dxa"/>
            <w:gridSpan w:val="9"/>
            <w:vAlign w:val="center"/>
          </w:tcPr>
          <w:p w14:paraId="092FE3FA">
            <w:pPr>
              <w:autoSpaceDE w:val="0"/>
              <w:autoSpaceDN w:val="0"/>
              <w:snapToGrid w:val="0"/>
              <w:spacing w:line="240" w:lineRule="auto"/>
              <w:jc w:val="center"/>
              <w:rPr>
                <w:rFonts w:hint="eastAsia" w:ascii="仿宋" w:hAnsi="仿宋" w:eastAsia="仿宋" w:cs="仿宋"/>
                <w:sz w:val="21"/>
                <w:szCs w:val="21"/>
                <w:highlight w:val="none"/>
              </w:rPr>
            </w:pPr>
          </w:p>
        </w:tc>
      </w:tr>
      <w:tr w14:paraId="32E033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F47550D">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w:t>
            </w:r>
          </w:p>
        </w:tc>
        <w:tc>
          <w:tcPr>
            <w:tcW w:w="967" w:type="dxa"/>
            <w:vAlign w:val="center"/>
          </w:tcPr>
          <w:p w14:paraId="4E96C8D6">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姓  名</w:t>
            </w:r>
          </w:p>
        </w:tc>
        <w:tc>
          <w:tcPr>
            <w:tcW w:w="1024" w:type="dxa"/>
            <w:vAlign w:val="center"/>
          </w:tcPr>
          <w:p w14:paraId="09A38FEA">
            <w:pPr>
              <w:autoSpaceDE w:val="0"/>
              <w:autoSpaceDN w:val="0"/>
              <w:snapToGrid w:val="0"/>
              <w:spacing w:line="240" w:lineRule="auto"/>
              <w:jc w:val="center"/>
              <w:rPr>
                <w:rFonts w:hint="eastAsia" w:ascii="仿宋" w:hAnsi="仿宋" w:eastAsia="仿宋" w:cs="仿宋"/>
                <w:sz w:val="21"/>
                <w:szCs w:val="21"/>
                <w:highlight w:val="none"/>
              </w:rPr>
            </w:pPr>
          </w:p>
        </w:tc>
        <w:tc>
          <w:tcPr>
            <w:tcW w:w="1356" w:type="dxa"/>
            <w:gridSpan w:val="2"/>
            <w:vAlign w:val="center"/>
          </w:tcPr>
          <w:p w14:paraId="62D4B323">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技术职称</w:t>
            </w:r>
          </w:p>
        </w:tc>
        <w:tc>
          <w:tcPr>
            <w:tcW w:w="2024" w:type="dxa"/>
            <w:gridSpan w:val="3"/>
            <w:vAlign w:val="center"/>
          </w:tcPr>
          <w:p w14:paraId="14E92939">
            <w:pPr>
              <w:autoSpaceDE w:val="0"/>
              <w:autoSpaceDN w:val="0"/>
              <w:snapToGrid w:val="0"/>
              <w:spacing w:line="240" w:lineRule="auto"/>
              <w:jc w:val="center"/>
              <w:rPr>
                <w:rFonts w:hint="eastAsia" w:ascii="仿宋" w:hAnsi="仿宋" w:eastAsia="仿宋" w:cs="仿宋"/>
                <w:sz w:val="21"/>
                <w:szCs w:val="21"/>
                <w:highlight w:val="none"/>
              </w:rPr>
            </w:pPr>
          </w:p>
        </w:tc>
        <w:tc>
          <w:tcPr>
            <w:tcW w:w="925" w:type="dxa"/>
            <w:vAlign w:val="center"/>
          </w:tcPr>
          <w:p w14:paraId="4FDF2B93">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电  话</w:t>
            </w:r>
          </w:p>
        </w:tc>
        <w:tc>
          <w:tcPr>
            <w:tcW w:w="1311" w:type="dxa"/>
            <w:vAlign w:val="center"/>
          </w:tcPr>
          <w:p w14:paraId="3F978543">
            <w:pPr>
              <w:autoSpaceDE w:val="0"/>
              <w:autoSpaceDN w:val="0"/>
              <w:snapToGrid w:val="0"/>
              <w:spacing w:line="240" w:lineRule="auto"/>
              <w:jc w:val="center"/>
              <w:rPr>
                <w:rFonts w:hint="eastAsia" w:ascii="仿宋" w:hAnsi="仿宋" w:eastAsia="仿宋" w:cs="仿宋"/>
                <w:sz w:val="21"/>
                <w:szCs w:val="21"/>
                <w:highlight w:val="none"/>
              </w:rPr>
            </w:pPr>
          </w:p>
        </w:tc>
      </w:tr>
      <w:tr w14:paraId="10ED46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E25BA3A">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技术负责人</w:t>
            </w:r>
          </w:p>
        </w:tc>
        <w:tc>
          <w:tcPr>
            <w:tcW w:w="967" w:type="dxa"/>
            <w:vAlign w:val="center"/>
          </w:tcPr>
          <w:p w14:paraId="68662A65">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姓  名</w:t>
            </w:r>
          </w:p>
        </w:tc>
        <w:tc>
          <w:tcPr>
            <w:tcW w:w="1024" w:type="dxa"/>
            <w:vAlign w:val="center"/>
          </w:tcPr>
          <w:p w14:paraId="3275510A">
            <w:pPr>
              <w:autoSpaceDE w:val="0"/>
              <w:autoSpaceDN w:val="0"/>
              <w:snapToGrid w:val="0"/>
              <w:spacing w:line="240" w:lineRule="auto"/>
              <w:jc w:val="center"/>
              <w:rPr>
                <w:rFonts w:hint="eastAsia" w:ascii="仿宋" w:hAnsi="仿宋" w:eastAsia="仿宋" w:cs="仿宋"/>
                <w:sz w:val="21"/>
                <w:szCs w:val="21"/>
                <w:highlight w:val="none"/>
              </w:rPr>
            </w:pPr>
          </w:p>
        </w:tc>
        <w:tc>
          <w:tcPr>
            <w:tcW w:w="1356" w:type="dxa"/>
            <w:gridSpan w:val="2"/>
            <w:vAlign w:val="center"/>
          </w:tcPr>
          <w:p w14:paraId="59B2B922">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技术职称</w:t>
            </w:r>
          </w:p>
        </w:tc>
        <w:tc>
          <w:tcPr>
            <w:tcW w:w="2024" w:type="dxa"/>
            <w:gridSpan w:val="3"/>
            <w:vAlign w:val="center"/>
          </w:tcPr>
          <w:p w14:paraId="387538A6">
            <w:pPr>
              <w:autoSpaceDE w:val="0"/>
              <w:autoSpaceDN w:val="0"/>
              <w:snapToGrid w:val="0"/>
              <w:spacing w:line="240" w:lineRule="auto"/>
              <w:jc w:val="center"/>
              <w:rPr>
                <w:rFonts w:hint="eastAsia" w:ascii="仿宋" w:hAnsi="仿宋" w:eastAsia="仿宋" w:cs="仿宋"/>
                <w:sz w:val="21"/>
                <w:szCs w:val="21"/>
                <w:highlight w:val="none"/>
              </w:rPr>
            </w:pPr>
          </w:p>
        </w:tc>
        <w:tc>
          <w:tcPr>
            <w:tcW w:w="925" w:type="dxa"/>
            <w:vAlign w:val="center"/>
          </w:tcPr>
          <w:p w14:paraId="040B1658">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电  话</w:t>
            </w:r>
          </w:p>
        </w:tc>
        <w:tc>
          <w:tcPr>
            <w:tcW w:w="1311" w:type="dxa"/>
            <w:vAlign w:val="center"/>
          </w:tcPr>
          <w:p w14:paraId="3864DFDF">
            <w:pPr>
              <w:autoSpaceDE w:val="0"/>
              <w:autoSpaceDN w:val="0"/>
              <w:snapToGrid w:val="0"/>
              <w:spacing w:line="240" w:lineRule="auto"/>
              <w:jc w:val="center"/>
              <w:rPr>
                <w:rFonts w:hint="eastAsia" w:ascii="仿宋" w:hAnsi="仿宋" w:eastAsia="仿宋" w:cs="仿宋"/>
                <w:sz w:val="21"/>
                <w:szCs w:val="21"/>
                <w:highlight w:val="none"/>
              </w:rPr>
            </w:pPr>
          </w:p>
        </w:tc>
      </w:tr>
      <w:tr w14:paraId="656BC6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9C209AD">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成立时间</w:t>
            </w:r>
          </w:p>
        </w:tc>
        <w:tc>
          <w:tcPr>
            <w:tcW w:w="1991" w:type="dxa"/>
            <w:gridSpan w:val="2"/>
            <w:vAlign w:val="center"/>
          </w:tcPr>
          <w:p w14:paraId="23FA1E92">
            <w:pPr>
              <w:autoSpaceDE w:val="0"/>
              <w:autoSpaceDN w:val="0"/>
              <w:snapToGrid w:val="0"/>
              <w:spacing w:line="240" w:lineRule="auto"/>
              <w:jc w:val="center"/>
              <w:rPr>
                <w:rFonts w:hint="eastAsia" w:ascii="仿宋" w:hAnsi="仿宋" w:eastAsia="仿宋" w:cs="仿宋"/>
                <w:sz w:val="21"/>
                <w:szCs w:val="21"/>
                <w:highlight w:val="none"/>
              </w:rPr>
            </w:pPr>
          </w:p>
        </w:tc>
        <w:tc>
          <w:tcPr>
            <w:tcW w:w="5616" w:type="dxa"/>
            <w:gridSpan w:val="7"/>
            <w:vAlign w:val="center"/>
          </w:tcPr>
          <w:p w14:paraId="4D739018">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员工总人数：</w:t>
            </w:r>
          </w:p>
        </w:tc>
      </w:tr>
      <w:tr w14:paraId="1D20E9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A65306">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企业资质等级</w:t>
            </w:r>
          </w:p>
        </w:tc>
        <w:tc>
          <w:tcPr>
            <w:tcW w:w="1991" w:type="dxa"/>
            <w:gridSpan w:val="2"/>
            <w:vAlign w:val="center"/>
          </w:tcPr>
          <w:p w14:paraId="71CBFA93">
            <w:pPr>
              <w:autoSpaceDE w:val="0"/>
              <w:autoSpaceDN w:val="0"/>
              <w:snapToGrid w:val="0"/>
              <w:spacing w:line="240" w:lineRule="auto"/>
              <w:jc w:val="center"/>
              <w:rPr>
                <w:rFonts w:hint="eastAsia" w:ascii="仿宋" w:hAnsi="仿宋" w:eastAsia="仿宋" w:cs="仿宋"/>
                <w:sz w:val="21"/>
                <w:szCs w:val="21"/>
                <w:highlight w:val="none"/>
              </w:rPr>
            </w:pPr>
          </w:p>
        </w:tc>
        <w:tc>
          <w:tcPr>
            <w:tcW w:w="904" w:type="dxa"/>
            <w:vMerge w:val="restart"/>
            <w:vAlign w:val="center"/>
          </w:tcPr>
          <w:p w14:paraId="3958BABC">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其中</w:t>
            </w:r>
          </w:p>
        </w:tc>
        <w:tc>
          <w:tcPr>
            <w:tcW w:w="2476" w:type="dxa"/>
            <w:gridSpan w:val="4"/>
            <w:vAlign w:val="center"/>
          </w:tcPr>
          <w:p w14:paraId="1C009657">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项目经理</w:t>
            </w:r>
          </w:p>
        </w:tc>
        <w:tc>
          <w:tcPr>
            <w:tcW w:w="2236" w:type="dxa"/>
            <w:gridSpan w:val="2"/>
            <w:vAlign w:val="center"/>
          </w:tcPr>
          <w:p w14:paraId="5D944B7D">
            <w:pPr>
              <w:autoSpaceDE w:val="0"/>
              <w:autoSpaceDN w:val="0"/>
              <w:snapToGrid w:val="0"/>
              <w:spacing w:line="240" w:lineRule="auto"/>
              <w:jc w:val="center"/>
              <w:rPr>
                <w:rFonts w:hint="eastAsia" w:ascii="仿宋" w:hAnsi="仿宋" w:eastAsia="仿宋" w:cs="仿宋"/>
                <w:sz w:val="21"/>
                <w:szCs w:val="21"/>
                <w:highlight w:val="none"/>
              </w:rPr>
            </w:pPr>
          </w:p>
        </w:tc>
      </w:tr>
      <w:tr w14:paraId="3FCA43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2BD076C">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统一社会信用代码</w:t>
            </w:r>
          </w:p>
        </w:tc>
        <w:tc>
          <w:tcPr>
            <w:tcW w:w="1991" w:type="dxa"/>
            <w:gridSpan w:val="2"/>
            <w:vAlign w:val="center"/>
          </w:tcPr>
          <w:p w14:paraId="78D2676A">
            <w:pPr>
              <w:autoSpaceDE w:val="0"/>
              <w:autoSpaceDN w:val="0"/>
              <w:snapToGrid w:val="0"/>
              <w:spacing w:line="240" w:lineRule="auto"/>
              <w:jc w:val="center"/>
              <w:rPr>
                <w:rFonts w:hint="eastAsia" w:ascii="仿宋" w:hAnsi="仿宋" w:eastAsia="仿宋" w:cs="仿宋"/>
                <w:sz w:val="21"/>
                <w:szCs w:val="21"/>
                <w:highlight w:val="none"/>
              </w:rPr>
            </w:pPr>
          </w:p>
        </w:tc>
        <w:tc>
          <w:tcPr>
            <w:tcW w:w="904" w:type="dxa"/>
            <w:vMerge w:val="continue"/>
            <w:vAlign w:val="center"/>
          </w:tcPr>
          <w:p w14:paraId="3AD63BA7">
            <w:pPr>
              <w:autoSpaceDE w:val="0"/>
              <w:autoSpaceDN w:val="0"/>
              <w:snapToGrid w:val="0"/>
              <w:spacing w:line="240" w:lineRule="auto"/>
              <w:jc w:val="center"/>
              <w:rPr>
                <w:rFonts w:hint="eastAsia" w:ascii="仿宋" w:hAnsi="仿宋" w:eastAsia="仿宋" w:cs="仿宋"/>
                <w:sz w:val="21"/>
                <w:szCs w:val="21"/>
                <w:highlight w:val="none"/>
              </w:rPr>
            </w:pPr>
          </w:p>
        </w:tc>
        <w:tc>
          <w:tcPr>
            <w:tcW w:w="2476" w:type="dxa"/>
            <w:gridSpan w:val="4"/>
            <w:vAlign w:val="center"/>
          </w:tcPr>
          <w:p w14:paraId="47BB501B">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高级职称人员</w:t>
            </w:r>
          </w:p>
        </w:tc>
        <w:tc>
          <w:tcPr>
            <w:tcW w:w="2236" w:type="dxa"/>
            <w:gridSpan w:val="2"/>
            <w:vAlign w:val="center"/>
          </w:tcPr>
          <w:p w14:paraId="77FCFEDC">
            <w:pPr>
              <w:autoSpaceDE w:val="0"/>
              <w:autoSpaceDN w:val="0"/>
              <w:snapToGrid w:val="0"/>
              <w:spacing w:line="240" w:lineRule="auto"/>
              <w:jc w:val="center"/>
              <w:rPr>
                <w:rFonts w:hint="eastAsia" w:ascii="仿宋" w:hAnsi="仿宋" w:eastAsia="仿宋" w:cs="仿宋"/>
                <w:sz w:val="21"/>
                <w:szCs w:val="21"/>
                <w:highlight w:val="none"/>
              </w:rPr>
            </w:pPr>
          </w:p>
        </w:tc>
      </w:tr>
      <w:tr w14:paraId="036CE6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D7BDAD6">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注册资金</w:t>
            </w:r>
          </w:p>
        </w:tc>
        <w:tc>
          <w:tcPr>
            <w:tcW w:w="1991" w:type="dxa"/>
            <w:gridSpan w:val="2"/>
            <w:vAlign w:val="center"/>
          </w:tcPr>
          <w:p w14:paraId="238720A8">
            <w:pPr>
              <w:autoSpaceDE w:val="0"/>
              <w:autoSpaceDN w:val="0"/>
              <w:snapToGrid w:val="0"/>
              <w:spacing w:line="240" w:lineRule="auto"/>
              <w:jc w:val="center"/>
              <w:rPr>
                <w:rFonts w:hint="eastAsia" w:ascii="仿宋" w:hAnsi="仿宋" w:eastAsia="仿宋" w:cs="仿宋"/>
                <w:sz w:val="21"/>
                <w:szCs w:val="21"/>
                <w:highlight w:val="none"/>
              </w:rPr>
            </w:pPr>
          </w:p>
        </w:tc>
        <w:tc>
          <w:tcPr>
            <w:tcW w:w="904" w:type="dxa"/>
            <w:vMerge w:val="continue"/>
            <w:vAlign w:val="center"/>
          </w:tcPr>
          <w:p w14:paraId="11FC8980">
            <w:pPr>
              <w:autoSpaceDE w:val="0"/>
              <w:autoSpaceDN w:val="0"/>
              <w:snapToGrid w:val="0"/>
              <w:spacing w:line="240" w:lineRule="auto"/>
              <w:jc w:val="center"/>
              <w:rPr>
                <w:rFonts w:hint="eastAsia" w:ascii="仿宋" w:hAnsi="仿宋" w:eastAsia="仿宋" w:cs="仿宋"/>
                <w:sz w:val="21"/>
                <w:szCs w:val="21"/>
                <w:highlight w:val="none"/>
              </w:rPr>
            </w:pPr>
          </w:p>
        </w:tc>
        <w:tc>
          <w:tcPr>
            <w:tcW w:w="2476" w:type="dxa"/>
            <w:gridSpan w:val="4"/>
            <w:vAlign w:val="center"/>
          </w:tcPr>
          <w:p w14:paraId="2033BD62">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中级职称人员</w:t>
            </w:r>
          </w:p>
        </w:tc>
        <w:tc>
          <w:tcPr>
            <w:tcW w:w="2236" w:type="dxa"/>
            <w:gridSpan w:val="2"/>
            <w:vAlign w:val="center"/>
          </w:tcPr>
          <w:p w14:paraId="7BF50FD2">
            <w:pPr>
              <w:autoSpaceDE w:val="0"/>
              <w:autoSpaceDN w:val="0"/>
              <w:snapToGrid w:val="0"/>
              <w:spacing w:line="240" w:lineRule="auto"/>
              <w:jc w:val="center"/>
              <w:rPr>
                <w:rFonts w:hint="eastAsia" w:ascii="仿宋" w:hAnsi="仿宋" w:eastAsia="仿宋" w:cs="仿宋"/>
                <w:sz w:val="21"/>
                <w:szCs w:val="21"/>
                <w:highlight w:val="none"/>
              </w:rPr>
            </w:pPr>
          </w:p>
        </w:tc>
      </w:tr>
      <w:tr w14:paraId="0AD41D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3D27B1D">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开户银行</w:t>
            </w:r>
          </w:p>
        </w:tc>
        <w:tc>
          <w:tcPr>
            <w:tcW w:w="1991" w:type="dxa"/>
            <w:gridSpan w:val="2"/>
            <w:vAlign w:val="center"/>
          </w:tcPr>
          <w:p w14:paraId="3CC9C221">
            <w:pPr>
              <w:autoSpaceDE w:val="0"/>
              <w:autoSpaceDN w:val="0"/>
              <w:snapToGrid w:val="0"/>
              <w:spacing w:line="240" w:lineRule="auto"/>
              <w:jc w:val="center"/>
              <w:rPr>
                <w:rFonts w:hint="eastAsia" w:ascii="仿宋" w:hAnsi="仿宋" w:eastAsia="仿宋" w:cs="仿宋"/>
                <w:sz w:val="21"/>
                <w:szCs w:val="21"/>
                <w:highlight w:val="none"/>
              </w:rPr>
            </w:pPr>
          </w:p>
        </w:tc>
        <w:tc>
          <w:tcPr>
            <w:tcW w:w="904" w:type="dxa"/>
            <w:vMerge w:val="continue"/>
            <w:vAlign w:val="center"/>
          </w:tcPr>
          <w:p w14:paraId="2329477A">
            <w:pPr>
              <w:autoSpaceDE w:val="0"/>
              <w:autoSpaceDN w:val="0"/>
              <w:snapToGrid w:val="0"/>
              <w:spacing w:line="240" w:lineRule="auto"/>
              <w:jc w:val="center"/>
              <w:rPr>
                <w:rFonts w:hint="eastAsia" w:ascii="仿宋" w:hAnsi="仿宋" w:eastAsia="仿宋" w:cs="仿宋"/>
                <w:sz w:val="21"/>
                <w:szCs w:val="21"/>
                <w:highlight w:val="none"/>
              </w:rPr>
            </w:pPr>
          </w:p>
        </w:tc>
        <w:tc>
          <w:tcPr>
            <w:tcW w:w="2476" w:type="dxa"/>
            <w:gridSpan w:val="4"/>
            <w:vAlign w:val="center"/>
          </w:tcPr>
          <w:p w14:paraId="01A7E4D9">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初级职称人员</w:t>
            </w:r>
          </w:p>
        </w:tc>
        <w:tc>
          <w:tcPr>
            <w:tcW w:w="2236" w:type="dxa"/>
            <w:gridSpan w:val="2"/>
            <w:vAlign w:val="center"/>
          </w:tcPr>
          <w:p w14:paraId="2102FDEC">
            <w:pPr>
              <w:autoSpaceDE w:val="0"/>
              <w:autoSpaceDN w:val="0"/>
              <w:snapToGrid w:val="0"/>
              <w:spacing w:line="240" w:lineRule="auto"/>
              <w:jc w:val="center"/>
              <w:rPr>
                <w:rFonts w:hint="eastAsia" w:ascii="仿宋" w:hAnsi="仿宋" w:eastAsia="仿宋" w:cs="仿宋"/>
                <w:sz w:val="21"/>
                <w:szCs w:val="21"/>
                <w:highlight w:val="none"/>
              </w:rPr>
            </w:pPr>
          </w:p>
        </w:tc>
      </w:tr>
      <w:tr w14:paraId="232F32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6712A66">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账号</w:t>
            </w:r>
          </w:p>
        </w:tc>
        <w:tc>
          <w:tcPr>
            <w:tcW w:w="1991" w:type="dxa"/>
            <w:gridSpan w:val="2"/>
            <w:vAlign w:val="center"/>
          </w:tcPr>
          <w:p w14:paraId="3E74465C">
            <w:pPr>
              <w:autoSpaceDE w:val="0"/>
              <w:autoSpaceDN w:val="0"/>
              <w:snapToGrid w:val="0"/>
              <w:spacing w:line="240" w:lineRule="auto"/>
              <w:jc w:val="center"/>
              <w:rPr>
                <w:rFonts w:hint="eastAsia" w:ascii="仿宋" w:hAnsi="仿宋" w:eastAsia="仿宋" w:cs="仿宋"/>
                <w:sz w:val="21"/>
                <w:szCs w:val="21"/>
                <w:highlight w:val="none"/>
              </w:rPr>
            </w:pPr>
          </w:p>
        </w:tc>
        <w:tc>
          <w:tcPr>
            <w:tcW w:w="904" w:type="dxa"/>
            <w:vMerge w:val="continue"/>
            <w:vAlign w:val="center"/>
          </w:tcPr>
          <w:p w14:paraId="0DBC1B91">
            <w:pPr>
              <w:autoSpaceDE w:val="0"/>
              <w:autoSpaceDN w:val="0"/>
              <w:snapToGrid w:val="0"/>
              <w:spacing w:line="240" w:lineRule="auto"/>
              <w:jc w:val="center"/>
              <w:rPr>
                <w:rFonts w:hint="eastAsia" w:ascii="仿宋" w:hAnsi="仿宋" w:eastAsia="仿宋" w:cs="仿宋"/>
                <w:sz w:val="21"/>
                <w:szCs w:val="21"/>
                <w:highlight w:val="none"/>
              </w:rPr>
            </w:pPr>
          </w:p>
        </w:tc>
        <w:tc>
          <w:tcPr>
            <w:tcW w:w="2476" w:type="dxa"/>
            <w:gridSpan w:val="4"/>
            <w:vAlign w:val="center"/>
          </w:tcPr>
          <w:p w14:paraId="047A4745">
            <w:pPr>
              <w:tabs>
                <w:tab w:val="left" w:pos="1240"/>
              </w:tabs>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技</w:t>
            </w:r>
            <w:r>
              <w:rPr>
                <w:rFonts w:hint="eastAsia" w:ascii="仿宋" w:hAnsi="仿宋" w:eastAsia="仿宋" w:cs="仿宋"/>
                <w:sz w:val="21"/>
                <w:szCs w:val="21"/>
                <w:highlight w:val="none"/>
              </w:rPr>
              <w:tab/>
            </w:r>
            <w:r>
              <w:rPr>
                <w:rFonts w:hint="eastAsia" w:ascii="仿宋" w:hAnsi="仿宋" w:eastAsia="仿宋" w:cs="仿宋"/>
                <w:sz w:val="21"/>
                <w:szCs w:val="21"/>
                <w:highlight w:val="none"/>
              </w:rPr>
              <w:t>工</w:t>
            </w:r>
          </w:p>
        </w:tc>
        <w:tc>
          <w:tcPr>
            <w:tcW w:w="2236" w:type="dxa"/>
            <w:gridSpan w:val="2"/>
            <w:vAlign w:val="center"/>
          </w:tcPr>
          <w:p w14:paraId="620CE161">
            <w:pPr>
              <w:autoSpaceDE w:val="0"/>
              <w:autoSpaceDN w:val="0"/>
              <w:snapToGrid w:val="0"/>
              <w:spacing w:line="240" w:lineRule="auto"/>
              <w:jc w:val="center"/>
              <w:rPr>
                <w:rFonts w:hint="eastAsia" w:ascii="仿宋" w:hAnsi="仿宋" w:eastAsia="仿宋" w:cs="仿宋"/>
                <w:sz w:val="21"/>
                <w:szCs w:val="21"/>
                <w:highlight w:val="none"/>
              </w:rPr>
            </w:pPr>
          </w:p>
        </w:tc>
      </w:tr>
      <w:tr w14:paraId="6CDE7E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4BA30BC">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经营范围</w:t>
            </w:r>
          </w:p>
        </w:tc>
        <w:tc>
          <w:tcPr>
            <w:tcW w:w="7607" w:type="dxa"/>
            <w:gridSpan w:val="9"/>
            <w:vAlign w:val="center"/>
          </w:tcPr>
          <w:p w14:paraId="55EC7F5A">
            <w:pPr>
              <w:autoSpaceDE w:val="0"/>
              <w:autoSpaceDN w:val="0"/>
              <w:snapToGrid w:val="0"/>
              <w:spacing w:line="240" w:lineRule="auto"/>
              <w:jc w:val="center"/>
              <w:rPr>
                <w:rFonts w:hint="eastAsia" w:ascii="仿宋" w:hAnsi="仿宋" w:eastAsia="仿宋" w:cs="仿宋"/>
                <w:sz w:val="21"/>
                <w:szCs w:val="21"/>
                <w:highlight w:val="none"/>
              </w:rPr>
            </w:pPr>
          </w:p>
        </w:tc>
      </w:tr>
      <w:tr w14:paraId="371050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EA705E8">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c>
          <w:tcPr>
            <w:tcW w:w="7607" w:type="dxa"/>
            <w:gridSpan w:val="9"/>
            <w:vAlign w:val="center"/>
          </w:tcPr>
          <w:p w14:paraId="589A6B39">
            <w:pPr>
              <w:autoSpaceDE w:val="0"/>
              <w:autoSpaceDN w:val="0"/>
              <w:snapToGrid w:val="0"/>
              <w:spacing w:line="240" w:lineRule="auto"/>
              <w:jc w:val="center"/>
              <w:rPr>
                <w:rFonts w:hint="eastAsia" w:ascii="仿宋" w:hAnsi="仿宋" w:eastAsia="仿宋" w:cs="仿宋"/>
                <w:sz w:val="21"/>
                <w:szCs w:val="21"/>
                <w:highlight w:val="none"/>
              </w:rPr>
            </w:pPr>
          </w:p>
        </w:tc>
      </w:tr>
    </w:tbl>
    <w:p w14:paraId="07F32CE7">
      <w:pPr>
        <w:autoSpaceDE w:val="0"/>
        <w:autoSpaceDN w:val="0"/>
        <w:snapToGrid w:val="0"/>
        <w:spacing w:before="64" w:line="360" w:lineRule="auto"/>
        <w:ind w:right="-110"/>
        <w:rPr>
          <w:rFonts w:hint="eastAsia" w:ascii="仿宋" w:hAnsi="仿宋" w:eastAsia="仿宋" w:cs="仿宋"/>
          <w:b/>
          <w:highlight w:val="none"/>
        </w:rPr>
      </w:pPr>
      <w:bookmarkStart w:id="555" w:name="_Toc209605700"/>
    </w:p>
    <w:bookmarkEnd w:id="555"/>
    <w:p w14:paraId="170E54AA">
      <w:pPr>
        <w:pStyle w:val="4"/>
        <w:adjustRightInd/>
        <w:spacing w:before="0" w:after="0" w:line="240" w:lineRule="auto"/>
        <w:jc w:val="center"/>
        <w:rPr>
          <w:rFonts w:hint="eastAsia" w:ascii="仿宋" w:hAnsi="仿宋" w:eastAsia="仿宋" w:cs="仿宋"/>
          <w:kern w:val="2"/>
          <w:sz w:val="30"/>
          <w:szCs w:val="30"/>
          <w:highlight w:val="none"/>
        </w:rPr>
      </w:pPr>
      <w:r>
        <w:rPr>
          <w:rFonts w:hint="eastAsia" w:ascii="仿宋" w:hAnsi="仿宋" w:eastAsia="仿宋" w:cs="仿宋"/>
          <w:kern w:val="2"/>
          <w:sz w:val="30"/>
          <w:szCs w:val="30"/>
          <w:highlight w:val="none"/>
        </w:rPr>
        <w:t>（三）项目管理机构</w:t>
      </w:r>
    </w:p>
    <w:p w14:paraId="1BD2C0D2">
      <w:pPr>
        <w:adjustRightInd/>
        <w:spacing w:line="360" w:lineRule="auto"/>
        <w:rPr>
          <w:rFonts w:hint="eastAsia" w:ascii="仿宋" w:hAnsi="仿宋" w:eastAsia="仿宋" w:cs="仿宋"/>
          <w:kern w:val="2"/>
          <w:sz w:val="21"/>
          <w:szCs w:val="24"/>
          <w:highlight w:val="none"/>
        </w:rPr>
      </w:pPr>
    </w:p>
    <w:p w14:paraId="7F3C0191">
      <w:pPr>
        <w:autoSpaceDE w:val="0"/>
        <w:autoSpaceDN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项目管理机构组成表</w:t>
      </w:r>
    </w:p>
    <w:tbl>
      <w:tblPr>
        <w:tblStyle w:val="24"/>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326"/>
        <w:gridCol w:w="776"/>
        <w:gridCol w:w="1167"/>
        <w:gridCol w:w="776"/>
        <w:gridCol w:w="778"/>
        <w:gridCol w:w="776"/>
        <w:gridCol w:w="2723"/>
        <w:gridCol w:w="896"/>
      </w:tblGrid>
      <w:tr w14:paraId="644792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64" w:type="dxa"/>
            <w:vMerge w:val="restart"/>
            <w:vAlign w:val="center"/>
          </w:tcPr>
          <w:p w14:paraId="3C150A3E">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职务</w:t>
            </w:r>
          </w:p>
        </w:tc>
        <w:tc>
          <w:tcPr>
            <w:tcW w:w="326" w:type="dxa"/>
            <w:vMerge w:val="restart"/>
            <w:vAlign w:val="center"/>
          </w:tcPr>
          <w:p w14:paraId="0E36BC07">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p>
        </w:tc>
        <w:tc>
          <w:tcPr>
            <w:tcW w:w="776" w:type="dxa"/>
            <w:vMerge w:val="restart"/>
            <w:vAlign w:val="center"/>
          </w:tcPr>
          <w:p w14:paraId="64D8014D">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职称</w:t>
            </w:r>
          </w:p>
        </w:tc>
        <w:tc>
          <w:tcPr>
            <w:tcW w:w="6220" w:type="dxa"/>
            <w:gridSpan w:val="5"/>
            <w:vAlign w:val="center"/>
          </w:tcPr>
          <w:p w14:paraId="4DB6DFFB">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执业或职业资格证明</w:t>
            </w:r>
          </w:p>
        </w:tc>
        <w:tc>
          <w:tcPr>
            <w:tcW w:w="896" w:type="dxa"/>
            <w:vAlign w:val="center"/>
          </w:tcPr>
          <w:p w14:paraId="7BBB876E">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r>
      <w:tr w14:paraId="73C276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64" w:type="dxa"/>
            <w:vMerge w:val="continue"/>
          </w:tcPr>
          <w:p w14:paraId="28D3D417">
            <w:pPr>
              <w:autoSpaceDE w:val="0"/>
              <w:autoSpaceDN w:val="0"/>
              <w:snapToGrid w:val="0"/>
              <w:spacing w:line="240" w:lineRule="auto"/>
              <w:jc w:val="left"/>
              <w:rPr>
                <w:rFonts w:hint="eastAsia" w:ascii="仿宋" w:hAnsi="仿宋" w:eastAsia="仿宋" w:cs="仿宋"/>
                <w:sz w:val="21"/>
                <w:szCs w:val="21"/>
                <w:highlight w:val="none"/>
              </w:rPr>
            </w:pPr>
          </w:p>
        </w:tc>
        <w:tc>
          <w:tcPr>
            <w:tcW w:w="326" w:type="dxa"/>
            <w:vMerge w:val="continue"/>
          </w:tcPr>
          <w:p w14:paraId="617C41E2">
            <w:pPr>
              <w:autoSpaceDE w:val="0"/>
              <w:autoSpaceDN w:val="0"/>
              <w:snapToGrid w:val="0"/>
              <w:spacing w:line="240" w:lineRule="auto"/>
              <w:jc w:val="left"/>
              <w:rPr>
                <w:rFonts w:hint="eastAsia" w:ascii="仿宋" w:hAnsi="仿宋" w:eastAsia="仿宋" w:cs="仿宋"/>
                <w:sz w:val="21"/>
                <w:szCs w:val="21"/>
                <w:highlight w:val="none"/>
              </w:rPr>
            </w:pPr>
          </w:p>
        </w:tc>
        <w:tc>
          <w:tcPr>
            <w:tcW w:w="776" w:type="dxa"/>
            <w:vMerge w:val="continue"/>
          </w:tcPr>
          <w:p w14:paraId="76F85889">
            <w:pPr>
              <w:autoSpaceDE w:val="0"/>
              <w:autoSpaceDN w:val="0"/>
              <w:snapToGrid w:val="0"/>
              <w:spacing w:line="240" w:lineRule="auto"/>
              <w:jc w:val="left"/>
              <w:rPr>
                <w:rFonts w:hint="eastAsia" w:ascii="仿宋" w:hAnsi="仿宋" w:eastAsia="仿宋" w:cs="仿宋"/>
                <w:sz w:val="21"/>
                <w:szCs w:val="21"/>
                <w:highlight w:val="none"/>
              </w:rPr>
            </w:pPr>
          </w:p>
        </w:tc>
        <w:tc>
          <w:tcPr>
            <w:tcW w:w="1167" w:type="dxa"/>
            <w:vAlign w:val="center"/>
          </w:tcPr>
          <w:p w14:paraId="30696D04">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证书名称</w:t>
            </w:r>
          </w:p>
        </w:tc>
        <w:tc>
          <w:tcPr>
            <w:tcW w:w="776" w:type="dxa"/>
            <w:vAlign w:val="center"/>
          </w:tcPr>
          <w:p w14:paraId="578805FF">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级别</w:t>
            </w:r>
          </w:p>
        </w:tc>
        <w:tc>
          <w:tcPr>
            <w:tcW w:w="778" w:type="dxa"/>
            <w:vAlign w:val="center"/>
          </w:tcPr>
          <w:p w14:paraId="185AF5C9">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证号</w:t>
            </w:r>
          </w:p>
        </w:tc>
        <w:tc>
          <w:tcPr>
            <w:tcW w:w="776" w:type="dxa"/>
            <w:vAlign w:val="center"/>
          </w:tcPr>
          <w:p w14:paraId="7493D3F1">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专业</w:t>
            </w:r>
          </w:p>
        </w:tc>
        <w:tc>
          <w:tcPr>
            <w:tcW w:w="2723" w:type="dxa"/>
            <w:vAlign w:val="center"/>
          </w:tcPr>
          <w:p w14:paraId="6636C008">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养老保险</w:t>
            </w:r>
          </w:p>
        </w:tc>
        <w:tc>
          <w:tcPr>
            <w:tcW w:w="896" w:type="dxa"/>
          </w:tcPr>
          <w:p w14:paraId="5D71D9EE">
            <w:pPr>
              <w:autoSpaceDE w:val="0"/>
              <w:autoSpaceDN w:val="0"/>
              <w:snapToGrid w:val="0"/>
              <w:spacing w:line="240" w:lineRule="auto"/>
              <w:jc w:val="left"/>
              <w:rPr>
                <w:rFonts w:hint="eastAsia" w:ascii="仿宋" w:hAnsi="仿宋" w:eastAsia="仿宋" w:cs="仿宋"/>
                <w:sz w:val="21"/>
                <w:szCs w:val="21"/>
                <w:highlight w:val="none"/>
              </w:rPr>
            </w:pPr>
          </w:p>
        </w:tc>
      </w:tr>
      <w:tr w14:paraId="411EC5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64" w:type="dxa"/>
            <w:vAlign w:val="center"/>
          </w:tcPr>
          <w:p w14:paraId="06411E99">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项目负责人</w:t>
            </w:r>
          </w:p>
        </w:tc>
        <w:tc>
          <w:tcPr>
            <w:tcW w:w="326" w:type="dxa"/>
          </w:tcPr>
          <w:p w14:paraId="0B3F9719">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21944073">
            <w:pPr>
              <w:autoSpaceDE w:val="0"/>
              <w:autoSpaceDN w:val="0"/>
              <w:snapToGrid w:val="0"/>
              <w:spacing w:line="240" w:lineRule="auto"/>
              <w:jc w:val="left"/>
              <w:rPr>
                <w:rFonts w:hint="eastAsia" w:ascii="仿宋" w:hAnsi="仿宋" w:eastAsia="仿宋" w:cs="仿宋"/>
                <w:sz w:val="21"/>
                <w:szCs w:val="21"/>
                <w:highlight w:val="none"/>
              </w:rPr>
            </w:pPr>
          </w:p>
        </w:tc>
        <w:tc>
          <w:tcPr>
            <w:tcW w:w="1167" w:type="dxa"/>
          </w:tcPr>
          <w:p w14:paraId="4F792F41">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7716A248">
            <w:pPr>
              <w:autoSpaceDE w:val="0"/>
              <w:autoSpaceDN w:val="0"/>
              <w:snapToGrid w:val="0"/>
              <w:spacing w:line="240" w:lineRule="auto"/>
              <w:jc w:val="left"/>
              <w:rPr>
                <w:rFonts w:hint="eastAsia" w:ascii="仿宋" w:hAnsi="仿宋" w:eastAsia="仿宋" w:cs="仿宋"/>
                <w:sz w:val="21"/>
                <w:szCs w:val="21"/>
                <w:highlight w:val="none"/>
              </w:rPr>
            </w:pPr>
          </w:p>
        </w:tc>
        <w:tc>
          <w:tcPr>
            <w:tcW w:w="778" w:type="dxa"/>
          </w:tcPr>
          <w:p w14:paraId="3A5CA3E9">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0F08EFF3">
            <w:pPr>
              <w:autoSpaceDE w:val="0"/>
              <w:autoSpaceDN w:val="0"/>
              <w:snapToGrid w:val="0"/>
              <w:spacing w:line="240" w:lineRule="auto"/>
              <w:jc w:val="left"/>
              <w:rPr>
                <w:rFonts w:hint="eastAsia" w:ascii="仿宋" w:hAnsi="仿宋" w:eastAsia="仿宋" w:cs="仿宋"/>
                <w:sz w:val="21"/>
                <w:szCs w:val="21"/>
                <w:highlight w:val="none"/>
              </w:rPr>
            </w:pPr>
          </w:p>
        </w:tc>
        <w:tc>
          <w:tcPr>
            <w:tcW w:w="2723" w:type="dxa"/>
          </w:tcPr>
          <w:p w14:paraId="64E9E9A2">
            <w:pPr>
              <w:autoSpaceDE w:val="0"/>
              <w:autoSpaceDN w:val="0"/>
              <w:snapToGrid w:val="0"/>
              <w:spacing w:line="240" w:lineRule="auto"/>
              <w:jc w:val="left"/>
              <w:rPr>
                <w:rFonts w:hint="eastAsia" w:ascii="仿宋" w:hAnsi="仿宋" w:eastAsia="仿宋" w:cs="仿宋"/>
                <w:sz w:val="21"/>
                <w:szCs w:val="21"/>
                <w:highlight w:val="none"/>
              </w:rPr>
            </w:pPr>
          </w:p>
        </w:tc>
        <w:tc>
          <w:tcPr>
            <w:tcW w:w="896" w:type="dxa"/>
          </w:tcPr>
          <w:p w14:paraId="7CB4DA11">
            <w:pPr>
              <w:autoSpaceDE w:val="0"/>
              <w:autoSpaceDN w:val="0"/>
              <w:snapToGrid w:val="0"/>
              <w:spacing w:line="240" w:lineRule="auto"/>
              <w:jc w:val="left"/>
              <w:rPr>
                <w:rFonts w:hint="eastAsia" w:ascii="仿宋" w:hAnsi="仿宋" w:eastAsia="仿宋" w:cs="仿宋"/>
                <w:sz w:val="21"/>
                <w:szCs w:val="21"/>
                <w:highlight w:val="none"/>
              </w:rPr>
            </w:pPr>
          </w:p>
        </w:tc>
      </w:tr>
      <w:tr w14:paraId="122078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1264" w:type="dxa"/>
            <w:vAlign w:val="center"/>
          </w:tcPr>
          <w:p w14:paraId="5496F441">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成员1</w:t>
            </w:r>
          </w:p>
        </w:tc>
        <w:tc>
          <w:tcPr>
            <w:tcW w:w="326" w:type="dxa"/>
          </w:tcPr>
          <w:p w14:paraId="3E2556F4">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3985935A">
            <w:pPr>
              <w:autoSpaceDE w:val="0"/>
              <w:autoSpaceDN w:val="0"/>
              <w:snapToGrid w:val="0"/>
              <w:spacing w:line="240" w:lineRule="auto"/>
              <w:jc w:val="left"/>
              <w:rPr>
                <w:rFonts w:hint="eastAsia" w:ascii="仿宋" w:hAnsi="仿宋" w:eastAsia="仿宋" w:cs="仿宋"/>
                <w:sz w:val="21"/>
                <w:szCs w:val="21"/>
                <w:highlight w:val="none"/>
              </w:rPr>
            </w:pPr>
          </w:p>
        </w:tc>
        <w:tc>
          <w:tcPr>
            <w:tcW w:w="1167" w:type="dxa"/>
          </w:tcPr>
          <w:p w14:paraId="5472ACD3">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4E5CFF48">
            <w:pPr>
              <w:autoSpaceDE w:val="0"/>
              <w:autoSpaceDN w:val="0"/>
              <w:snapToGrid w:val="0"/>
              <w:spacing w:line="240" w:lineRule="auto"/>
              <w:jc w:val="left"/>
              <w:rPr>
                <w:rFonts w:hint="eastAsia" w:ascii="仿宋" w:hAnsi="仿宋" w:eastAsia="仿宋" w:cs="仿宋"/>
                <w:sz w:val="21"/>
                <w:szCs w:val="21"/>
                <w:highlight w:val="none"/>
              </w:rPr>
            </w:pPr>
          </w:p>
        </w:tc>
        <w:tc>
          <w:tcPr>
            <w:tcW w:w="778" w:type="dxa"/>
          </w:tcPr>
          <w:p w14:paraId="60BA44D2">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64EF1A0F">
            <w:pPr>
              <w:autoSpaceDE w:val="0"/>
              <w:autoSpaceDN w:val="0"/>
              <w:snapToGrid w:val="0"/>
              <w:spacing w:line="240" w:lineRule="auto"/>
              <w:jc w:val="left"/>
              <w:rPr>
                <w:rFonts w:hint="eastAsia" w:ascii="仿宋" w:hAnsi="仿宋" w:eastAsia="仿宋" w:cs="仿宋"/>
                <w:sz w:val="21"/>
                <w:szCs w:val="21"/>
                <w:highlight w:val="none"/>
              </w:rPr>
            </w:pPr>
          </w:p>
        </w:tc>
        <w:tc>
          <w:tcPr>
            <w:tcW w:w="2723" w:type="dxa"/>
          </w:tcPr>
          <w:p w14:paraId="43C78F42">
            <w:pPr>
              <w:autoSpaceDE w:val="0"/>
              <w:autoSpaceDN w:val="0"/>
              <w:snapToGrid w:val="0"/>
              <w:spacing w:line="240" w:lineRule="auto"/>
              <w:jc w:val="left"/>
              <w:rPr>
                <w:rFonts w:hint="eastAsia" w:ascii="仿宋" w:hAnsi="仿宋" w:eastAsia="仿宋" w:cs="仿宋"/>
                <w:sz w:val="21"/>
                <w:szCs w:val="21"/>
                <w:highlight w:val="none"/>
              </w:rPr>
            </w:pPr>
          </w:p>
        </w:tc>
        <w:tc>
          <w:tcPr>
            <w:tcW w:w="896" w:type="dxa"/>
          </w:tcPr>
          <w:p w14:paraId="59CFC0B3">
            <w:pPr>
              <w:autoSpaceDE w:val="0"/>
              <w:autoSpaceDN w:val="0"/>
              <w:snapToGrid w:val="0"/>
              <w:spacing w:line="240" w:lineRule="auto"/>
              <w:jc w:val="left"/>
              <w:rPr>
                <w:rFonts w:hint="eastAsia" w:ascii="仿宋" w:hAnsi="仿宋" w:eastAsia="仿宋" w:cs="仿宋"/>
                <w:sz w:val="21"/>
                <w:szCs w:val="21"/>
                <w:highlight w:val="none"/>
              </w:rPr>
            </w:pPr>
          </w:p>
        </w:tc>
      </w:tr>
      <w:tr w14:paraId="22429B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64" w:type="dxa"/>
          </w:tcPr>
          <w:p w14:paraId="02AF5ECC">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成员2</w:t>
            </w:r>
          </w:p>
        </w:tc>
        <w:tc>
          <w:tcPr>
            <w:tcW w:w="326" w:type="dxa"/>
          </w:tcPr>
          <w:p w14:paraId="1CD462AC">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1ADA1A8F">
            <w:pPr>
              <w:autoSpaceDE w:val="0"/>
              <w:autoSpaceDN w:val="0"/>
              <w:snapToGrid w:val="0"/>
              <w:spacing w:line="240" w:lineRule="auto"/>
              <w:jc w:val="left"/>
              <w:rPr>
                <w:rFonts w:hint="eastAsia" w:ascii="仿宋" w:hAnsi="仿宋" w:eastAsia="仿宋" w:cs="仿宋"/>
                <w:sz w:val="21"/>
                <w:szCs w:val="21"/>
                <w:highlight w:val="none"/>
              </w:rPr>
            </w:pPr>
          </w:p>
        </w:tc>
        <w:tc>
          <w:tcPr>
            <w:tcW w:w="1167" w:type="dxa"/>
          </w:tcPr>
          <w:p w14:paraId="3C39A1A9">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09FBB5B4">
            <w:pPr>
              <w:autoSpaceDE w:val="0"/>
              <w:autoSpaceDN w:val="0"/>
              <w:snapToGrid w:val="0"/>
              <w:spacing w:line="240" w:lineRule="auto"/>
              <w:jc w:val="left"/>
              <w:rPr>
                <w:rFonts w:hint="eastAsia" w:ascii="仿宋" w:hAnsi="仿宋" w:eastAsia="仿宋" w:cs="仿宋"/>
                <w:sz w:val="21"/>
                <w:szCs w:val="21"/>
                <w:highlight w:val="none"/>
              </w:rPr>
            </w:pPr>
          </w:p>
        </w:tc>
        <w:tc>
          <w:tcPr>
            <w:tcW w:w="778" w:type="dxa"/>
          </w:tcPr>
          <w:p w14:paraId="18765DAF">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0FF4CB42">
            <w:pPr>
              <w:autoSpaceDE w:val="0"/>
              <w:autoSpaceDN w:val="0"/>
              <w:snapToGrid w:val="0"/>
              <w:spacing w:line="240" w:lineRule="auto"/>
              <w:jc w:val="left"/>
              <w:rPr>
                <w:rFonts w:hint="eastAsia" w:ascii="仿宋" w:hAnsi="仿宋" w:eastAsia="仿宋" w:cs="仿宋"/>
                <w:sz w:val="21"/>
                <w:szCs w:val="21"/>
                <w:highlight w:val="none"/>
              </w:rPr>
            </w:pPr>
          </w:p>
        </w:tc>
        <w:tc>
          <w:tcPr>
            <w:tcW w:w="2723" w:type="dxa"/>
          </w:tcPr>
          <w:p w14:paraId="3D265DCC">
            <w:pPr>
              <w:autoSpaceDE w:val="0"/>
              <w:autoSpaceDN w:val="0"/>
              <w:snapToGrid w:val="0"/>
              <w:spacing w:line="240" w:lineRule="auto"/>
              <w:jc w:val="left"/>
              <w:rPr>
                <w:rFonts w:hint="eastAsia" w:ascii="仿宋" w:hAnsi="仿宋" w:eastAsia="仿宋" w:cs="仿宋"/>
                <w:sz w:val="21"/>
                <w:szCs w:val="21"/>
                <w:highlight w:val="none"/>
              </w:rPr>
            </w:pPr>
          </w:p>
        </w:tc>
        <w:tc>
          <w:tcPr>
            <w:tcW w:w="896" w:type="dxa"/>
          </w:tcPr>
          <w:p w14:paraId="03E92524">
            <w:pPr>
              <w:autoSpaceDE w:val="0"/>
              <w:autoSpaceDN w:val="0"/>
              <w:snapToGrid w:val="0"/>
              <w:spacing w:line="240" w:lineRule="auto"/>
              <w:jc w:val="left"/>
              <w:rPr>
                <w:rFonts w:hint="eastAsia" w:ascii="仿宋" w:hAnsi="仿宋" w:eastAsia="仿宋" w:cs="仿宋"/>
                <w:sz w:val="21"/>
                <w:szCs w:val="21"/>
                <w:highlight w:val="none"/>
              </w:rPr>
            </w:pPr>
          </w:p>
        </w:tc>
      </w:tr>
      <w:tr w14:paraId="2A4CDA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64" w:type="dxa"/>
          </w:tcPr>
          <w:p w14:paraId="704A3FBC">
            <w:pPr>
              <w:autoSpaceDE w:val="0"/>
              <w:autoSpaceDN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326" w:type="dxa"/>
          </w:tcPr>
          <w:p w14:paraId="6B7C018F">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0F54CB4E">
            <w:pPr>
              <w:autoSpaceDE w:val="0"/>
              <w:autoSpaceDN w:val="0"/>
              <w:snapToGrid w:val="0"/>
              <w:spacing w:line="240" w:lineRule="auto"/>
              <w:jc w:val="left"/>
              <w:rPr>
                <w:rFonts w:hint="eastAsia" w:ascii="仿宋" w:hAnsi="仿宋" w:eastAsia="仿宋" w:cs="仿宋"/>
                <w:sz w:val="21"/>
                <w:szCs w:val="21"/>
                <w:highlight w:val="none"/>
              </w:rPr>
            </w:pPr>
          </w:p>
        </w:tc>
        <w:tc>
          <w:tcPr>
            <w:tcW w:w="1167" w:type="dxa"/>
          </w:tcPr>
          <w:p w14:paraId="430828A8">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2B0C8D26">
            <w:pPr>
              <w:autoSpaceDE w:val="0"/>
              <w:autoSpaceDN w:val="0"/>
              <w:snapToGrid w:val="0"/>
              <w:spacing w:line="240" w:lineRule="auto"/>
              <w:jc w:val="left"/>
              <w:rPr>
                <w:rFonts w:hint="eastAsia" w:ascii="仿宋" w:hAnsi="仿宋" w:eastAsia="仿宋" w:cs="仿宋"/>
                <w:sz w:val="21"/>
                <w:szCs w:val="21"/>
                <w:highlight w:val="none"/>
              </w:rPr>
            </w:pPr>
          </w:p>
        </w:tc>
        <w:tc>
          <w:tcPr>
            <w:tcW w:w="778" w:type="dxa"/>
          </w:tcPr>
          <w:p w14:paraId="1B8FB5A9">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7338D97A">
            <w:pPr>
              <w:autoSpaceDE w:val="0"/>
              <w:autoSpaceDN w:val="0"/>
              <w:snapToGrid w:val="0"/>
              <w:spacing w:line="240" w:lineRule="auto"/>
              <w:jc w:val="left"/>
              <w:rPr>
                <w:rFonts w:hint="eastAsia" w:ascii="仿宋" w:hAnsi="仿宋" w:eastAsia="仿宋" w:cs="仿宋"/>
                <w:sz w:val="21"/>
                <w:szCs w:val="21"/>
                <w:highlight w:val="none"/>
              </w:rPr>
            </w:pPr>
          </w:p>
        </w:tc>
        <w:tc>
          <w:tcPr>
            <w:tcW w:w="2723" w:type="dxa"/>
          </w:tcPr>
          <w:p w14:paraId="66FC094A">
            <w:pPr>
              <w:autoSpaceDE w:val="0"/>
              <w:autoSpaceDN w:val="0"/>
              <w:snapToGrid w:val="0"/>
              <w:spacing w:line="240" w:lineRule="auto"/>
              <w:jc w:val="left"/>
              <w:rPr>
                <w:rFonts w:hint="eastAsia" w:ascii="仿宋" w:hAnsi="仿宋" w:eastAsia="仿宋" w:cs="仿宋"/>
                <w:sz w:val="21"/>
                <w:szCs w:val="21"/>
                <w:highlight w:val="none"/>
              </w:rPr>
            </w:pPr>
          </w:p>
        </w:tc>
        <w:tc>
          <w:tcPr>
            <w:tcW w:w="896" w:type="dxa"/>
          </w:tcPr>
          <w:p w14:paraId="6DFD5258">
            <w:pPr>
              <w:autoSpaceDE w:val="0"/>
              <w:autoSpaceDN w:val="0"/>
              <w:snapToGrid w:val="0"/>
              <w:spacing w:line="240" w:lineRule="auto"/>
              <w:jc w:val="left"/>
              <w:rPr>
                <w:rFonts w:hint="eastAsia" w:ascii="仿宋" w:hAnsi="仿宋" w:eastAsia="仿宋" w:cs="仿宋"/>
                <w:sz w:val="21"/>
                <w:szCs w:val="21"/>
                <w:highlight w:val="none"/>
              </w:rPr>
            </w:pPr>
          </w:p>
        </w:tc>
      </w:tr>
      <w:tr w14:paraId="036811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64" w:type="dxa"/>
          </w:tcPr>
          <w:p w14:paraId="6166525C">
            <w:pPr>
              <w:autoSpaceDE w:val="0"/>
              <w:autoSpaceDN w:val="0"/>
              <w:snapToGrid w:val="0"/>
              <w:spacing w:line="240" w:lineRule="auto"/>
              <w:jc w:val="left"/>
              <w:rPr>
                <w:rFonts w:hint="eastAsia" w:ascii="仿宋" w:hAnsi="仿宋" w:eastAsia="仿宋" w:cs="仿宋"/>
                <w:sz w:val="21"/>
                <w:szCs w:val="21"/>
                <w:highlight w:val="none"/>
              </w:rPr>
            </w:pPr>
          </w:p>
        </w:tc>
        <w:tc>
          <w:tcPr>
            <w:tcW w:w="326" w:type="dxa"/>
          </w:tcPr>
          <w:p w14:paraId="2D727DAC">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1C4BF8B1">
            <w:pPr>
              <w:autoSpaceDE w:val="0"/>
              <w:autoSpaceDN w:val="0"/>
              <w:snapToGrid w:val="0"/>
              <w:spacing w:line="240" w:lineRule="auto"/>
              <w:jc w:val="left"/>
              <w:rPr>
                <w:rFonts w:hint="eastAsia" w:ascii="仿宋" w:hAnsi="仿宋" w:eastAsia="仿宋" w:cs="仿宋"/>
                <w:sz w:val="21"/>
                <w:szCs w:val="21"/>
                <w:highlight w:val="none"/>
              </w:rPr>
            </w:pPr>
          </w:p>
        </w:tc>
        <w:tc>
          <w:tcPr>
            <w:tcW w:w="1167" w:type="dxa"/>
          </w:tcPr>
          <w:p w14:paraId="29906389">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23475251">
            <w:pPr>
              <w:autoSpaceDE w:val="0"/>
              <w:autoSpaceDN w:val="0"/>
              <w:snapToGrid w:val="0"/>
              <w:spacing w:line="240" w:lineRule="auto"/>
              <w:jc w:val="left"/>
              <w:rPr>
                <w:rFonts w:hint="eastAsia" w:ascii="仿宋" w:hAnsi="仿宋" w:eastAsia="仿宋" w:cs="仿宋"/>
                <w:sz w:val="21"/>
                <w:szCs w:val="21"/>
                <w:highlight w:val="none"/>
              </w:rPr>
            </w:pPr>
          </w:p>
        </w:tc>
        <w:tc>
          <w:tcPr>
            <w:tcW w:w="778" w:type="dxa"/>
          </w:tcPr>
          <w:p w14:paraId="022DB536">
            <w:pPr>
              <w:autoSpaceDE w:val="0"/>
              <w:autoSpaceDN w:val="0"/>
              <w:snapToGrid w:val="0"/>
              <w:spacing w:line="240" w:lineRule="auto"/>
              <w:jc w:val="left"/>
              <w:rPr>
                <w:rFonts w:hint="eastAsia" w:ascii="仿宋" w:hAnsi="仿宋" w:eastAsia="仿宋" w:cs="仿宋"/>
                <w:sz w:val="21"/>
                <w:szCs w:val="21"/>
                <w:highlight w:val="none"/>
              </w:rPr>
            </w:pPr>
          </w:p>
        </w:tc>
        <w:tc>
          <w:tcPr>
            <w:tcW w:w="776" w:type="dxa"/>
          </w:tcPr>
          <w:p w14:paraId="2E8D8C8B">
            <w:pPr>
              <w:autoSpaceDE w:val="0"/>
              <w:autoSpaceDN w:val="0"/>
              <w:snapToGrid w:val="0"/>
              <w:spacing w:line="240" w:lineRule="auto"/>
              <w:jc w:val="left"/>
              <w:rPr>
                <w:rFonts w:hint="eastAsia" w:ascii="仿宋" w:hAnsi="仿宋" w:eastAsia="仿宋" w:cs="仿宋"/>
                <w:sz w:val="21"/>
                <w:szCs w:val="21"/>
                <w:highlight w:val="none"/>
              </w:rPr>
            </w:pPr>
          </w:p>
        </w:tc>
        <w:tc>
          <w:tcPr>
            <w:tcW w:w="2723" w:type="dxa"/>
          </w:tcPr>
          <w:p w14:paraId="0755859F">
            <w:pPr>
              <w:autoSpaceDE w:val="0"/>
              <w:autoSpaceDN w:val="0"/>
              <w:snapToGrid w:val="0"/>
              <w:spacing w:line="240" w:lineRule="auto"/>
              <w:jc w:val="left"/>
              <w:rPr>
                <w:rFonts w:hint="eastAsia" w:ascii="仿宋" w:hAnsi="仿宋" w:eastAsia="仿宋" w:cs="仿宋"/>
                <w:sz w:val="21"/>
                <w:szCs w:val="21"/>
                <w:highlight w:val="none"/>
              </w:rPr>
            </w:pPr>
          </w:p>
        </w:tc>
        <w:tc>
          <w:tcPr>
            <w:tcW w:w="896" w:type="dxa"/>
          </w:tcPr>
          <w:p w14:paraId="76F3D610">
            <w:pPr>
              <w:autoSpaceDE w:val="0"/>
              <w:autoSpaceDN w:val="0"/>
              <w:snapToGrid w:val="0"/>
              <w:spacing w:line="240" w:lineRule="auto"/>
              <w:jc w:val="left"/>
              <w:rPr>
                <w:rFonts w:hint="eastAsia" w:ascii="仿宋" w:hAnsi="仿宋" w:eastAsia="仿宋" w:cs="仿宋"/>
                <w:sz w:val="21"/>
                <w:szCs w:val="21"/>
                <w:highlight w:val="none"/>
              </w:rPr>
            </w:pPr>
          </w:p>
        </w:tc>
      </w:tr>
    </w:tbl>
    <w:p w14:paraId="4A775F04">
      <w:pPr>
        <w:adjustRightInd/>
        <w:spacing w:line="20" w:lineRule="exact"/>
        <w:jc w:val="center"/>
        <w:rPr>
          <w:rFonts w:hint="eastAsia" w:ascii="仿宋" w:hAnsi="仿宋" w:eastAsia="仿宋" w:cs="仿宋"/>
          <w:kern w:val="2"/>
          <w:sz w:val="21"/>
          <w:szCs w:val="21"/>
          <w:highlight w:val="none"/>
        </w:rPr>
      </w:pPr>
    </w:p>
    <w:p w14:paraId="6084E6C8">
      <w:pPr>
        <w:adjustRightInd/>
        <w:spacing w:line="360" w:lineRule="auto"/>
        <w:ind w:firstLine="640" w:firstLineChars="200"/>
        <w:jc w:val="center"/>
        <w:rPr>
          <w:rFonts w:hint="eastAsia" w:ascii="仿宋" w:hAnsi="仿宋" w:eastAsia="仿宋" w:cs="仿宋"/>
          <w:kern w:val="2"/>
          <w:highlight w:val="none"/>
        </w:rPr>
      </w:pPr>
      <w:r>
        <w:rPr>
          <w:rFonts w:hint="eastAsia" w:ascii="仿宋" w:hAnsi="仿宋" w:eastAsia="仿宋" w:cs="仿宋"/>
          <w:kern w:val="2"/>
          <w:highlight w:val="none"/>
        </w:rPr>
        <w:br w:type="page"/>
      </w:r>
      <w:r>
        <w:rPr>
          <w:rFonts w:hint="eastAsia" w:ascii="仿宋" w:hAnsi="仿宋" w:eastAsia="仿宋" w:cs="仿宋"/>
          <w:kern w:val="2"/>
          <w:highlight w:val="none"/>
        </w:rPr>
        <w:t>项目负责人简历表</w:t>
      </w:r>
    </w:p>
    <w:tbl>
      <w:tblPr>
        <w:tblStyle w:val="24"/>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43ACB3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59667B0">
            <w:pPr>
              <w:tabs>
                <w:tab w:val="left" w:pos="520"/>
              </w:tabs>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p>
        </w:tc>
        <w:tc>
          <w:tcPr>
            <w:tcW w:w="1190" w:type="dxa"/>
            <w:gridSpan w:val="2"/>
            <w:vAlign w:val="center"/>
          </w:tcPr>
          <w:p w14:paraId="5614AD64">
            <w:pPr>
              <w:autoSpaceDE w:val="0"/>
              <w:autoSpaceDN w:val="0"/>
              <w:snapToGrid w:val="0"/>
              <w:spacing w:line="240" w:lineRule="auto"/>
              <w:jc w:val="center"/>
              <w:rPr>
                <w:rFonts w:hint="eastAsia" w:ascii="仿宋" w:hAnsi="仿宋" w:eastAsia="仿宋" w:cs="仿宋"/>
                <w:sz w:val="21"/>
                <w:szCs w:val="21"/>
                <w:highlight w:val="none"/>
              </w:rPr>
            </w:pPr>
          </w:p>
        </w:tc>
        <w:tc>
          <w:tcPr>
            <w:tcW w:w="1020" w:type="dxa"/>
            <w:vAlign w:val="center"/>
          </w:tcPr>
          <w:p w14:paraId="724CC917">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年龄</w:t>
            </w:r>
          </w:p>
        </w:tc>
        <w:tc>
          <w:tcPr>
            <w:tcW w:w="1175" w:type="dxa"/>
            <w:vAlign w:val="center"/>
          </w:tcPr>
          <w:p w14:paraId="06CB698D">
            <w:pPr>
              <w:autoSpaceDE w:val="0"/>
              <w:autoSpaceDN w:val="0"/>
              <w:snapToGrid w:val="0"/>
              <w:spacing w:line="240" w:lineRule="auto"/>
              <w:jc w:val="center"/>
              <w:rPr>
                <w:rFonts w:hint="eastAsia" w:ascii="仿宋" w:hAnsi="仿宋" w:eastAsia="仿宋" w:cs="仿宋"/>
                <w:sz w:val="21"/>
                <w:szCs w:val="21"/>
                <w:highlight w:val="none"/>
              </w:rPr>
            </w:pPr>
          </w:p>
        </w:tc>
        <w:tc>
          <w:tcPr>
            <w:tcW w:w="2346" w:type="dxa"/>
            <w:gridSpan w:val="3"/>
            <w:vAlign w:val="center"/>
          </w:tcPr>
          <w:p w14:paraId="449CF2CE">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学历</w:t>
            </w:r>
          </w:p>
        </w:tc>
        <w:tc>
          <w:tcPr>
            <w:tcW w:w="2528" w:type="dxa"/>
            <w:vAlign w:val="center"/>
          </w:tcPr>
          <w:p w14:paraId="541BA599">
            <w:pPr>
              <w:autoSpaceDE w:val="0"/>
              <w:autoSpaceDN w:val="0"/>
              <w:snapToGrid w:val="0"/>
              <w:spacing w:line="240" w:lineRule="auto"/>
              <w:jc w:val="center"/>
              <w:rPr>
                <w:rFonts w:hint="eastAsia" w:ascii="仿宋" w:hAnsi="仿宋" w:eastAsia="仿宋" w:cs="仿宋"/>
                <w:sz w:val="21"/>
                <w:szCs w:val="21"/>
                <w:highlight w:val="none"/>
              </w:rPr>
            </w:pPr>
          </w:p>
        </w:tc>
      </w:tr>
      <w:tr w14:paraId="5BFA0D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536E2171">
            <w:pPr>
              <w:tabs>
                <w:tab w:val="left" w:pos="520"/>
              </w:tabs>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职称</w:t>
            </w:r>
          </w:p>
        </w:tc>
        <w:tc>
          <w:tcPr>
            <w:tcW w:w="1190" w:type="dxa"/>
            <w:gridSpan w:val="2"/>
            <w:vAlign w:val="center"/>
          </w:tcPr>
          <w:p w14:paraId="4305C8E3">
            <w:pPr>
              <w:autoSpaceDE w:val="0"/>
              <w:autoSpaceDN w:val="0"/>
              <w:snapToGrid w:val="0"/>
              <w:spacing w:line="240" w:lineRule="auto"/>
              <w:jc w:val="center"/>
              <w:rPr>
                <w:rFonts w:hint="eastAsia" w:ascii="仿宋" w:hAnsi="仿宋" w:eastAsia="仿宋" w:cs="仿宋"/>
                <w:sz w:val="21"/>
                <w:szCs w:val="21"/>
                <w:highlight w:val="none"/>
              </w:rPr>
            </w:pPr>
          </w:p>
        </w:tc>
        <w:tc>
          <w:tcPr>
            <w:tcW w:w="1020" w:type="dxa"/>
            <w:vAlign w:val="center"/>
          </w:tcPr>
          <w:p w14:paraId="4FF88854">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职务</w:t>
            </w:r>
          </w:p>
        </w:tc>
        <w:tc>
          <w:tcPr>
            <w:tcW w:w="1175" w:type="dxa"/>
            <w:vAlign w:val="center"/>
          </w:tcPr>
          <w:p w14:paraId="0C92CC85">
            <w:pPr>
              <w:autoSpaceDE w:val="0"/>
              <w:autoSpaceDN w:val="0"/>
              <w:snapToGrid w:val="0"/>
              <w:spacing w:line="240" w:lineRule="auto"/>
              <w:jc w:val="center"/>
              <w:rPr>
                <w:rFonts w:hint="eastAsia" w:ascii="仿宋" w:hAnsi="仿宋" w:eastAsia="仿宋" w:cs="仿宋"/>
                <w:sz w:val="21"/>
                <w:szCs w:val="21"/>
                <w:highlight w:val="none"/>
              </w:rPr>
            </w:pPr>
          </w:p>
        </w:tc>
        <w:tc>
          <w:tcPr>
            <w:tcW w:w="2346" w:type="dxa"/>
            <w:gridSpan w:val="3"/>
            <w:vAlign w:val="center"/>
          </w:tcPr>
          <w:p w14:paraId="76BCC129">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拟在本合同任职</w:t>
            </w:r>
          </w:p>
        </w:tc>
        <w:tc>
          <w:tcPr>
            <w:tcW w:w="2528" w:type="dxa"/>
            <w:vAlign w:val="center"/>
          </w:tcPr>
          <w:p w14:paraId="424B4099">
            <w:pPr>
              <w:autoSpaceDE w:val="0"/>
              <w:autoSpaceDN w:val="0"/>
              <w:snapToGrid w:val="0"/>
              <w:spacing w:line="240" w:lineRule="auto"/>
              <w:jc w:val="center"/>
              <w:rPr>
                <w:rFonts w:hint="eastAsia" w:ascii="仿宋" w:hAnsi="仿宋" w:eastAsia="仿宋" w:cs="仿宋"/>
                <w:sz w:val="21"/>
                <w:szCs w:val="21"/>
                <w:highlight w:val="none"/>
              </w:rPr>
            </w:pPr>
          </w:p>
        </w:tc>
      </w:tr>
      <w:tr w14:paraId="2DB8D0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2E18190">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毕业学校</w:t>
            </w:r>
          </w:p>
        </w:tc>
        <w:tc>
          <w:tcPr>
            <w:tcW w:w="8259" w:type="dxa"/>
            <w:gridSpan w:val="8"/>
            <w:vAlign w:val="center"/>
          </w:tcPr>
          <w:p w14:paraId="403433ED">
            <w:pPr>
              <w:tabs>
                <w:tab w:val="left" w:pos="2820"/>
                <w:tab w:val="left" w:pos="4080"/>
              </w:tabs>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年</w:t>
            </w:r>
            <w:r>
              <w:rPr>
                <w:rFonts w:hint="eastAsia" w:ascii="仿宋" w:hAnsi="仿宋" w:eastAsia="仿宋" w:cs="仿宋"/>
                <w:spacing w:val="-1"/>
                <w:sz w:val="21"/>
                <w:szCs w:val="21"/>
                <w:highlight w:val="none"/>
              </w:rPr>
              <w:t>毕</w:t>
            </w:r>
            <w:r>
              <w:rPr>
                <w:rFonts w:hint="eastAsia" w:ascii="仿宋" w:hAnsi="仿宋" w:eastAsia="仿宋" w:cs="仿宋"/>
                <w:sz w:val="21"/>
                <w:szCs w:val="21"/>
                <w:highlight w:val="none"/>
              </w:rPr>
              <w:t>业于</w:t>
            </w:r>
            <w:r>
              <w:rPr>
                <w:rFonts w:hint="eastAsia" w:ascii="仿宋" w:hAnsi="仿宋" w:eastAsia="仿宋" w:cs="仿宋"/>
                <w:sz w:val="21"/>
                <w:szCs w:val="21"/>
                <w:highlight w:val="none"/>
              </w:rPr>
              <w:tab/>
            </w:r>
            <w:r>
              <w:rPr>
                <w:rFonts w:hint="eastAsia" w:ascii="仿宋" w:hAnsi="仿宋" w:eastAsia="仿宋" w:cs="仿宋"/>
                <w:sz w:val="21"/>
                <w:szCs w:val="21"/>
                <w:highlight w:val="none"/>
              </w:rPr>
              <w:t>学校</w:t>
            </w:r>
            <w:r>
              <w:rPr>
                <w:rFonts w:hint="eastAsia" w:ascii="仿宋" w:hAnsi="仿宋" w:eastAsia="仿宋" w:cs="仿宋"/>
                <w:sz w:val="21"/>
                <w:szCs w:val="21"/>
                <w:highlight w:val="none"/>
              </w:rPr>
              <w:tab/>
            </w:r>
            <w:r>
              <w:rPr>
                <w:rFonts w:hint="eastAsia" w:ascii="仿宋" w:hAnsi="仿宋" w:eastAsia="仿宋" w:cs="仿宋"/>
                <w:sz w:val="21"/>
                <w:szCs w:val="21"/>
                <w:highlight w:val="none"/>
              </w:rPr>
              <w:t>专业</w:t>
            </w:r>
          </w:p>
        </w:tc>
      </w:tr>
      <w:tr w14:paraId="38A50C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26341F64">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主要工作经历</w:t>
            </w:r>
          </w:p>
        </w:tc>
      </w:tr>
      <w:tr w14:paraId="4767AA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EDD8E26">
            <w:pPr>
              <w:tabs>
                <w:tab w:val="left" w:pos="520"/>
              </w:tabs>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时间</w:t>
            </w:r>
          </w:p>
        </w:tc>
        <w:tc>
          <w:tcPr>
            <w:tcW w:w="3768" w:type="dxa"/>
            <w:gridSpan w:val="4"/>
            <w:vAlign w:val="center"/>
          </w:tcPr>
          <w:p w14:paraId="04A3271E">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参加过的类似项目</w:t>
            </w:r>
          </w:p>
        </w:tc>
        <w:tc>
          <w:tcPr>
            <w:tcW w:w="1388" w:type="dxa"/>
            <w:vAlign w:val="center"/>
          </w:tcPr>
          <w:p w14:paraId="02205F2D">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担任职务</w:t>
            </w:r>
          </w:p>
        </w:tc>
        <w:tc>
          <w:tcPr>
            <w:tcW w:w="2706" w:type="dxa"/>
            <w:gridSpan w:val="2"/>
            <w:vAlign w:val="center"/>
          </w:tcPr>
          <w:p w14:paraId="2EEFFA72">
            <w:pPr>
              <w:autoSpaceDE w:val="0"/>
              <w:autoSpaceDN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联系电话</w:t>
            </w:r>
          </w:p>
        </w:tc>
      </w:tr>
      <w:tr w14:paraId="6C4FC6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F09AA58">
            <w:pPr>
              <w:autoSpaceDE w:val="0"/>
              <w:autoSpaceDN w:val="0"/>
              <w:snapToGrid w:val="0"/>
              <w:spacing w:line="240" w:lineRule="auto"/>
              <w:jc w:val="center"/>
              <w:rPr>
                <w:rFonts w:hint="eastAsia" w:ascii="仿宋" w:hAnsi="仿宋" w:eastAsia="仿宋" w:cs="仿宋"/>
                <w:sz w:val="21"/>
                <w:szCs w:val="21"/>
                <w:highlight w:val="none"/>
              </w:rPr>
            </w:pPr>
          </w:p>
        </w:tc>
        <w:tc>
          <w:tcPr>
            <w:tcW w:w="3768" w:type="dxa"/>
            <w:gridSpan w:val="4"/>
            <w:vAlign w:val="center"/>
          </w:tcPr>
          <w:p w14:paraId="60D8D339">
            <w:pPr>
              <w:autoSpaceDE w:val="0"/>
              <w:autoSpaceDN w:val="0"/>
              <w:snapToGrid w:val="0"/>
              <w:spacing w:line="240" w:lineRule="auto"/>
              <w:jc w:val="center"/>
              <w:rPr>
                <w:rFonts w:hint="eastAsia" w:ascii="仿宋" w:hAnsi="仿宋" w:eastAsia="仿宋" w:cs="仿宋"/>
                <w:sz w:val="21"/>
                <w:szCs w:val="21"/>
                <w:highlight w:val="none"/>
              </w:rPr>
            </w:pPr>
          </w:p>
        </w:tc>
        <w:tc>
          <w:tcPr>
            <w:tcW w:w="1388" w:type="dxa"/>
            <w:vAlign w:val="center"/>
          </w:tcPr>
          <w:p w14:paraId="792C2937">
            <w:pPr>
              <w:autoSpaceDE w:val="0"/>
              <w:autoSpaceDN w:val="0"/>
              <w:snapToGrid w:val="0"/>
              <w:spacing w:line="240" w:lineRule="auto"/>
              <w:jc w:val="center"/>
              <w:rPr>
                <w:rFonts w:hint="eastAsia" w:ascii="仿宋" w:hAnsi="仿宋" w:eastAsia="仿宋" w:cs="仿宋"/>
                <w:sz w:val="21"/>
                <w:szCs w:val="21"/>
                <w:highlight w:val="none"/>
              </w:rPr>
            </w:pPr>
          </w:p>
        </w:tc>
        <w:tc>
          <w:tcPr>
            <w:tcW w:w="2706" w:type="dxa"/>
            <w:gridSpan w:val="2"/>
            <w:vAlign w:val="center"/>
          </w:tcPr>
          <w:p w14:paraId="2E361852">
            <w:pPr>
              <w:autoSpaceDE w:val="0"/>
              <w:autoSpaceDN w:val="0"/>
              <w:snapToGrid w:val="0"/>
              <w:spacing w:line="240" w:lineRule="auto"/>
              <w:jc w:val="center"/>
              <w:rPr>
                <w:rFonts w:hint="eastAsia" w:ascii="仿宋" w:hAnsi="仿宋" w:eastAsia="仿宋" w:cs="仿宋"/>
                <w:sz w:val="21"/>
                <w:szCs w:val="21"/>
                <w:highlight w:val="none"/>
              </w:rPr>
            </w:pPr>
          </w:p>
        </w:tc>
      </w:tr>
      <w:tr w14:paraId="47C1F7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B84A55F">
            <w:pPr>
              <w:autoSpaceDE w:val="0"/>
              <w:autoSpaceDN w:val="0"/>
              <w:snapToGrid w:val="0"/>
              <w:spacing w:line="240" w:lineRule="auto"/>
              <w:jc w:val="center"/>
              <w:rPr>
                <w:rFonts w:hint="eastAsia" w:ascii="仿宋" w:hAnsi="仿宋" w:eastAsia="仿宋" w:cs="仿宋"/>
                <w:sz w:val="21"/>
                <w:szCs w:val="21"/>
                <w:highlight w:val="none"/>
              </w:rPr>
            </w:pPr>
          </w:p>
        </w:tc>
        <w:tc>
          <w:tcPr>
            <w:tcW w:w="3768" w:type="dxa"/>
            <w:gridSpan w:val="4"/>
            <w:vAlign w:val="center"/>
          </w:tcPr>
          <w:p w14:paraId="3AC90A0C">
            <w:pPr>
              <w:autoSpaceDE w:val="0"/>
              <w:autoSpaceDN w:val="0"/>
              <w:snapToGrid w:val="0"/>
              <w:spacing w:line="240" w:lineRule="auto"/>
              <w:jc w:val="center"/>
              <w:rPr>
                <w:rFonts w:hint="eastAsia" w:ascii="仿宋" w:hAnsi="仿宋" w:eastAsia="仿宋" w:cs="仿宋"/>
                <w:sz w:val="21"/>
                <w:szCs w:val="21"/>
                <w:highlight w:val="none"/>
              </w:rPr>
            </w:pPr>
          </w:p>
        </w:tc>
        <w:tc>
          <w:tcPr>
            <w:tcW w:w="1388" w:type="dxa"/>
            <w:vAlign w:val="center"/>
          </w:tcPr>
          <w:p w14:paraId="4D9354B6">
            <w:pPr>
              <w:autoSpaceDE w:val="0"/>
              <w:autoSpaceDN w:val="0"/>
              <w:snapToGrid w:val="0"/>
              <w:spacing w:line="240" w:lineRule="auto"/>
              <w:jc w:val="center"/>
              <w:rPr>
                <w:rFonts w:hint="eastAsia" w:ascii="仿宋" w:hAnsi="仿宋" w:eastAsia="仿宋" w:cs="仿宋"/>
                <w:sz w:val="21"/>
                <w:szCs w:val="21"/>
                <w:highlight w:val="none"/>
              </w:rPr>
            </w:pPr>
          </w:p>
        </w:tc>
        <w:tc>
          <w:tcPr>
            <w:tcW w:w="2706" w:type="dxa"/>
            <w:gridSpan w:val="2"/>
            <w:vAlign w:val="center"/>
          </w:tcPr>
          <w:p w14:paraId="2825A89B">
            <w:pPr>
              <w:autoSpaceDE w:val="0"/>
              <w:autoSpaceDN w:val="0"/>
              <w:snapToGrid w:val="0"/>
              <w:spacing w:line="240" w:lineRule="auto"/>
              <w:jc w:val="center"/>
              <w:rPr>
                <w:rFonts w:hint="eastAsia" w:ascii="仿宋" w:hAnsi="仿宋" w:eastAsia="仿宋" w:cs="仿宋"/>
                <w:sz w:val="21"/>
                <w:szCs w:val="21"/>
                <w:highlight w:val="none"/>
              </w:rPr>
            </w:pPr>
          </w:p>
        </w:tc>
      </w:tr>
      <w:tr w14:paraId="429658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746CE75">
            <w:pPr>
              <w:autoSpaceDE w:val="0"/>
              <w:autoSpaceDN w:val="0"/>
              <w:snapToGrid w:val="0"/>
              <w:spacing w:line="240" w:lineRule="auto"/>
              <w:jc w:val="center"/>
              <w:rPr>
                <w:rFonts w:hint="eastAsia" w:ascii="仿宋" w:hAnsi="仿宋" w:eastAsia="仿宋" w:cs="仿宋"/>
                <w:sz w:val="21"/>
                <w:szCs w:val="21"/>
                <w:highlight w:val="none"/>
              </w:rPr>
            </w:pPr>
          </w:p>
        </w:tc>
        <w:tc>
          <w:tcPr>
            <w:tcW w:w="3768" w:type="dxa"/>
            <w:gridSpan w:val="4"/>
            <w:vAlign w:val="center"/>
          </w:tcPr>
          <w:p w14:paraId="726B43F4">
            <w:pPr>
              <w:autoSpaceDE w:val="0"/>
              <w:autoSpaceDN w:val="0"/>
              <w:snapToGrid w:val="0"/>
              <w:spacing w:line="240" w:lineRule="auto"/>
              <w:jc w:val="center"/>
              <w:rPr>
                <w:rFonts w:hint="eastAsia" w:ascii="仿宋" w:hAnsi="仿宋" w:eastAsia="仿宋" w:cs="仿宋"/>
                <w:sz w:val="21"/>
                <w:szCs w:val="21"/>
                <w:highlight w:val="none"/>
              </w:rPr>
            </w:pPr>
          </w:p>
        </w:tc>
        <w:tc>
          <w:tcPr>
            <w:tcW w:w="1388" w:type="dxa"/>
            <w:vAlign w:val="center"/>
          </w:tcPr>
          <w:p w14:paraId="181AE5BF">
            <w:pPr>
              <w:autoSpaceDE w:val="0"/>
              <w:autoSpaceDN w:val="0"/>
              <w:snapToGrid w:val="0"/>
              <w:spacing w:line="240" w:lineRule="auto"/>
              <w:jc w:val="center"/>
              <w:rPr>
                <w:rFonts w:hint="eastAsia" w:ascii="仿宋" w:hAnsi="仿宋" w:eastAsia="仿宋" w:cs="仿宋"/>
                <w:sz w:val="21"/>
                <w:szCs w:val="21"/>
                <w:highlight w:val="none"/>
              </w:rPr>
            </w:pPr>
          </w:p>
        </w:tc>
        <w:tc>
          <w:tcPr>
            <w:tcW w:w="2706" w:type="dxa"/>
            <w:gridSpan w:val="2"/>
            <w:vAlign w:val="center"/>
          </w:tcPr>
          <w:p w14:paraId="5AEC9ED6">
            <w:pPr>
              <w:autoSpaceDE w:val="0"/>
              <w:autoSpaceDN w:val="0"/>
              <w:snapToGrid w:val="0"/>
              <w:spacing w:line="240" w:lineRule="auto"/>
              <w:jc w:val="center"/>
              <w:rPr>
                <w:rFonts w:hint="eastAsia" w:ascii="仿宋" w:hAnsi="仿宋" w:eastAsia="仿宋" w:cs="仿宋"/>
                <w:sz w:val="21"/>
                <w:szCs w:val="21"/>
                <w:highlight w:val="none"/>
              </w:rPr>
            </w:pPr>
          </w:p>
        </w:tc>
      </w:tr>
      <w:tr w14:paraId="6B0EB0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CCA2709">
            <w:pPr>
              <w:autoSpaceDE w:val="0"/>
              <w:autoSpaceDN w:val="0"/>
              <w:snapToGrid w:val="0"/>
              <w:spacing w:line="240" w:lineRule="auto"/>
              <w:jc w:val="center"/>
              <w:rPr>
                <w:rFonts w:hint="eastAsia" w:ascii="仿宋" w:hAnsi="仿宋" w:eastAsia="仿宋" w:cs="仿宋"/>
                <w:sz w:val="21"/>
                <w:szCs w:val="21"/>
                <w:highlight w:val="none"/>
              </w:rPr>
            </w:pPr>
          </w:p>
        </w:tc>
        <w:tc>
          <w:tcPr>
            <w:tcW w:w="3768" w:type="dxa"/>
            <w:gridSpan w:val="4"/>
            <w:vAlign w:val="center"/>
          </w:tcPr>
          <w:p w14:paraId="12483FEA">
            <w:pPr>
              <w:autoSpaceDE w:val="0"/>
              <w:autoSpaceDN w:val="0"/>
              <w:snapToGrid w:val="0"/>
              <w:spacing w:line="240" w:lineRule="auto"/>
              <w:jc w:val="center"/>
              <w:rPr>
                <w:rFonts w:hint="eastAsia" w:ascii="仿宋" w:hAnsi="仿宋" w:eastAsia="仿宋" w:cs="仿宋"/>
                <w:sz w:val="21"/>
                <w:szCs w:val="21"/>
                <w:highlight w:val="none"/>
              </w:rPr>
            </w:pPr>
          </w:p>
        </w:tc>
        <w:tc>
          <w:tcPr>
            <w:tcW w:w="1388" w:type="dxa"/>
            <w:vAlign w:val="center"/>
          </w:tcPr>
          <w:p w14:paraId="78C8BDF5">
            <w:pPr>
              <w:autoSpaceDE w:val="0"/>
              <w:autoSpaceDN w:val="0"/>
              <w:snapToGrid w:val="0"/>
              <w:spacing w:line="240" w:lineRule="auto"/>
              <w:jc w:val="center"/>
              <w:rPr>
                <w:rFonts w:hint="eastAsia" w:ascii="仿宋" w:hAnsi="仿宋" w:eastAsia="仿宋" w:cs="仿宋"/>
                <w:sz w:val="21"/>
                <w:szCs w:val="21"/>
                <w:highlight w:val="none"/>
              </w:rPr>
            </w:pPr>
          </w:p>
        </w:tc>
        <w:tc>
          <w:tcPr>
            <w:tcW w:w="2706" w:type="dxa"/>
            <w:gridSpan w:val="2"/>
            <w:vAlign w:val="center"/>
          </w:tcPr>
          <w:p w14:paraId="482C6AEC">
            <w:pPr>
              <w:autoSpaceDE w:val="0"/>
              <w:autoSpaceDN w:val="0"/>
              <w:snapToGrid w:val="0"/>
              <w:spacing w:line="240" w:lineRule="auto"/>
              <w:jc w:val="center"/>
              <w:rPr>
                <w:rFonts w:hint="eastAsia" w:ascii="仿宋" w:hAnsi="仿宋" w:eastAsia="仿宋" w:cs="仿宋"/>
                <w:sz w:val="21"/>
                <w:szCs w:val="21"/>
                <w:highlight w:val="none"/>
              </w:rPr>
            </w:pPr>
          </w:p>
        </w:tc>
      </w:tr>
      <w:tr w14:paraId="55D8F9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D991D98">
            <w:pPr>
              <w:autoSpaceDE w:val="0"/>
              <w:autoSpaceDN w:val="0"/>
              <w:snapToGrid w:val="0"/>
              <w:spacing w:line="240" w:lineRule="auto"/>
              <w:jc w:val="center"/>
              <w:rPr>
                <w:rFonts w:hint="eastAsia" w:ascii="仿宋" w:hAnsi="仿宋" w:eastAsia="仿宋" w:cs="仿宋"/>
                <w:sz w:val="21"/>
                <w:szCs w:val="21"/>
                <w:highlight w:val="none"/>
              </w:rPr>
            </w:pPr>
          </w:p>
        </w:tc>
        <w:tc>
          <w:tcPr>
            <w:tcW w:w="3768" w:type="dxa"/>
            <w:gridSpan w:val="4"/>
            <w:vAlign w:val="center"/>
          </w:tcPr>
          <w:p w14:paraId="6611258F">
            <w:pPr>
              <w:autoSpaceDE w:val="0"/>
              <w:autoSpaceDN w:val="0"/>
              <w:snapToGrid w:val="0"/>
              <w:spacing w:line="240" w:lineRule="auto"/>
              <w:jc w:val="center"/>
              <w:rPr>
                <w:rFonts w:hint="eastAsia" w:ascii="仿宋" w:hAnsi="仿宋" w:eastAsia="仿宋" w:cs="仿宋"/>
                <w:sz w:val="21"/>
                <w:szCs w:val="21"/>
                <w:highlight w:val="none"/>
              </w:rPr>
            </w:pPr>
          </w:p>
        </w:tc>
        <w:tc>
          <w:tcPr>
            <w:tcW w:w="1388" w:type="dxa"/>
            <w:vAlign w:val="center"/>
          </w:tcPr>
          <w:p w14:paraId="3ADADAE2">
            <w:pPr>
              <w:autoSpaceDE w:val="0"/>
              <w:autoSpaceDN w:val="0"/>
              <w:snapToGrid w:val="0"/>
              <w:spacing w:line="240" w:lineRule="auto"/>
              <w:jc w:val="center"/>
              <w:rPr>
                <w:rFonts w:hint="eastAsia" w:ascii="仿宋" w:hAnsi="仿宋" w:eastAsia="仿宋" w:cs="仿宋"/>
                <w:sz w:val="21"/>
                <w:szCs w:val="21"/>
                <w:highlight w:val="none"/>
              </w:rPr>
            </w:pPr>
          </w:p>
        </w:tc>
        <w:tc>
          <w:tcPr>
            <w:tcW w:w="2706" w:type="dxa"/>
            <w:gridSpan w:val="2"/>
            <w:vAlign w:val="center"/>
          </w:tcPr>
          <w:p w14:paraId="790BD435">
            <w:pPr>
              <w:autoSpaceDE w:val="0"/>
              <w:autoSpaceDN w:val="0"/>
              <w:snapToGrid w:val="0"/>
              <w:spacing w:line="240" w:lineRule="auto"/>
              <w:jc w:val="center"/>
              <w:rPr>
                <w:rFonts w:hint="eastAsia" w:ascii="仿宋" w:hAnsi="仿宋" w:eastAsia="仿宋" w:cs="仿宋"/>
                <w:sz w:val="21"/>
                <w:szCs w:val="21"/>
                <w:highlight w:val="none"/>
              </w:rPr>
            </w:pPr>
          </w:p>
        </w:tc>
      </w:tr>
      <w:tr w14:paraId="3150D7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FF133CD">
            <w:pPr>
              <w:autoSpaceDE w:val="0"/>
              <w:autoSpaceDN w:val="0"/>
              <w:snapToGrid w:val="0"/>
              <w:spacing w:line="240" w:lineRule="auto"/>
              <w:jc w:val="center"/>
              <w:rPr>
                <w:rFonts w:hint="eastAsia" w:ascii="仿宋" w:hAnsi="仿宋" w:eastAsia="仿宋" w:cs="仿宋"/>
                <w:sz w:val="21"/>
                <w:szCs w:val="21"/>
                <w:highlight w:val="none"/>
              </w:rPr>
            </w:pPr>
          </w:p>
        </w:tc>
        <w:tc>
          <w:tcPr>
            <w:tcW w:w="3768" w:type="dxa"/>
            <w:gridSpan w:val="4"/>
            <w:vAlign w:val="center"/>
          </w:tcPr>
          <w:p w14:paraId="635D3A81">
            <w:pPr>
              <w:autoSpaceDE w:val="0"/>
              <w:autoSpaceDN w:val="0"/>
              <w:snapToGrid w:val="0"/>
              <w:spacing w:line="240" w:lineRule="auto"/>
              <w:jc w:val="center"/>
              <w:rPr>
                <w:rFonts w:hint="eastAsia" w:ascii="仿宋" w:hAnsi="仿宋" w:eastAsia="仿宋" w:cs="仿宋"/>
                <w:sz w:val="21"/>
                <w:szCs w:val="21"/>
                <w:highlight w:val="none"/>
              </w:rPr>
            </w:pPr>
          </w:p>
        </w:tc>
        <w:tc>
          <w:tcPr>
            <w:tcW w:w="1388" w:type="dxa"/>
            <w:vAlign w:val="center"/>
          </w:tcPr>
          <w:p w14:paraId="0A9A4A99">
            <w:pPr>
              <w:autoSpaceDE w:val="0"/>
              <w:autoSpaceDN w:val="0"/>
              <w:snapToGrid w:val="0"/>
              <w:spacing w:line="240" w:lineRule="auto"/>
              <w:jc w:val="center"/>
              <w:rPr>
                <w:rFonts w:hint="eastAsia" w:ascii="仿宋" w:hAnsi="仿宋" w:eastAsia="仿宋" w:cs="仿宋"/>
                <w:sz w:val="21"/>
                <w:szCs w:val="21"/>
                <w:highlight w:val="none"/>
              </w:rPr>
            </w:pPr>
          </w:p>
        </w:tc>
        <w:tc>
          <w:tcPr>
            <w:tcW w:w="2706" w:type="dxa"/>
            <w:gridSpan w:val="2"/>
            <w:vAlign w:val="center"/>
          </w:tcPr>
          <w:p w14:paraId="5C2C79FD">
            <w:pPr>
              <w:autoSpaceDE w:val="0"/>
              <w:autoSpaceDN w:val="0"/>
              <w:snapToGrid w:val="0"/>
              <w:spacing w:line="240" w:lineRule="auto"/>
              <w:jc w:val="center"/>
              <w:rPr>
                <w:rFonts w:hint="eastAsia" w:ascii="仿宋" w:hAnsi="仿宋" w:eastAsia="仿宋" w:cs="仿宋"/>
                <w:sz w:val="21"/>
                <w:szCs w:val="21"/>
                <w:highlight w:val="none"/>
              </w:rPr>
            </w:pPr>
          </w:p>
        </w:tc>
      </w:tr>
      <w:tr w14:paraId="34A432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57279E3">
            <w:pPr>
              <w:autoSpaceDE w:val="0"/>
              <w:autoSpaceDN w:val="0"/>
              <w:snapToGrid w:val="0"/>
              <w:spacing w:line="240" w:lineRule="auto"/>
              <w:jc w:val="center"/>
              <w:rPr>
                <w:rFonts w:hint="eastAsia" w:ascii="仿宋" w:hAnsi="仿宋" w:eastAsia="仿宋" w:cs="仿宋"/>
                <w:sz w:val="21"/>
                <w:szCs w:val="21"/>
                <w:highlight w:val="none"/>
              </w:rPr>
            </w:pPr>
          </w:p>
        </w:tc>
        <w:tc>
          <w:tcPr>
            <w:tcW w:w="3768" w:type="dxa"/>
            <w:gridSpan w:val="4"/>
            <w:vAlign w:val="center"/>
          </w:tcPr>
          <w:p w14:paraId="13BA9A5D">
            <w:pPr>
              <w:autoSpaceDE w:val="0"/>
              <w:autoSpaceDN w:val="0"/>
              <w:snapToGrid w:val="0"/>
              <w:spacing w:line="240" w:lineRule="auto"/>
              <w:jc w:val="center"/>
              <w:rPr>
                <w:rFonts w:hint="eastAsia" w:ascii="仿宋" w:hAnsi="仿宋" w:eastAsia="仿宋" w:cs="仿宋"/>
                <w:sz w:val="21"/>
                <w:szCs w:val="21"/>
                <w:highlight w:val="none"/>
              </w:rPr>
            </w:pPr>
          </w:p>
        </w:tc>
        <w:tc>
          <w:tcPr>
            <w:tcW w:w="1388" w:type="dxa"/>
            <w:vAlign w:val="center"/>
          </w:tcPr>
          <w:p w14:paraId="78C08B4B">
            <w:pPr>
              <w:autoSpaceDE w:val="0"/>
              <w:autoSpaceDN w:val="0"/>
              <w:snapToGrid w:val="0"/>
              <w:spacing w:line="240" w:lineRule="auto"/>
              <w:jc w:val="center"/>
              <w:rPr>
                <w:rFonts w:hint="eastAsia" w:ascii="仿宋" w:hAnsi="仿宋" w:eastAsia="仿宋" w:cs="仿宋"/>
                <w:sz w:val="21"/>
                <w:szCs w:val="21"/>
                <w:highlight w:val="none"/>
              </w:rPr>
            </w:pPr>
          </w:p>
        </w:tc>
        <w:tc>
          <w:tcPr>
            <w:tcW w:w="2706" w:type="dxa"/>
            <w:gridSpan w:val="2"/>
            <w:vAlign w:val="center"/>
          </w:tcPr>
          <w:p w14:paraId="0DACAE37">
            <w:pPr>
              <w:autoSpaceDE w:val="0"/>
              <w:autoSpaceDN w:val="0"/>
              <w:snapToGrid w:val="0"/>
              <w:spacing w:line="240" w:lineRule="auto"/>
              <w:jc w:val="center"/>
              <w:rPr>
                <w:rFonts w:hint="eastAsia" w:ascii="仿宋" w:hAnsi="仿宋" w:eastAsia="仿宋" w:cs="仿宋"/>
                <w:sz w:val="21"/>
                <w:szCs w:val="21"/>
                <w:highlight w:val="none"/>
              </w:rPr>
            </w:pPr>
          </w:p>
        </w:tc>
      </w:tr>
      <w:tr w14:paraId="558D85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A22B2D0">
            <w:pPr>
              <w:autoSpaceDE w:val="0"/>
              <w:autoSpaceDN w:val="0"/>
              <w:snapToGrid w:val="0"/>
              <w:spacing w:line="240" w:lineRule="auto"/>
              <w:jc w:val="center"/>
              <w:rPr>
                <w:rFonts w:hint="eastAsia" w:ascii="仿宋" w:hAnsi="仿宋" w:eastAsia="仿宋" w:cs="仿宋"/>
                <w:sz w:val="21"/>
                <w:szCs w:val="21"/>
                <w:highlight w:val="none"/>
              </w:rPr>
            </w:pPr>
          </w:p>
        </w:tc>
        <w:tc>
          <w:tcPr>
            <w:tcW w:w="3768" w:type="dxa"/>
            <w:gridSpan w:val="4"/>
            <w:vAlign w:val="center"/>
          </w:tcPr>
          <w:p w14:paraId="4032A536">
            <w:pPr>
              <w:autoSpaceDE w:val="0"/>
              <w:autoSpaceDN w:val="0"/>
              <w:snapToGrid w:val="0"/>
              <w:spacing w:line="240" w:lineRule="auto"/>
              <w:jc w:val="center"/>
              <w:rPr>
                <w:rFonts w:hint="eastAsia" w:ascii="仿宋" w:hAnsi="仿宋" w:eastAsia="仿宋" w:cs="仿宋"/>
                <w:sz w:val="21"/>
                <w:szCs w:val="21"/>
                <w:highlight w:val="none"/>
              </w:rPr>
            </w:pPr>
          </w:p>
        </w:tc>
        <w:tc>
          <w:tcPr>
            <w:tcW w:w="1388" w:type="dxa"/>
            <w:vAlign w:val="center"/>
          </w:tcPr>
          <w:p w14:paraId="71F8E5AD">
            <w:pPr>
              <w:autoSpaceDE w:val="0"/>
              <w:autoSpaceDN w:val="0"/>
              <w:snapToGrid w:val="0"/>
              <w:spacing w:line="240" w:lineRule="auto"/>
              <w:jc w:val="center"/>
              <w:rPr>
                <w:rFonts w:hint="eastAsia" w:ascii="仿宋" w:hAnsi="仿宋" w:eastAsia="仿宋" w:cs="仿宋"/>
                <w:sz w:val="21"/>
                <w:szCs w:val="21"/>
                <w:highlight w:val="none"/>
              </w:rPr>
            </w:pPr>
          </w:p>
        </w:tc>
        <w:tc>
          <w:tcPr>
            <w:tcW w:w="2706" w:type="dxa"/>
            <w:gridSpan w:val="2"/>
            <w:vAlign w:val="center"/>
          </w:tcPr>
          <w:p w14:paraId="74900E9D">
            <w:pPr>
              <w:autoSpaceDE w:val="0"/>
              <w:autoSpaceDN w:val="0"/>
              <w:snapToGrid w:val="0"/>
              <w:spacing w:line="240" w:lineRule="auto"/>
              <w:jc w:val="center"/>
              <w:rPr>
                <w:rFonts w:hint="eastAsia" w:ascii="仿宋" w:hAnsi="仿宋" w:eastAsia="仿宋" w:cs="仿宋"/>
                <w:sz w:val="21"/>
                <w:szCs w:val="21"/>
                <w:highlight w:val="none"/>
              </w:rPr>
            </w:pPr>
          </w:p>
        </w:tc>
      </w:tr>
      <w:tr w14:paraId="636601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138688D">
            <w:pPr>
              <w:autoSpaceDE w:val="0"/>
              <w:autoSpaceDN w:val="0"/>
              <w:snapToGrid w:val="0"/>
              <w:spacing w:line="240" w:lineRule="auto"/>
              <w:jc w:val="center"/>
              <w:rPr>
                <w:rFonts w:hint="eastAsia" w:ascii="仿宋" w:hAnsi="仿宋" w:eastAsia="仿宋" w:cs="仿宋"/>
                <w:sz w:val="21"/>
                <w:szCs w:val="21"/>
                <w:highlight w:val="none"/>
              </w:rPr>
            </w:pPr>
          </w:p>
        </w:tc>
        <w:tc>
          <w:tcPr>
            <w:tcW w:w="3768" w:type="dxa"/>
            <w:gridSpan w:val="4"/>
            <w:vAlign w:val="center"/>
          </w:tcPr>
          <w:p w14:paraId="5C0FB9D8">
            <w:pPr>
              <w:autoSpaceDE w:val="0"/>
              <w:autoSpaceDN w:val="0"/>
              <w:snapToGrid w:val="0"/>
              <w:spacing w:line="240" w:lineRule="auto"/>
              <w:jc w:val="center"/>
              <w:rPr>
                <w:rFonts w:hint="eastAsia" w:ascii="仿宋" w:hAnsi="仿宋" w:eastAsia="仿宋" w:cs="仿宋"/>
                <w:sz w:val="21"/>
                <w:szCs w:val="21"/>
                <w:highlight w:val="none"/>
              </w:rPr>
            </w:pPr>
          </w:p>
        </w:tc>
        <w:tc>
          <w:tcPr>
            <w:tcW w:w="1388" w:type="dxa"/>
            <w:vAlign w:val="center"/>
          </w:tcPr>
          <w:p w14:paraId="62597E64">
            <w:pPr>
              <w:autoSpaceDE w:val="0"/>
              <w:autoSpaceDN w:val="0"/>
              <w:snapToGrid w:val="0"/>
              <w:spacing w:line="240" w:lineRule="auto"/>
              <w:jc w:val="center"/>
              <w:rPr>
                <w:rFonts w:hint="eastAsia" w:ascii="仿宋" w:hAnsi="仿宋" w:eastAsia="仿宋" w:cs="仿宋"/>
                <w:sz w:val="21"/>
                <w:szCs w:val="21"/>
                <w:highlight w:val="none"/>
              </w:rPr>
            </w:pPr>
          </w:p>
        </w:tc>
        <w:tc>
          <w:tcPr>
            <w:tcW w:w="2706" w:type="dxa"/>
            <w:gridSpan w:val="2"/>
            <w:vAlign w:val="center"/>
          </w:tcPr>
          <w:p w14:paraId="1E52A3E3">
            <w:pPr>
              <w:autoSpaceDE w:val="0"/>
              <w:autoSpaceDN w:val="0"/>
              <w:snapToGrid w:val="0"/>
              <w:spacing w:line="240" w:lineRule="auto"/>
              <w:jc w:val="center"/>
              <w:rPr>
                <w:rFonts w:hint="eastAsia" w:ascii="仿宋" w:hAnsi="仿宋" w:eastAsia="仿宋" w:cs="仿宋"/>
                <w:sz w:val="21"/>
                <w:szCs w:val="21"/>
                <w:highlight w:val="none"/>
              </w:rPr>
            </w:pPr>
          </w:p>
        </w:tc>
      </w:tr>
      <w:tr w14:paraId="2C7788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B66845F">
            <w:pPr>
              <w:autoSpaceDE w:val="0"/>
              <w:autoSpaceDN w:val="0"/>
              <w:snapToGrid w:val="0"/>
              <w:spacing w:line="240" w:lineRule="auto"/>
              <w:jc w:val="center"/>
              <w:rPr>
                <w:rFonts w:hint="eastAsia" w:ascii="仿宋" w:hAnsi="仿宋" w:eastAsia="仿宋" w:cs="仿宋"/>
                <w:sz w:val="21"/>
                <w:szCs w:val="21"/>
                <w:highlight w:val="none"/>
              </w:rPr>
            </w:pPr>
          </w:p>
        </w:tc>
        <w:tc>
          <w:tcPr>
            <w:tcW w:w="3768" w:type="dxa"/>
            <w:gridSpan w:val="4"/>
            <w:vAlign w:val="center"/>
          </w:tcPr>
          <w:p w14:paraId="06F12554">
            <w:pPr>
              <w:autoSpaceDE w:val="0"/>
              <w:autoSpaceDN w:val="0"/>
              <w:snapToGrid w:val="0"/>
              <w:spacing w:line="240" w:lineRule="auto"/>
              <w:jc w:val="center"/>
              <w:rPr>
                <w:rFonts w:hint="eastAsia" w:ascii="仿宋" w:hAnsi="仿宋" w:eastAsia="仿宋" w:cs="仿宋"/>
                <w:sz w:val="21"/>
                <w:szCs w:val="21"/>
                <w:highlight w:val="none"/>
              </w:rPr>
            </w:pPr>
          </w:p>
        </w:tc>
        <w:tc>
          <w:tcPr>
            <w:tcW w:w="1388" w:type="dxa"/>
            <w:vAlign w:val="center"/>
          </w:tcPr>
          <w:p w14:paraId="6C31C1CF">
            <w:pPr>
              <w:autoSpaceDE w:val="0"/>
              <w:autoSpaceDN w:val="0"/>
              <w:snapToGrid w:val="0"/>
              <w:spacing w:line="240" w:lineRule="auto"/>
              <w:jc w:val="center"/>
              <w:rPr>
                <w:rFonts w:hint="eastAsia" w:ascii="仿宋" w:hAnsi="仿宋" w:eastAsia="仿宋" w:cs="仿宋"/>
                <w:sz w:val="21"/>
                <w:szCs w:val="21"/>
                <w:highlight w:val="none"/>
              </w:rPr>
            </w:pPr>
          </w:p>
        </w:tc>
        <w:tc>
          <w:tcPr>
            <w:tcW w:w="2706" w:type="dxa"/>
            <w:gridSpan w:val="2"/>
            <w:vAlign w:val="center"/>
          </w:tcPr>
          <w:p w14:paraId="4BE5082D">
            <w:pPr>
              <w:autoSpaceDE w:val="0"/>
              <w:autoSpaceDN w:val="0"/>
              <w:snapToGrid w:val="0"/>
              <w:spacing w:line="240" w:lineRule="auto"/>
              <w:jc w:val="center"/>
              <w:rPr>
                <w:rFonts w:hint="eastAsia" w:ascii="仿宋" w:hAnsi="仿宋" w:eastAsia="仿宋" w:cs="仿宋"/>
                <w:sz w:val="21"/>
                <w:szCs w:val="21"/>
                <w:highlight w:val="none"/>
              </w:rPr>
            </w:pPr>
          </w:p>
        </w:tc>
      </w:tr>
      <w:tr w14:paraId="386C4D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0B9B4E3">
            <w:pPr>
              <w:autoSpaceDE w:val="0"/>
              <w:autoSpaceDN w:val="0"/>
              <w:snapToGrid w:val="0"/>
              <w:spacing w:line="240" w:lineRule="auto"/>
              <w:jc w:val="center"/>
              <w:rPr>
                <w:rFonts w:hint="eastAsia" w:ascii="仿宋" w:hAnsi="仿宋" w:eastAsia="仿宋" w:cs="仿宋"/>
                <w:sz w:val="21"/>
                <w:szCs w:val="21"/>
                <w:highlight w:val="none"/>
              </w:rPr>
            </w:pPr>
          </w:p>
        </w:tc>
        <w:tc>
          <w:tcPr>
            <w:tcW w:w="3768" w:type="dxa"/>
            <w:gridSpan w:val="4"/>
            <w:vAlign w:val="center"/>
          </w:tcPr>
          <w:p w14:paraId="6F5D2288">
            <w:pPr>
              <w:autoSpaceDE w:val="0"/>
              <w:autoSpaceDN w:val="0"/>
              <w:snapToGrid w:val="0"/>
              <w:spacing w:line="240" w:lineRule="auto"/>
              <w:jc w:val="center"/>
              <w:rPr>
                <w:rFonts w:hint="eastAsia" w:ascii="仿宋" w:hAnsi="仿宋" w:eastAsia="仿宋" w:cs="仿宋"/>
                <w:sz w:val="21"/>
                <w:szCs w:val="21"/>
                <w:highlight w:val="none"/>
              </w:rPr>
            </w:pPr>
          </w:p>
        </w:tc>
        <w:tc>
          <w:tcPr>
            <w:tcW w:w="1388" w:type="dxa"/>
            <w:vAlign w:val="center"/>
          </w:tcPr>
          <w:p w14:paraId="6302B2D7">
            <w:pPr>
              <w:autoSpaceDE w:val="0"/>
              <w:autoSpaceDN w:val="0"/>
              <w:snapToGrid w:val="0"/>
              <w:spacing w:line="240" w:lineRule="auto"/>
              <w:jc w:val="center"/>
              <w:rPr>
                <w:rFonts w:hint="eastAsia" w:ascii="仿宋" w:hAnsi="仿宋" w:eastAsia="仿宋" w:cs="仿宋"/>
                <w:sz w:val="21"/>
                <w:szCs w:val="21"/>
                <w:highlight w:val="none"/>
              </w:rPr>
            </w:pPr>
          </w:p>
        </w:tc>
        <w:tc>
          <w:tcPr>
            <w:tcW w:w="2706" w:type="dxa"/>
            <w:gridSpan w:val="2"/>
            <w:vAlign w:val="center"/>
          </w:tcPr>
          <w:p w14:paraId="7993DC03">
            <w:pPr>
              <w:autoSpaceDE w:val="0"/>
              <w:autoSpaceDN w:val="0"/>
              <w:snapToGrid w:val="0"/>
              <w:spacing w:line="240" w:lineRule="auto"/>
              <w:jc w:val="center"/>
              <w:rPr>
                <w:rFonts w:hint="eastAsia" w:ascii="仿宋" w:hAnsi="仿宋" w:eastAsia="仿宋" w:cs="仿宋"/>
                <w:sz w:val="21"/>
                <w:szCs w:val="21"/>
                <w:highlight w:val="none"/>
              </w:rPr>
            </w:pPr>
          </w:p>
        </w:tc>
      </w:tr>
      <w:tr w14:paraId="64A1F3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DDBD13D">
            <w:pPr>
              <w:autoSpaceDE w:val="0"/>
              <w:autoSpaceDN w:val="0"/>
              <w:snapToGrid w:val="0"/>
              <w:spacing w:line="240" w:lineRule="auto"/>
              <w:jc w:val="center"/>
              <w:rPr>
                <w:rFonts w:hint="eastAsia" w:ascii="仿宋" w:hAnsi="仿宋" w:eastAsia="仿宋" w:cs="仿宋"/>
                <w:sz w:val="21"/>
                <w:szCs w:val="21"/>
                <w:highlight w:val="none"/>
              </w:rPr>
            </w:pPr>
          </w:p>
        </w:tc>
        <w:tc>
          <w:tcPr>
            <w:tcW w:w="3768" w:type="dxa"/>
            <w:gridSpan w:val="4"/>
            <w:vAlign w:val="center"/>
          </w:tcPr>
          <w:p w14:paraId="64F6CDDA">
            <w:pPr>
              <w:autoSpaceDE w:val="0"/>
              <w:autoSpaceDN w:val="0"/>
              <w:snapToGrid w:val="0"/>
              <w:spacing w:line="240" w:lineRule="auto"/>
              <w:jc w:val="center"/>
              <w:rPr>
                <w:rFonts w:hint="eastAsia" w:ascii="仿宋" w:hAnsi="仿宋" w:eastAsia="仿宋" w:cs="仿宋"/>
                <w:sz w:val="21"/>
                <w:szCs w:val="21"/>
                <w:highlight w:val="none"/>
              </w:rPr>
            </w:pPr>
          </w:p>
        </w:tc>
        <w:tc>
          <w:tcPr>
            <w:tcW w:w="1388" w:type="dxa"/>
            <w:vAlign w:val="center"/>
          </w:tcPr>
          <w:p w14:paraId="6B4402FA">
            <w:pPr>
              <w:autoSpaceDE w:val="0"/>
              <w:autoSpaceDN w:val="0"/>
              <w:snapToGrid w:val="0"/>
              <w:spacing w:line="240" w:lineRule="auto"/>
              <w:jc w:val="center"/>
              <w:rPr>
                <w:rFonts w:hint="eastAsia" w:ascii="仿宋" w:hAnsi="仿宋" w:eastAsia="仿宋" w:cs="仿宋"/>
                <w:sz w:val="21"/>
                <w:szCs w:val="21"/>
                <w:highlight w:val="none"/>
              </w:rPr>
            </w:pPr>
          </w:p>
        </w:tc>
        <w:tc>
          <w:tcPr>
            <w:tcW w:w="2706" w:type="dxa"/>
            <w:gridSpan w:val="2"/>
            <w:vAlign w:val="center"/>
          </w:tcPr>
          <w:p w14:paraId="2B332868">
            <w:pPr>
              <w:autoSpaceDE w:val="0"/>
              <w:autoSpaceDN w:val="0"/>
              <w:snapToGrid w:val="0"/>
              <w:spacing w:line="240" w:lineRule="auto"/>
              <w:jc w:val="center"/>
              <w:rPr>
                <w:rFonts w:hint="eastAsia" w:ascii="仿宋" w:hAnsi="仿宋" w:eastAsia="仿宋" w:cs="仿宋"/>
                <w:sz w:val="21"/>
                <w:szCs w:val="21"/>
                <w:highlight w:val="none"/>
              </w:rPr>
            </w:pPr>
          </w:p>
        </w:tc>
      </w:tr>
      <w:tr w14:paraId="717360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40FE729">
            <w:pPr>
              <w:autoSpaceDE w:val="0"/>
              <w:autoSpaceDN w:val="0"/>
              <w:snapToGrid w:val="0"/>
              <w:spacing w:line="240" w:lineRule="auto"/>
              <w:jc w:val="center"/>
              <w:rPr>
                <w:rFonts w:hint="eastAsia" w:ascii="仿宋" w:hAnsi="仿宋" w:eastAsia="仿宋" w:cs="仿宋"/>
                <w:sz w:val="21"/>
                <w:szCs w:val="21"/>
                <w:highlight w:val="none"/>
              </w:rPr>
            </w:pPr>
          </w:p>
        </w:tc>
        <w:tc>
          <w:tcPr>
            <w:tcW w:w="3768" w:type="dxa"/>
            <w:gridSpan w:val="4"/>
            <w:vAlign w:val="center"/>
          </w:tcPr>
          <w:p w14:paraId="6123D966">
            <w:pPr>
              <w:autoSpaceDE w:val="0"/>
              <w:autoSpaceDN w:val="0"/>
              <w:snapToGrid w:val="0"/>
              <w:spacing w:line="240" w:lineRule="auto"/>
              <w:jc w:val="center"/>
              <w:rPr>
                <w:rFonts w:hint="eastAsia" w:ascii="仿宋" w:hAnsi="仿宋" w:eastAsia="仿宋" w:cs="仿宋"/>
                <w:sz w:val="21"/>
                <w:szCs w:val="21"/>
                <w:highlight w:val="none"/>
              </w:rPr>
            </w:pPr>
          </w:p>
        </w:tc>
        <w:tc>
          <w:tcPr>
            <w:tcW w:w="1388" w:type="dxa"/>
            <w:vAlign w:val="center"/>
          </w:tcPr>
          <w:p w14:paraId="3757FF2A">
            <w:pPr>
              <w:autoSpaceDE w:val="0"/>
              <w:autoSpaceDN w:val="0"/>
              <w:snapToGrid w:val="0"/>
              <w:spacing w:line="240" w:lineRule="auto"/>
              <w:jc w:val="center"/>
              <w:rPr>
                <w:rFonts w:hint="eastAsia" w:ascii="仿宋" w:hAnsi="仿宋" w:eastAsia="仿宋" w:cs="仿宋"/>
                <w:sz w:val="21"/>
                <w:szCs w:val="21"/>
                <w:highlight w:val="none"/>
              </w:rPr>
            </w:pPr>
          </w:p>
        </w:tc>
        <w:tc>
          <w:tcPr>
            <w:tcW w:w="2706" w:type="dxa"/>
            <w:gridSpan w:val="2"/>
            <w:vAlign w:val="center"/>
          </w:tcPr>
          <w:p w14:paraId="45E4B152">
            <w:pPr>
              <w:autoSpaceDE w:val="0"/>
              <w:autoSpaceDN w:val="0"/>
              <w:snapToGrid w:val="0"/>
              <w:spacing w:line="240" w:lineRule="auto"/>
              <w:jc w:val="center"/>
              <w:rPr>
                <w:rFonts w:hint="eastAsia" w:ascii="仿宋" w:hAnsi="仿宋" w:eastAsia="仿宋" w:cs="仿宋"/>
                <w:sz w:val="21"/>
                <w:szCs w:val="21"/>
                <w:highlight w:val="none"/>
              </w:rPr>
            </w:pPr>
          </w:p>
        </w:tc>
      </w:tr>
    </w:tbl>
    <w:p w14:paraId="72395EBD">
      <w:pPr>
        <w:ind w:left="420"/>
        <w:jc w:val="right"/>
        <w:rPr>
          <w:rFonts w:hint="eastAsia" w:ascii="仿宋" w:hAnsi="仿宋" w:eastAsia="仿宋" w:cs="仿宋"/>
          <w:sz w:val="21"/>
          <w:szCs w:val="21"/>
          <w:highlight w:val="none"/>
        </w:rPr>
      </w:pPr>
      <w:r>
        <w:rPr>
          <w:rFonts w:hint="eastAsia" w:ascii="仿宋" w:hAnsi="仿宋" w:eastAsia="仿宋" w:cs="仿宋"/>
          <w:szCs w:val="21"/>
          <w:highlight w:val="none"/>
        </w:rPr>
        <w:br w:type="page"/>
      </w:r>
    </w:p>
    <w:p w14:paraId="1DF46E86">
      <w:pPr>
        <w:autoSpaceDE w:val="0"/>
        <w:autoSpaceDN w:val="0"/>
        <w:spacing w:line="360" w:lineRule="auto"/>
        <w:ind w:right="-23"/>
        <w:jc w:val="center"/>
        <w:outlineLvl w:val="2"/>
        <w:rPr>
          <w:rFonts w:hint="eastAsia" w:ascii="仿宋" w:hAnsi="仿宋" w:eastAsia="仿宋" w:cs="仿宋"/>
          <w:b/>
          <w:bCs/>
          <w:kern w:val="2"/>
          <w:sz w:val="30"/>
          <w:szCs w:val="30"/>
          <w:highlight w:val="none"/>
        </w:rPr>
      </w:pPr>
      <w:r>
        <w:rPr>
          <w:rFonts w:hint="eastAsia" w:ascii="仿宋" w:hAnsi="仿宋" w:eastAsia="仿宋" w:cs="仿宋"/>
          <w:b/>
          <w:bCs/>
          <w:kern w:val="2"/>
          <w:sz w:val="30"/>
          <w:szCs w:val="30"/>
          <w:highlight w:val="none"/>
        </w:rPr>
        <w:t>（四）承诺</w:t>
      </w:r>
    </w:p>
    <w:p w14:paraId="4540D9E1">
      <w:pPr>
        <w:spacing w:line="5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u w:val="single"/>
        </w:rPr>
        <w:t xml:space="preserve">             （比选人名称）</w:t>
      </w:r>
      <w:r>
        <w:rPr>
          <w:rFonts w:hint="eastAsia" w:ascii="仿宋" w:hAnsi="仿宋" w:eastAsia="仿宋" w:cs="仿宋"/>
          <w:sz w:val="21"/>
          <w:szCs w:val="21"/>
          <w:highlight w:val="none"/>
        </w:rPr>
        <w:t>：</w:t>
      </w:r>
    </w:p>
    <w:p w14:paraId="63F3665A">
      <w:pPr>
        <w:spacing w:line="5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我公司</w:t>
      </w:r>
      <w:r>
        <w:rPr>
          <w:rFonts w:hint="eastAsia" w:ascii="仿宋" w:hAnsi="仿宋" w:eastAsia="仿宋" w:cs="仿宋"/>
          <w:sz w:val="21"/>
          <w:szCs w:val="21"/>
          <w:highlight w:val="none"/>
          <w:u w:val="single"/>
        </w:rPr>
        <w:t xml:space="preserve">             （比选申请人名称）</w:t>
      </w:r>
      <w:r>
        <w:rPr>
          <w:rFonts w:hint="eastAsia" w:ascii="仿宋" w:hAnsi="仿宋" w:eastAsia="仿宋" w:cs="仿宋"/>
          <w:sz w:val="21"/>
          <w:szCs w:val="21"/>
          <w:highlight w:val="none"/>
        </w:rPr>
        <w:t>参加了贵单位</w:t>
      </w:r>
      <w:r>
        <w:rPr>
          <w:rFonts w:hint="eastAsia" w:ascii="仿宋" w:hAnsi="仿宋" w:eastAsia="仿宋" w:cs="仿宋"/>
          <w:sz w:val="21"/>
          <w:szCs w:val="21"/>
          <w:highlight w:val="none"/>
          <w:u w:val="single"/>
        </w:rPr>
        <w:t xml:space="preserve">            （项目名称）</w:t>
      </w:r>
      <w:r>
        <w:rPr>
          <w:rFonts w:hint="eastAsia" w:ascii="仿宋" w:hAnsi="仿宋" w:eastAsia="仿宋" w:cs="仿宋"/>
          <w:sz w:val="21"/>
          <w:szCs w:val="21"/>
          <w:highlight w:val="none"/>
        </w:rPr>
        <w:t>的比选申请，自愿作出以下承诺：</w:t>
      </w:r>
    </w:p>
    <w:p w14:paraId="0BAA6DD4">
      <w:pPr>
        <w:spacing w:line="5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24441D68">
      <w:pPr>
        <w:spacing w:line="5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2.我方未列入在信用中国网站（www.creditchina.gov.cn）“失信被执行人”、“重大税收违法案件当事人名单”中。</w:t>
      </w:r>
    </w:p>
    <w:p w14:paraId="6428EBE1">
      <w:pPr>
        <w:spacing w:line="5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3.我方在招标项目评审（评标）环节结束后，随时接受招标人、采购代理机构的检查验证，配合提供相关证明材料，证明符合竞争性比选文件规定的比选申请人基本资格条件。</w:t>
      </w:r>
    </w:p>
    <w:p w14:paraId="10EE136C">
      <w:pPr>
        <w:spacing w:line="5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我方对以上承诺负全部法律责任。</w:t>
      </w:r>
    </w:p>
    <w:p w14:paraId="186BD34E">
      <w:pPr>
        <w:spacing w:line="5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特此承诺。</w:t>
      </w:r>
    </w:p>
    <w:p w14:paraId="7B960C3B">
      <w:pPr>
        <w:pStyle w:val="4"/>
        <w:rPr>
          <w:rFonts w:hint="eastAsia" w:ascii="仿宋" w:hAnsi="仿宋" w:eastAsia="仿宋" w:cs="仿宋"/>
          <w:highlight w:val="none"/>
        </w:rPr>
      </w:pPr>
    </w:p>
    <w:p w14:paraId="46603CC7">
      <w:pPr>
        <w:spacing w:line="400" w:lineRule="exact"/>
        <w:jc w:val="right"/>
        <w:rPr>
          <w:rFonts w:hint="eastAsia" w:ascii="仿宋" w:hAnsi="仿宋" w:eastAsia="仿宋" w:cs="仿宋"/>
          <w:sz w:val="21"/>
          <w:szCs w:val="21"/>
          <w:highlight w:val="none"/>
        </w:rPr>
      </w:pPr>
      <w:r>
        <w:rPr>
          <w:rFonts w:hint="eastAsia" w:ascii="仿宋" w:hAnsi="仿宋" w:eastAsia="仿宋" w:cs="仿宋"/>
          <w:sz w:val="21"/>
          <w:szCs w:val="21"/>
          <w:highlight w:val="none"/>
        </w:rPr>
        <w:t>比选申请人：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（盖单位法人章）</w:t>
      </w:r>
    </w:p>
    <w:p w14:paraId="7508762E">
      <w:pPr>
        <w:spacing w:line="400" w:lineRule="exact"/>
        <w:jc w:val="right"/>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w:t>
      </w:r>
      <w:r>
        <w:rPr>
          <w:rFonts w:hint="eastAsia" w:ascii="仿宋" w:hAnsi="仿宋" w:eastAsia="仿宋" w:cs="仿宋"/>
          <w:w w:val="200"/>
          <w:szCs w:val="21"/>
          <w:highlight w:val="none"/>
          <w:u w:val="single"/>
        </w:rPr>
        <w:t xml:space="preserve">      </w:t>
      </w:r>
      <w:r>
        <w:rPr>
          <w:rFonts w:hint="eastAsia" w:ascii="仿宋" w:hAnsi="仿宋" w:eastAsia="仿宋" w:cs="仿宋"/>
          <w:sz w:val="21"/>
          <w:szCs w:val="21"/>
          <w:highlight w:val="none"/>
        </w:rPr>
        <w:t xml:space="preserve">（签名或盖章）                 </w:t>
      </w:r>
    </w:p>
    <w:p w14:paraId="60AAC562">
      <w:pPr>
        <w:autoSpaceDE w:val="0"/>
        <w:autoSpaceDN w:val="0"/>
        <w:spacing w:line="400" w:lineRule="exact"/>
        <w:ind w:right="-23" w:firstLine="640"/>
        <w:jc w:val="right"/>
        <w:outlineLvl w:val="2"/>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年</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月</w:t>
      </w:r>
      <w:r>
        <w:rPr>
          <w:rFonts w:hint="eastAsia" w:ascii="仿宋" w:hAnsi="仿宋" w:eastAsia="仿宋" w:cs="仿宋"/>
          <w:sz w:val="21"/>
          <w:szCs w:val="21"/>
          <w:highlight w:val="none"/>
          <w:u w:val="single"/>
        </w:rPr>
        <w:t xml:space="preserve">    日</w:t>
      </w:r>
    </w:p>
    <w:p w14:paraId="1263386A">
      <w:pPr>
        <w:autoSpaceDE w:val="0"/>
        <w:autoSpaceDN w:val="0"/>
        <w:spacing w:line="360" w:lineRule="auto"/>
        <w:ind w:right="-23" w:firstLine="640"/>
        <w:jc w:val="center"/>
        <w:outlineLvl w:val="2"/>
        <w:rPr>
          <w:rFonts w:hint="eastAsia" w:ascii="仿宋" w:hAnsi="仿宋" w:eastAsia="仿宋" w:cs="仿宋"/>
          <w:b/>
          <w:bCs/>
          <w:kern w:val="2"/>
          <w:sz w:val="30"/>
          <w:szCs w:val="30"/>
          <w:highlight w:val="none"/>
        </w:rPr>
      </w:pPr>
    </w:p>
    <w:p w14:paraId="0377FEFF">
      <w:pPr>
        <w:autoSpaceDE w:val="0"/>
        <w:autoSpaceDN w:val="0"/>
        <w:spacing w:line="360" w:lineRule="auto"/>
        <w:ind w:right="-23" w:firstLine="640"/>
        <w:jc w:val="center"/>
        <w:outlineLvl w:val="2"/>
        <w:rPr>
          <w:rFonts w:hint="eastAsia" w:ascii="仿宋" w:hAnsi="仿宋" w:eastAsia="仿宋" w:cs="仿宋"/>
          <w:b/>
          <w:bCs/>
          <w:kern w:val="2"/>
          <w:sz w:val="30"/>
          <w:szCs w:val="30"/>
          <w:highlight w:val="none"/>
        </w:rPr>
      </w:pPr>
    </w:p>
    <w:p w14:paraId="2D7E30DD">
      <w:pPr>
        <w:autoSpaceDE w:val="0"/>
        <w:autoSpaceDN w:val="0"/>
        <w:spacing w:line="360" w:lineRule="auto"/>
        <w:ind w:right="-23" w:firstLine="640"/>
        <w:jc w:val="center"/>
        <w:outlineLvl w:val="2"/>
        <w:rPr>
          <w:rFonts w:hint="eastAsia" w:ascii="仿宋" w:hAnsi="仿宋" w:eastAsia="仿宋" w:cs="仿宋"/>
          <w:b/>
          <w:bCs/>
          <w:kern w:val="2"/>
          <w:sz w:val="30"/>
          <w:szCs w:val="30"/>
          <w:highlight w:val="none"/>
        </w:rPr>
      </w:pPr>
    </w:p>
    <w:p w14:paraId="5D2558EA">
      <w:pPr>
        <w:autoSpaceDE w:val="0"/>
        <w:autoSpaceDN w:val="0"/>
        <w:spacing w:line="360" w:lineRule="auto"/>
        <w:ind w:right="-23" w:firstLine="640"/>
        <w:jc w:val="center"/>
        <w:outlineLvl w:val="2"/>
        <w:rPr>
          <w:rFonts w:hint="eastAsia" w:ascii="仿宋" w:hAnsi="仿宋" w:eastAsia="仿宋" w:cs="仿宋"/>
          <w:b/>
          <w:bCs/>
          <w:kern w:val="2"/>
          <w:sz w:val="30"/>
          <w:szCs w:val="30"/>
          <w:highlight w:val="none"/>
        </w:rPr>
      </w:pPr>
    </w:p>
    <w:p w14:paraId="7CD0DF8C">
      <w:pPr>
        <w:autoSpaceDE w:val="0"/>
        <w:autoSpaceDN w:val="0"/>
        <w:spacing w:line="360" w:lineRule="auto"/>
        <w:ind w:right="-23" w:firstLine="640"/>
        <w:jc w:val="center"/>
        <w:outlineLvl w:val="2"/>
        <w:rPr>
          <w:rFonts w:hint="eastAsia" w:ascii="仿宋" w:hAnsi="仿宋" w:eastAsia="仿宋" w:cs="仿宋"/>
          <w:b/>
          <w:bCs/>
          <w:kern w:val="2"/>
          <w:sz w:val="30"/>
          <w:szCs w:val="30"/>
          <w:highlight w:val="none"/>
        </w:rPr>
      </w:pPr>
    </w:p>
    <w:p w14:paraId="741CF631">
      <w:pPr>
        <w:autoSpaceDE w:val="0"/>
        <w:autoSpaceDN w:val="0"/>
        <w:spacing w:line="360" w:lineRule="auto"/>
        <w:ind w:right="-23" w:firstLine="640"/>
        <w:jc w:val="center"/>
        <w:outlineLvl w:val="2"/>
        <w:rPr>
          <w:rFonts w:hint="eastAsia" w:ascii="仿宋" w:hAnsi="仿宋" w:eastAsia="仿宋" w:cs="仿宋"/>
          <w:b/>
          <w:bCs/>
          <w:kern w:val="2"/>
          <w:sz w:val="30"/>
          <w:szCs w:val="30"/>
          <w:highlight w:val="none"/>
        </w:rPr>
      </w:pPr>
    </w:p>
    <w:p w14:paraId="161DAB37">
      <w:pPr>
        <w:autoSpaceDE w:val="0"/>
        <w:autoSpaceDN w:val="0"/>
        <w:spacing w:line="360" w:lineRule="auto"/>
        <w:ind w:right="-23" w:firstLine="640"/>
        <w:jc w:val="center"/>
        <w:outlineLvl w:val="2"/>
        <w:rPr>
          <w:rFonts w:hint="eastAsia" w:ascii="仿宋" w:hAnsi="仿宋" w:eastAsia="仿宋" w:cs="仿宋"/>
          <w:b/>
          <w:bCs/>
          <w:kern w:val="2"/>
          <w:sz w:val="30"/>
          <w:szCs w:val="30"/>
          <w:highlight w:val="none"/>
        </w:rPr>
      </w:pPr>
    </w:p>
    <w:p w14:paraId="0B3E28BD">
      <w:pPr>
        <w:autoSpaceDE w:val="0"/>
        <w:autoSpaceDN w:val="0"/>
        <w:spacing w:line="360" w:lineRule="auto"/>
        <w:ind w:right="-23" w:firstLine="640"/>
        <w:jc w:val="center"/>
        <w:outlineLvl w:val="2"/>
        <w:rPr>
          <w:rFonts w:hint="eastAsia" w:ascii="仿宋" w:hAnsi="仿宋" w:eastAsia="仿宋" w:cs="仿宋"/>
          <w:b/>
          <w:bCs/>
          <w:kern w:val="2"/>
          <w:sz w:val="30"/>
          <w:szCs w:val="30"/>
          <w:highlight w:val="none"/>
        </w:rPr>
      </w:pPr>
    </w:p>
    <w:p w14:paraId="6AAD8046">
      <w:pPr>
        <w:autoSpaceDE w:val="0"/>
        <w:autoSpaceDN w:val="0"/>
        <w:spacing w:line="360" w:lineRule="auto"/>
        <w:ind w:right="-23" w:firstLine="640"/>
        <w:jc w:val="center"/>
        <w:outlineLvl w:val="2"/>
        <w:rPr>
          <w:rFonts w:hint="eastAsia" w:ascii="仿宋" w:hAnsi="仿宋" w:eastAsia="仿宋" w:cs="仿宋"/>
          <w:b/>
          <w:bCs/>
          <w:kern w:val="2"/>
          <w:sz w:val="30"/>
          <w:szCs w:val="30"/>
          <w:highlight w:val="none"/>
        </w:rPr>
      </w:pPr>
      <w:r>
        <w:rPr>
          <w:rFonts w:hint="eastAsia" w:ascii="仿宋" w:hAnsi="仿宋" w:eastAsia="仿宋" w:cs="仿宋"/>
          <w:b/>
          <w:bCs/>
          <w:kern w:val="2"/>
          <w:sz w:val="30"/>
          <w:szCs w:val="30"/>
          <w:highlight w:val="none"/>
        </w:rPr>
        <w:t>（五）其他资料</w:t>
      </w:r>
    </w:p>
    <w:p w14:paraId="1D1EDE50">
      <w:pPr>
        <w:rPr>
          <w:rFonts w:hint="eastAsia" w:ascii="仿宋" w:hAnsi="仿宋" w:eastAsia="仿宋" w:cs="仿宋"/>
          <w:highlight w:val="none"/>
        </w:rPr>
      </w:pPr>
      <w:r>
        <w:rPr>
          <w:rFonts w:hint="eastAsia" w:ascii="仿宋" w:hAnsi="仿宋" w:eastAsia="仿宋" w:cs="仿宋"/>
          <w:highlight w:val="none"/>
        </w:rPr>
        <w:t>资格要求的其他资料</w:t>
      </w:r>
    </w:p>
    <w:p w14:paraId="44437795">
      <w:pPr>
        <w:pStyle w:val="21"/>
        <w:rPr>
          <w:rFonts w:hint="eastAsia" w:ascii="仿宋" w:hAnsi="仿宋" w:eastAsia="仿宋" w:cs="仿宋"/>
          <w:highlight w:val="none"/>
          <w:lang w:eastAsia="zh-CN"/>
        </w:rPr>
      </w:pPr>
    </w:p>
    <w:p w14:paraId="6B4F64C5">
      <w:pPr>
        <w:pStyle w:val="9"/>
        <w:rPr>
          <w:rFonts w:hint="eastAsia" w:ascii="仿宋" w:hAnsi="仿宋" w:eastAsia="仿宋" w:cs="仿宋"/>
          <w:highlight w:val="none"/>
        </w:rPr>
      </w:pPr>
    </w:p>
    <w:p w14:paraId="5FD9CB02">
      <w:pPr>
        <w:rPr>
          <w:rFonts w:hint="eastAsia" w:ascii="仿宋" w:hAnsi="仿宋" w:eastAsia="仿宋" w:cs="仿宋"/>
          <w:highlight w:val="none"/>
        </w:rPr>
      </w:pPr>
    </w:p>
    <w:p w14:paraId="414DE5DE">
      <w:pPr>
        <w:pStyle w:val="9"/>
        <w:rPr>
          <w:rFonts w:hint="eastAsia" w:ascii="仿宋" w:hAnsi="仿宋" w:eastAsia="仿宋" w:cs="仿宋"/>
          <w:highlight w:val="none"/>
        </w:rPr>
      </w:pPr>
    </w:p>
    <w:p w14:paraId="64783CD4">
      <w:pPr>
        <w:rPr>
          <w:rFonts w:hint="eastAsia" w:ascii="仿宋" w:hAnsi="仿宋" w:eastAsia="仿宋" w:cs="仿宋"/>
          <w:highlight w:val="none"/>
        </w:rPr>
      </w:pPr>
    </w:p>
    <w:p w14:paraId="73C28048">
      <w:pPr>
        <w:pStyle w:val="9"/>
        <w:rPr>
          <w:rFonts w:hint="eastAsia" w:ascii="仿宋" w:hAnsi="仿宋" w:eastAsia="仿宋" w:cs="仿宋"/>
          <w:highlight w:val="none"/>
        </w:rPr>
      </w:pPr>
    </w:p>
    <w:p w14:paraId="07C0403F">
      <w:pPr>
        <w:rPr>
          <w:rFonts w:hint="eastAsia" w:ascii="仿宋" w:hAnsi="仿宋" w:eastAsia="仿宋" w:cs="仿宋"/>
          <w:highlight w:val="none"/>
        </w:rPr>
      </w:pPr>
    </w:p>
    <w:p w14:paraId="756D6E8D">
      <w:pPr>
        <w:pStyle w:val="9"/>
        <w:rPr>
          <w:rFonts w:hint="eastAsia" w:ascii="仿宋" w:hAnsi="仿宋" w:eastAsia="仿宋" w:cs="仿宋"/>
          <w:highlight w:val="none"/>
        </w:rPr>
      </w:pPr>
    </w:p>
    <w:p w14:paraId="023703DF">
      <w:pPr>
        <w:rPr>
          <w:rFonts w:hint="eastAsia" w:ascii="仿宋" w:hAnsi="仿宋" w:eastAsia="仿宋" w:cs="仿宋"/>
          <w:highlight w:val="none"/>
        </w:rPr>
      </w:pPr>
    </w:p>
    <w:p w14:paraId="139C442D">
      <w:pPr>
        <w:pStyle w:val="9"/>
        <w:rPr>
          <w:rFonts w:hint="eastAsia" w:ascii="仿宋" w:hAnsi="仿宋" w:eastAsia="仿宋" w:cs="仿宋"/>
          <w:highlight w:val="none"/>
        </w:rPr>
      </w:pPr>
    </w:p>
    <w:p w14:paraId="6CF034BC">
      <w:pPr>
        <w:rPr>
          <w:rFonts w:hint="eastAsia" w:ascii="仿宋" w:hAnsi="仿宋" w:eastAsia="仿宋" w:cs="仿宋"/>
          <w:highlight w:val="none"/>
        </w:rPr>
      </w:pPr>
    </w:p>
    <w:p w14:paraId="5623FE97">
      <w:pPr>
        <w:pStyle w:val="9"/>
        <w:rPr>
          <w:rFonts w:hint="eastAsia" w:ascii="仿宋" w:hAnsi="仿宋" w:eastAsia="仿宋" w:cs="仿宋"/>
          <w:highlight w:val="none"/>
        </w:rPr>
      </w:pPr>
    </w:p>
    <w:p w14:paraId="3DEACF15">
      <w:pPr>
        <w:rPr>
          <w:rFonts w:hint="eastAsia" w:ascii="仿宋" w:hAnsi="仿宋" w:eastAsia="仿宋" w:cs="仿宋"/>
          <w:highlight w:val="none"/>
        </w:rPr>
      </w:pPr>
    </w:p>
    <w:p w14:paraId="74172581">
      <w:pPr>
        <w:pStyle w:val="9"/>
        <w:rPr>
          <w:rFonts w:hint="eastAsia" w:ascii="仿宋" w:hAnsi="仿宋" w:eastAsia="仿宋" w:cs="仿宋"/>
          <w:highlight w:val="none"/>
        </w:rPr>
      </w:pPr>
    </w:p>
    <w:p w14:paraId="3706ADA4">
      <w:pPr>
        <w:rPr>
          <w:rFonts w:hint="eastAsia" w:ascii="仿宋" w:hAnsi="仿宋" w:eastAsia="仿宋" w:cs="仿宋"/>
          <w:highlight w:val="none"/>
        </w:rPr>
      </w:pPr>
    </w:p>
    <w:p w14:paraId="16403616">
      <w:pPr>
        <w:pStyle w:val="9"/>
        <w:rPr>
          <w:rFonts w:hint="eastAsia" w:ascii="仿宋" w:hAnsi="仿宋" w:eastAsia="仿宋" w:cs="仿宋"/>
          <w:highlight w:val="none"/>
        </w:rPr>
      </w:pPr>
    </w:p>
    <w:p w14:paraId="3867A4BD">
      <w:pPr>
        <w:rPr>
          <w:rFonts w:hint="eastAsia" w:ascii="仿宋" w:hAnsi="仿宋" w:eastAsia="仿宋" w:cs="仿宋"/>
          <w:highlight w:val="none"/>
        </w:rPr>
      </w:pPr>
    </w:p>
    <w:p w14:paraId="7B27A9B8">
      <w:pPr>
        <w:pStyle w:val="9"/>
        <w:rPr>
          <w:rFonts w:hint="eastAsia" w:ascii="仿宋" w:hAnsi="仿宋" w:eastAsia="仿宋" w:cs="仿宋"/>
          <w:highlight w:val="none"/>
        </w:rPr>
      </w:pPr>
    </w:p>
    <w:p w14:paraId="3BA6E77D">
      <w:pPr>
        <w:rPr>
          <w:rFonts w:hint="eastAsia" w:ascii="仿宋" w:hAnsi="仿宋" w:eastAsia="仿宋" w:cs="仿宋"/>
          <w:highlight w:val="none"/>
        </w:rPr>
      </w:pPr>
    </w:p>
    <w:p w14:paraId="0D0B72C4">
      <w:pPr>
        <w:pStyle w:val="9"/>
        <w:rPr>
          <w:rFonts w:hint="eastAsia" w:ascii="仿宋" w:hAnsi="仿宋" w:eastAsia="仿宋" w:cs="仿宋"/>
          <w:highlight w:val="none"/>
        </w:rPr>
      </w:pPr>
    </w:p>
    <w:p w14:paraId="0B3E8034">
      <w:pPr>
        <w:pStyle w:val="9"/>
        <w:rPr>
          <w:rFonts w:hint="eastAsia" w:ascii="仿宋" w:hAnsi="仿宋" w:eastAsia="仿宋" w:cs="仿宋"/>
          <w:highlight w:val="none"/>
        </w:rPr>
      </w:pPr>
    </w:p>
    <w:sectPr>
      <w:headerReference r:id="rId13" w:type="default"/>
      <w:footerReference r:id="rId14"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30682233-1B2C-4400-8F11-409F812D808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3A9A6ED-2A8A-459D-BB80-CFE074AE1508}"/>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928FF">
    <w:pPr>
      <w:pStyle w:val="14"/>
      <w:tabs>
        <w:tab w:val="center" w:pos="4357"/>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AA0D">
    <w:pPr>
      <w:pStyle w:val="14"/>
      <w:tabs>
        <w:tab w:val="center" w:pos="4357"/>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4B3D5">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C24B3D5">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94045">
    <w:pPr>
      <w:spacing w:line="186" w:lineRule="auto"/>
      <w:ind w:left="4341"/>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9F29A">
                          <w:pPr>
                            <w:pStyle w:val="14"/>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AB9F29A">
                    <w:pPr>
                      <w:pStyle w:val="14"/>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195B">
    <w:pPr>
      <w:spacing w:line="186" w:lineRule="auto"/>
      <w:ind w:left="4558"/>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50598">
                          <w:pPr>
                            <w:pStyle w:val="14"/>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4250598">
                    <w:pPr>
                      <w:pStyle w:val="14"/>
                    </w:pPr>
                    <w:r>
                      <w:fldChar w:fldCharType="begin"/>
                    </w:r>
                    <w:r>
                      <w:instrText xml:space="preserve"> PAGE  \* MERGEFORMAT </w:instrText>
                    </w:r>
                    <w:r>
                      <w:fldChar w:fldCharType="separate"/>
                    </w:r>
                    <w:r>
                      <w:t>- 35 -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AA7D1">
    <w:pPr>
      <w:pStyle w:val="14"/>
      <w:tabs>
        <w:tab w:val="center" w:pos="4357"/>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F4881">
                          <w:pPr>
                            <w:pStyle w:val="14"/>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60F4881">
                    <w:pPr>
                      <w:pStyle w:val="14"/>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0B5F9">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D6744">
                          <w:pPr>
                            <w:pStyle w:val="14"/>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96D6744">
                    <w:pPr>
                      <w:pStyle w:val="14"/>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9B74B">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5DB96">
                          <w:pPr>
                            <w:pStyle w:val="14"/>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6B5DB96">
                    <w:pPr>
                      <w:pStyle w:val="14"/>
                    </w:pPr>
                    <w:r>
                      <w:fldChar w:fldCharType="begin"/>
                    </w:r>
                    <w:r>
                      <w:instrText xml:space="preserve"> PAGE  \* MERGEFORMAT </w:instrText>
                    </w:r>
                    <w:r>
                      <w:fldChar w:fldCharType="separate"/>
                    </w:r>
                    <w:r>
                      <w:t>- 62 -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23D56">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B1B7">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66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B83DF"/>
    <w:multiLevelType w:val="singleLevel"/>
    <w:tmpl w:val="9E6B83DF"/>
    <w:lvl w:ilvl="0" w:tentative="0">
      <w:start w:val="2"/>
      <w:numFmt w:val="decimal"/>
      <w:suff w:val="nothing"/>
      <w:lvlText w:val="%1、"/>
      <w:lvlJc w:val="left"/>
    </w:lvl>
  </w:abstractNum>
  <w:abstractNum w:abstractNumId="1">
    <w:nsid w:val="00000001"/>
    <w:multiLevelType w:val="singleLevel"/>
    <w:tmpl w:val="00000001"/>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2">
    <w:nsid w:val="02260E17"/>
    <w:multiLevelType w:val="multilevel"/>
    <w:tmpl w:val="02260E1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780"/>
        </w:tabs>
        <w:ind w:left="780" w:hanging="360"/>
      </w:p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8721CA4"/>
    <w:multiLevelType w:val="multilevel"/>
    <w:tmpl w:val="38721CA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attachedTemplate r:id="rId1"/>
  <w:documentProtection w:enforcement="0"/>
  <w:defaultTabStop w:val="420"/>
  <w:drawingGridVerticalSpacing w:val="156"/>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Njg2ODZkYzA4ZTA4ZDQyZjc5NTUwMTkxNTBlMDMifQ=="/>
  </w:docVars>
  <w:rsids>
    <w:rsidRoot w:val="00172A27"/>
    <w:rsid w:val="000969AD"/>
    <w:rsid w:val="000A1573"/>
    <w:rsid w:val="000A6A6E"/>
    <w:rsid w:val="000F5C57"/>
    <w:rsid w:val="00101BB0"/>
    <w:rsid w:val="001648D2"/>
    <w:rsid w:val="0017196D"/>
    <w:rsid w:val="00172A27"/>
    <w:rsid w:val="001A4EDB"/>
    <w:rsid w:val="001D4206"/>
    <w:rsid w:val="00207092"/>
    <w:rsid w:val="00210B3B"/>
    <w:rsid w:val="00213CF6"/>
    <w:rsid w:val="002347FD"/>
    <w:rsid w:val="00265891"/>
    <w:rsid w:val="00267669"/>
    <w:rsid w:val="00271418"/>
    <w:rsid w:val="002C4449"/>
    <w:rsid w:val="0034196E"/>
    <w:rsid w:val="0036490E"/>
    <w:rsid w:val="003776DE"/>
    <w:rsid w:val="003A4FBF"/>
    <w:rsid w:val="003A6C08"/>
    <w:rsid w:val="003D74B2"/>
    <w:rsid w:val="00436592"/>
    <w:rsid w:val="0049437D"/>
    <w:rsid w:val="004A1F78"/>
    <w:rsid w:val="004B2923"/>
    <w:rsid w:val="004C68B1"/>
    <w:rsid w:val="004E502D"/>
    <w:rsid w:val="0053131A"/>
    <w:rsid w:val="005337D6"/>
    <w:rsid w:val="0057017B"/>
    <w:rsid w:val="00590D30"/>
    <w:rsid w:val="00594DB1"/>
    <w:rsid w:val="006069FE"/>
    <w:rsid w:val="006259CC"/>
    <w:rsid w:val="00627E6B"/>
    <w:rsid w:val="006836D3"/>
    <w:rsid w:val="00690A1E"/>
    <w:rsid w:val="006E268F"/>
    <w:rsid w:val="00710A46"/>
    <w:rsid w:val="007200AE"/>
    <w:rsid w:val="00736897"/>
    <w:rsid w:val="00763829"/>
    <w:rsid w:val="00774B32"/>
    <w:rsid w:val="007C16BD"/>
    <w:rsid w:val="007D6A53"/>
    <w:rsid w:val="007F249E"/>
    <w:rsid w:val="007F77AC"/>
    <w:rsid w:val="008433E8"/>
    <w:rsid w:val="00853C2F"/>
    <w:rsid w:val="00897B3E"/>
    <w:rsid w:val="00906D56"/>
    <w:rsid w:val="009118AB"/>
    <w:rsid w:val="00916E1D"/>
    <w:rsid w:val="00941502"/>
    <w:rsid w:val="009446D8"/>
    <w:rsid w:val="009515C6"/>
    <w:rsid w:val="00953655"/>
    <w:rsid w:val="00984ECB"/>
    <w:rsid w:val="009878AF"/>
    <w:rsid w:val="009975D3"/>
    <w:rsid w:val="00AC4898"/>
    <w:rsid w:val="00AD37A3"/>
    <w:rsid w:val="00AF0CFB"/>
    <w:rsid w:val="00B13969"/>
    <w:rsid w:val="00B72CFB"/>
    <w:rsid w:val="00B76ACB"/>
    <w:rsid w:val="00B95A29"/>
    <w:rsid w:val="00BA231D"/>
    <w:rsid w:val="00BA7459"/>
    <w:rsid w:val="00BC1C13"/>
    <w:rsid w:val="00BC43E8"/>
    <w:rsid w:val="00BF1A42"/>
    <w:rsid w:val="00BF395B"/>
    <w:rsid w:val="00C966AE"/>
    <w:rsid w:val="00CF32D6"/>
    <w:rsid w:val="00D14333"/>
    <w:rsid w:val="00D466D7"/>
    <w:rsid w:val="00D474D7"/>
    <w:rsid w:val="00D761C8"/>
    <w:rsid w:val="00D84E71"/>
    <w:rsid w:val="00DA6C0A"/>
    <w:rsid w:val="00DD78D3"/>
    <w:rsid w:val="00DE172E"/>
    <w:rsid w:val="00DF0AF0"/>
    <w:rsid w:val="00DF3269"/>
    <w:rsid w:val="00E03EBA"/>
    <w:rsid w:val="00E45ABC"/>
    <w:rsid w:val="00E6540F"/>
    <w:rsid w:val="00E960BC"/>
    <w:rsid w:val="00ED0C01"/>
    <w:rsid w:val="00EE42C0"/>
    <w:rsid w:val="00F0401C"/>
    <w:rsid w:val="00F36BED"/>
    <w:rsid w:val="00F63D9B"/>
    <w:rsid w:val="00FA1E63"/>
    <w:rsid w:val="00FD01E8"/>
    <w:rsid w:val="00FF5231"/>
    <w:rsid w:val="00FF56BA"/>
    <w:rsid w:val="01080A12"/>
    <w:rsid w:val="010A4E8F"/>
    <w:rsid w:val="011A24F4"/>
    <w:rsid w:val="012B603A"/>
    <w:rsid w:val="014C25AB"/>
    <w:rsid w:val="014E244A"/>
    <w:rsid w:val="0166587E"/>
    <w:rsid w:val="016D0042"/>
    <w:rsid w:val="017B7436"/>
    <w:rsid w:val="01800AA0"/>
    <w:rsid w:val="018A0858"/>
    <w:rsid w:val="0194085B"/>
    <w:rsid w:val="01A22C15"/>
    <w:rsid w:val="01A7434B"/>
    <w:rsid w:val="01AF0E8E"/>
    <w:rsid w:val="01B029F8"/>
    <w:rsid w:val="01B444E5"/>
    <w:rsid w:val="01BF5783"/>
    <w:rsid w:val="01CA3F1A"/>
    <w:rsid w:val="01E054EB"/>
    <w:rsid w:val="01EA1967"/>
    <w:rsid w:val="01FB2325"/>
    <w:rsid w:val="020411DA"/>
    <w:rsid w:val="020B1B93"/>
    <w:rsid w:val="021006D5"/>
    <w:rsid w:val="02275933"/>
    <w:rsid w:val="0233386D"/>
    <w:rsid w:val="02380E83"/>
    <w:rsid w:val="02417DD4"/>
    <w:rsid w:val="02555ED9"/>
    <w:rsid w:val="025A704C"/>
    <w:rsid w:val="026779BA"/>
    <w:rsid w:val="026E2AF7"/>
    <w:rsid w:val="02713E77"/>
    <w:rsid w:val="027520D7"/>
    <w:rsid w:val="027E7BBC"/>
    <w:rsid w:val="028C11CF"/>
    <w:rsid w:val="02A12ECC"/>
    <w:rsid w:val="02A8276D"/>
    <w:rsid w:val="02B80216"/>
    <w:rsid w:val="02BC1A25"/>
    <w:rsid w:val="02D05560"/>
    <w:rsid w:val="02E42DB9"/>
    <w:rsid w:val="02F54FC6"/>
    <w:rsid w:val="031175BF"/>
    <w:rsid w:val="0321400D"/>
    <w:rsid w:val="03275442"/>
    <w:rsid w:val="03330026"/>
    <w:rsid w:val="034321D6"/>
    <w:rsid w:val="03465822"/>
    <w:rsid w:val="03577A2F"/>
    <w:rsid w:val="03782989"/>
    <w:rsid w:val="037B371D"/>
    <w:rsid w:val="037D56E7"/>
    <w:rsid w:val="038720C2"/>
    <w:rsid w:val="038F541B"/>
    <w:rsid w:val="03A86995"/>
    <w:rsid w:val="03B22EB7"/>
    <w:rsid w:val="03B60BF9"/>
    <w:rsid w:val="03C055D4"/>
    <w:rsid w:val="03CE5F43"/>
    <w:rsid w:val="03DE3CAC"/>
    <w:rsid w:val="03E940FA"/>
    <w:rsid w:val="03F01BD1"/>
    <w:rsid w:val="040F20B8"/>
    <w:rsid w:val="04781F8C"/>
    <w:rsid w:val="04915A29"/>
    <w:rsid w:val="04966335"/>
    <w:rsid w:val="04AC5B58"/>
    <w:rsid w:val="04B54487"/>
    <w:rsid w:val="04B769D7"/>
    <w:rsid w:val="04D83DED"/>
    <w:rsid w:val="04E3586E"/>
    <w:rsid w:val="04E7666A"/>
    <w:rsid w:val="04F80D9E"/>
    <w:rsid w:val="04FF212C"/>
    <w:rsid w:val="0503594F"/>
    <w:rsid w:val="05065269"/>
    <w:rsid w:val="050B6D23"/>
    <w:rsid w:val="051F457C"/>
    <w:rsid w:val="051F632A"/>
    <w:rsid w:val="05300538"/>
    <w:rsid w:val="05423841"/>
    <w:rsid w:val="05452235"/>
    <w:rsid w:val="054B3119"/>
    <w:rsid w:val="05500BDA"/>
    <w:rsid w:val="0556624A"/>
    <w:rsid w:val="056401E1"/>
    <w:rsid w:val="056703FD"/>
    <w:rsid w:val="056F72B2"/>
    <w:rsid w:val="05714856"/>
    <w:rsid w:val="05762AD4"/>
    <w:rsid w:val="0584694C"/>
    <w:rsid w:val="05900FD6"/>
    <w:rsid w:val="059565ED"/>
    <w:rsid w:val="059A3C03"/>
    <w:rsid w:val="059F74A8"/>
    <w:rsid w:val="05A54A82"/>
    <w:rsid w:val="05CD5D86"/>
    <w:rsid w:val="05E05ABA"/>
    <w:rsid w:val="05ED01D7"/>
    <w:rsid w:val="05F97A90"/>
    <w:rsid w:val="060C4B8A"/>
    <w:rsid w:val="06147E59"/>
    <w:rsid w:val="061B11E8"/>
    <w:rsid w:val="06261EED"/>
    <w:rsid w:val="06355018"/>
    <w:rsid w:val="06445323"/>
    <w:rsid w:val="064C75F3"/>
    <w:rsid w:val="065344DE"/>
    <w:rsid w:val="065A1249"/>
    <w:rsid w:val="06654211"/>
    <w:rsid w:val="066E7569"/>
    <w:rsid w:val="06712BB6"/>
    <w:rsid w:val="067A4160"/>
    <w:rsid w:val="06936FD0"/>
    <w:rsid w:val="069552CB"/>
    <w:rsid w:val="069A035E"/>
    <w:rsid w:val="06A74829"/>
    <w:rsid w:val="06AE62A0"/>
    <w:rsid w:val="06BC02D5"/>
    <w:rsid w:val="06CC5B3F"/>
    <w:rsid w:val="06E65352"/>
    <w:rsid w:val="06EF705C"/>
    <w:rsid w:val="06F34474"/>
    <w:rsid w:val="070D0B30"/>
    <w:rsid w:val="071C6FC5"/>
    <w:rsid w:val="073360BD"/>
    <w:rsid w:val="07480AC0"/>
    <w:rsid w:val="074D3623"/>
    <w:rsid w:val="076369A2"/>
    <w:rsid w:val="0768045D"/>
    <w:rsid w:val="07883D45"/>
    <w:rsid w:val="079F3753"/>
    <w:rsid w:val="07B471FE"/>
    <w:rsid w:val="07BA233A"/>
    <w:rsid w:val="07F12200"/>
    <w:rsid w:val="08017F69"/>
    <w:rsid w:val="08057A5A"/>
    <w:rsid w:val="080D690E"/>
    <w:rsid w:val="08145EEF"/>
    <w:rsid w:val="08206641"/>
    <w:rsid w:val="083B791F"/>
    <w:rsid w:val="08534C69"/>
    <w:rsid w:val="08640C24"/>
    <w:rsid w:val="08793FA4"/>
    <w:rsid w:val="08803584"/>
    <w:rsid w:val="08925D20"/>
    <w:rsid w:val="08AA4C4F"/>
    <w:rsid w:val="08B40674"/>
    <w:rsid w:val="08B651F8"/>
    <w:rsid w:val="08CD035C"/>
    <w:rsid w:val="08EE6EB0"/>
    <w:rsid w:val="08F33D56"/>
    <w:rsid w:val="08F55D20"/>
    <w:rsid w:val="08F94E10"/>
    <w:rsid w:val="08FD6983"/>
    <w:rsid w:val="0906279F"/>
    <w:rsid w:val="091542E0"/>
    <w:rsid w:val="09212671"/>
    <w:rsid w:val="09326A18"/>
    <w:rsid w:val="09463911"/>
    <w:rsid w:val="0946657C"/>
    <w:rsid w:val="0949606C"/>
    <w:rsid w:val="095E1B17"/>
    <w:rsid w:val="096237D1"/>
    <w:rsid w:val="096B0B80"/>
    <w:rsid w:val="096B7D90"/>
    <w:rsid w:val="096E162E"/>
    <w:rsid w:val="09834103"/>
    <w:rsid w:val="09864BCA"/>
    <w:rsid w:val="099077F7"/>
    <w:rsid w:val="0992531D"/>
    <w:rsid w:val="09976DD7"/>
    <w:rsid w:val="099836F7"/>
    <w:rsid w:val="099F5C8C"/>
    <w:rsid w:val="09A45050"/>
    <w:rsid w:val="09A462A7"/>
    <w:rsid w:val="09C53944"/>
    <w:rsid w:val="09C556F2"/>
    <w:rsid w:val="09C7794F"/>
    <w:rsid w:val="09D0685E"/>
    <w:rsid w:val="09D20156"/>
    <w:rsid w:val="09E11DB2"/>
    <w:rsid w:val="0A026946"/>
    <w:rsid w:val="0A0B50CF"/>
    <w:rsid w:val="0A173271"/>
    <w:rsid w:val="0A6F7889"/>
    <w:rsid w:val="0A713A8B"/>
    <w:rsid w:val="0AA07F0D"/>
    <w:rsid w:val="0AB26910"/>
    <w:rsid w:val="0AB94B2B"/>
    <w:rsid w:val="0AC0235E"/>
    <w:rsid w:val="0ACB31DC"/>
    <w:rsid w:val="0AE35BB9"/>
    <w:rsid w:val="0AE75B3C"/>
    <w:rsid w:val="0AEA2F37"/>
    <w:rsid w:val="0AFB5144"/>
    <w:rsid w:val="0B004B1F"/>
    <w:rsid w:val="0B077003"/>
    <w:rsid w:val="0B1F7651"/>
    <w:rsid w:val="0B24469B"/>
    <w:rsid w:val="0B291CB1"/>
    <w:rsid w:val="0B3348DE"/>
    <w:rsid w:val="0B493DF0"/>
    <w:rsid w:val="0B550CF8"/>
    <w:rsid w:val="0B5F3925"/>
    <w:rsid w:val="0B7F7B23"/>
    <w:rsid w:val="0B995089"/>
    <w:rsid w:val="0BA15CEB"/>
    <w:rsid w:val="0C120997"/>
    <w:rsid w:val="0C281F69"/>
    <w:rsid w:val="0C28640C"/>
    <w:rsid w:val="0C437D3D"/>
    <w:rsid w:val="0C4A1EDF"/>
    <w:rsid w:val="0C5C7E64"/>
    <w:rsid w:val="0C5E2434"/>
    <w:rsid w:val="0C6F7B97"/>
    <w:rsid w:val="0C747876"/>
    <w:rsid w:val="0C75638A"/>
    <w:rsid w:val="0C767178"/>
    <w:rsid w:val="0C7B0C77"/>
    <w:rsid w:val="0C8A49D1"/>
    <w:rsid w:val="0C8A5DD2"/>
    <w:rsid w:val="0C9475FE"/>
    <w:rsid w:val="0C992E66"/>
    <w:rsid w:val="0CB3217A"/>
    <w:rsid w:val="0CC1190B"/>
    <w:rsid w:val="0CCC2388"/>
    <w:rsid w:val="0CE2480D"/>
    <w:rsid w:val="0D136775"/>
    <w:rsid w:val="0D2210AE"/>
    <w:rsid w:val="0D38061C"/>
    <w:rsid w:val="0D3A1F53"/>
    <w:rsid w:val="0D3F756A"/>
    <w:rsid w:val="0D611BD6"/>
    <w:rsid w:val="0D8C66D6"/>
    <w:rsid w:val="0D8D488F"/>
    <w:rsid w:val="0D8E43CC"/>
    <w:rsid w:val="0D97148C"/>
    <w:rsid w:val="0DAD4E1B"/>
    <w:rsid w:val="0DB937C0"/>
    <w:rsid w:val="0DBC505E"/>
    <w:rsid w:val="0DD51C7C"/>
    <w:rsid w:val="0DD903F3"/>
    <w:rsid w:val="0DFA7935"/>
    <w:rsid w:val="0DFE7425"/>
    <w:rsid w:val="0E02695A"/>
    <w:rsid w:val="0E054ED3"/>
    <w:rsid w:val="0E06452B"/>
    <w:rsid w:val="0E08195A"/>
    <w:rsid w:val="0E083E00"/>
    <w:rsid w:val="0E101FC8"/>
    <w:rsid w:val="0E166E9B"/>
    <w:rsid w:val="0E1B7FD7"/>
    <w:rsid w:val="0E2624D8"/>
    <w:rsid w:val="0E2A1FC8"/>
    <w:rsid w:val="0E35096D"/>
    <w:rsid w:val="0E386ACD"/>
    <w:rsid w:val="0E4F5ED2"/>
    <w:rsid w:val="0E503C69"/>
    <w:rsid w:val="0E63372C"/>
    <w:rsid w:val="0E6C36EA"/>
    <w:rsid w:val="0E6D0107"/>
    <w:rsid w:val="0E8406DA"/>
    <w:rsid w:val="0E8B67DF"/>
    <w:rsid w:val="0E9658AF"/>
    <w:rsid w:val="0E975183"/>
    <w:rsid w:val="0E9C486D"/>
    <w:rsid w:val="0EB421D9"/>
    <w:rsid w:val="0EC172A9"/>
    <w:rsid w:val="0ECE5049"/>
    <w:rsid w:val="0ED8043D"/>
    <w:rsid w:val="0EE06B2A"/>
    <w:rsid w:val="0EEC54CF"/>
    <w:rsid w:val="0EF471FF"/>
    <w:rsid w:val="0EF83E74"/>
    <w:rsid w:val="0F1B7B63"/>
    <w:rsid w:val="0F1C4948"/>
    <w:rsid w:val="0F2904D1"/>
    <w:rsid w:val="0F296723"/>
    <w:rsid w:val="0F444005"/>
    <w:rsid w:val="0F566DED"/>
    <w:rsid w:val="0F590C5D"/>
    <w:rsid w:val="0F615EBD"/>
    <w:rsid w:val="0F6E4136"/>
    <w:rsid w:val="0F753717"/>
    <w:rsid w:val="0F781459"/>
    <w:rsid w:val="0F8E59FA"/>
    <w:rsid w:val="0F900551"/>
    <w:rsid w:val="0F9569FD"/>
    <w:rsid w:val="0F9A2196"/>
    <w:rsid w:val="0F9F7008"/>
    <w:rsid w:val="0FA20284"/>
    <w:rsid w:val="0FA4649B"/>
    <w:rsid w:val="0FB35FED"/>
    <w:rsid w:val="0FB87F80"/>
    <w:rsid w:val="0FBA737B"/>
    <w:rsid w:val="0FC41FA8"/>
    <w:rsid w:val="0FC63AA9"/>
    <w:rsid w:val="0FC65D20"/>
    <w:rsid w:val="0FDA17CC"/>
    <w:rsid w:val="0FE95EB3"/>
    <w:rsid w:val="10296AFA"/>
    <w:rsid w:val="102D2243"/>
    <w:rsid w:val="1041184B"/>
    <w:rsid w:val="10482BD9"/>
    <w:rsid w:val="104E5D16"/>
    <w:rsid w:val="107568D0"/>
    <w:rsid w:val="10814510"/>
    <w:rsid w:val="10822D43"/>
    <w:rsid w:val="108664B6"/>
    <w:rsid w:val="108C492C"/>
    <w:rsid w:val="10947298"/>
    <w:rsid w:val="10A02A15"/>
    <w:rsid w:val="10A11A07"/>
    <w:rsid w:val="10AB6CAB"/>
    <w:rsid w:val="10B21E22"/>
    <w:rsid w:val="10B244F7"/>
    <w:rsid w:val="10BE2713"/>
    <w:rsid w:val="10E723F2"/>
    <w:rsid w:val="10E87F18"/>
    <w:rsid w:val="10F75985"/>
    <w:rsid w:val="10F845FF"/>
    <w:rsid w:val="110E2E7D"/>
    <w:rsid w:val="112A22DF"/>
    <w:rsid w:val="113377A8"/>
    <w:rsid w:val="11380EA0"/>
    <w:rsid w:val="113F222E"/>
    <w:rsid w:val="114668E1"/>
    <w:rsid w:val="11665A0D"/>
    <w:rsid w:val="116A4DD1"/>
    <w:rsid w:val="116F4196"/>
    <w:rsid w:val="117855F0"/>
    <w:rsid w:val="117A3266"/>
    <w:rsid w:val="117D4B05"/>
    <w:rsid w:val="118C7C3B"/>
    <w:rsid w:val="11943BFC"/>
    <w:rsid w:val="11990174"/>
    <w:rsid w:val="11B524F0"/>
    <w:rsid w:val="11CC15E8"/>
    <w:rsid w:val="11E608FC"/>
    <w:rsid w:val="12031C73"/>
    <w:rsid w:val="12045226"/>
    <w:rsid w:val="12184392"/>
    <w:rsid w:val="121C256F"/>
    <w:rsid w:val="12274A70"/>
    <w:rsid w:val="12485112"/>
    <w:rsid w:val="12505D75"/>
    <w:rsid w:val="127C4DBC"/>
    <w:rsid w:val="127F48AC"/>
    <w:rsid w:val="12A27FC2"/>
    <w:rsid w:val="12C07122"/>
    <w:rsid w:val="12D544CC"/>
    <w:rsid w:val="12E27315"/>
    <w:rsid w:val="12F9465F"/>
    <w:rsid w:val="132A79F2"/>
    <w:rsid w:val="133B6A25"/>
    <w:rsid w:val="13522E1E"/>
    <w:rsid w:val="136715C8"/>
    <w:rsid w:val="13737F6D"/>
    <w:rsid w:val="137B5074"/>
    <w:rsid w:val="1395604C"/>
    <w:rsid w:val="13A50343"/>
    <w:rsid w:val="13A540D3"/>
    <w:rsid w:val="13AB2889"/>
    <w:rsid w:val="13B93ECF"/>
    <w:rsid w:val="13C133CE"/>
    <w:rsid w:val="13C55C5C"/>
    <w:rsid w:val="13E56481"/>
    <w:rsid w:val="13E93ABE"/>
    <w:rsid w:val="142179C9"/>
    <w:rsid w:val="14241DC8"/>
    <w:rsid w:val="14331E76"/>
    <w:rsid w:val="143710DD"/>
    <w:rsid w:val="14445DAD"/>
    <w:rsid w:val="144573F9"/>
    <w:rsid w:val="14537D9F"/>
    <w:rsid w:val="146124BC"/>
    <w:rsid w:val="146141DF"/>
    <w:rsid w:val="146F5B25"/>
    <w:rsid w:val="147976DB"/>
    <w:rsid w:val="14812B5E"/>
    <w:rsid w:val="14860174"/>
    <w:rsid w:val="14977C8B"/>
    <w:rsid w:val="14DB04C0"/>
    <w:rsid w:val="14E804E7"/>
    <w:rsid w:val="14EB7FD7"/>
    <w:rsid w:val="14F90946"/>
    <w:rsid w:val="14FC1AFD"/>
    <w:rsid w:val="15022B1D"/>
    <w:rsid w:val="15066772"/>
    <w:rsid w:val="151632A6"/>
    <w:rsid w:val="152023AA"/>
    <w:rsid w:val="15212B86"/>
    <w:rsid w:val="15393438"/>
    <w:rsid w:val="154D3F83"/>
    <w:rsid w:val="1562473D"/>
    <w:rsid w:val="15724254"/>
    <w:rsid w:val="157D1577"/>
    <w:rsid w:val="15842905"/>
    <w:rsid w:val="15895A18"/>
    <w:rsid w:val="159163B3"/>
    <w:rsid w:val="159B568F"/>
    <w:rsid w:val="15A478E2"/>
    <w:rsid w:val="15AA552C"/>
    <w:rsid w:val="15AF54A9"/>
    <w:rsid w:val="15D53161"/>
    <w:rsid w:val="15E4528F"/>
    <w:rsid w:val="15E46F00"/>
    <w:rsid w:val="15E52C78"/>
    <w:rsid w:val="15E909BB"/>
    <w:rsid w:val="15E943C5"/>
    <w:rsid w:val="15F80BFE"/>
    <w:rsid w:val="15FC6940"/>
    <w:rsid w:val="16324EDB"/>
    <w:rsid w:val="16377978"/>
    <w:rsid w:val="1638549E"/>
    <w:rsid w:val="16443E43"/>
    <w:rsid w:val="164E79FB"/>
    <w:rsid w:val="16544865"/>
    <w:rsid w:val="16577724"/>
    <w:rsid w:val="165878EE"/>
    <w:rsid w:val="1662251B"/>
    <w:rsid w:val="167B1FE5"/>
    <w:rsid w:val="167C09E5"/>
    <w:rsid w:val="167C35DD"/>
    <w:rsid w:val="1690464B"/>
    <w:rsid w:val="16C52818"/>
    <w:rsid w:val="16DE4297"/>
    <w:rsid w:val="16EF3DAF"/>
    <w:rsid w:val="16F45869"/>
    <w:rsid w:val="16FA2753"/>
    <w:rsid w:val="170A6E3A"/>
    <w:rsid w:val="17165BA5"/>
    <w:rsid w:val="171750B3"/>
    <w:rsid w:val="171E736C"/>
    <w:rsid w:val="17204C45"/>
    <w:rsid w:val="17377504"/>
    <w:rsid w:val="173F1101"/>
    <w:rsid w:val="17571954"/>
    <w:rsid w:val="177112E5"/>
    <w:rsid w:val="179B3F36"/>
    <w:rsid w:val="179C48B2"/>
    <w:rsid w:val="17A10E21"/>
    <w:rsid w:val="17A96653"/>
    <w:rsid w:val="17B03166"/>
    <w:rsid w:val="17B248C5"/>
    <w:rsid w:val="17BA3D50"/>
    <w:rsid w:val="17CC40F0"/>
    <w:rsid w:val="17CE7587"/>
    <w:rsid w:val="17DF02C7"/>
    <w:rsid w:val="17EA220E"/>
    <w:rsid w:val="17EB6C6C"/>
    <w:rsid w:val="17F6116D"/>
    <w:rsid w:val="18027B12"/>
    <w:rsid w:val="180B10BC"/>
    <w:rsid w:val="18153CE9"/>
    <w:rsid w:val="18253800"/>
    <w:rsid w:val="183028D1"/>
    <w:rsid w:val="183A374F"/>
    <w:rsid w:val="18425509"/>
    <w:rsid w:val="184506D6"/>
    <w:rsid w:val="185540E5"/>
    <w:rsid w:val="186D58D3"/>
    <w:rsid w:val="18890233"/>
    <w:rsid w:val="18AD3F21"/>
    <w:rsid w:val="18B07A55"/>
    <w:rsid w:val="18B828C6"/>
    <w:rsid w:val="18BF5A03"/>
    <w:rsid w:val="18EE62E8"/>
    <w:rsid w:val="18FC30F7"/>
    <w:rsid w:val="19157D18"/>
    <w:rsid w:val="192F2B88"/>
    <w:rsid w:val="193C52A5"/>
    <w:rsid w:val="193F24EC"/>
    <w:rsid w:val="195F2E50"/>
    <w:rsid w:val="19622F5E"/>
    <w:rsid w:val="196A4E08"/>
    <w:rsid w:val="196B78A6"/>
    <w:rsid w:val="196F11D7"/>
    <w:rsid w:val="197C1B46"/>
    <w:rsid w:val="198729C4"/>
    <w:rsid w:val="199C5D44"/>
    <w:rsid w:val="19A37747"/>
    <w:rsid w:val="19A900A4"/>
    <w:rsid w:val="19AA0461"/>
    <w:rsid w:val="19AE61A3"/>
    <w:rsid w:val="19D86798"/>
    <w:rsid w:val="19DA5F4D"/>
    <w:rsid w:val="19DC4392"/>
    <w:rsid w:val="19DF45AE"/>
    <w:rsid w:val="19DF6A36"/>
    <w:rsid w:val="19E501C3"/>
    <w:rsid w:val="19E716B5"/>
    <w:rsid w:val="19FA13E8"/>
    <w:rsid w:val="19FB011C"/>
    <w:rsid w:val="19FD034B"/>
    <w:rsid w:val="1A082B6F"/>
    <w:rsid w:val="1A0911F3"/>
    <w:rsid w:val="1A122808"/>
    <w:rsid w:val="1A2822DB"/>
    <w:rsid w:val="1A367F46"/>
    <w:rsid w:val="1A3F329F"/>
    <w:rsid w:val="1A4408B5"/>
    <w:rsid w:val="1A444411"/>
    <w:rsid w:val="1A7B3BAB"/>
    <w:rsid w:val="1A7D6704"/>
    <w:rsid w:val="1A840CB2"/>
    <w:rsid w:val="1A8707A2"/>
    <w:rsid w:val="1A9D7AA5"/>
    <w:rsid w:val="1AC35C7E"/>
    <w:rsid w:val="1AE17EB2"/>
    <w:rsid w:val="1AE479A2"/>
    <w:rsid w:val="1AFD0A64"/>
    <w:rsid w:val="1AFE59C5"/>
    <w:rsid w:val="1B263B1A"/>
    <w:rsid w:val="1B2B0976"/>
    <w:rsid w:val="1B470238"/>
    <w:rsid w:val="1B6F54BE"/>
    <w:rsid w:val="1B707488"/>
    <w:rsid w:val="1B803B6F"/>
    <w:rsid w:val="1B821CA1"/>
    <w:rsid w:val="1B851185"/>
    <w:rsid w:val="1B860A5A"/>
    <w:rsid w:val="1B891E99"/>
    <w:rsid w:val="1B8A22F8"/>
    <w:rsid w:val="1B8C1BF4"/>
    <w:rsid w:val="1B8E566F"/>
    <w:rsid w:val="1B9A3B40"/>
    <w:rsid w:val="1BA36FD6"/>
    <w:rsid w:val="1BA809D0"/>
    <w:rsid w:val="1BCD6688"/>
    <w:rsid w:val="1BDC68CC"/>
    <w:rsid w:val="1BE474D2"/>
    <w:rsid w:val="1BE7599C"/>
    <w:rsid w:val="1BF3438F"/>
    <w:rsid w:val="1BFB4FA4"/>
    <w:rsid w:val="1C0301DF"/>
    <w:rsid w:val="1C334477"/>
    <w:rsid w:val="1C3404B6"/>
    <w:rsid w:val="1C381D54"/>
    <w:rsid w:val="1C4032FE"/>
    <w:rsid w:val="1C5417E6"/>
    <w:rsid w:val="1C624D00"/>
    <w:rsid w:val="1C654B13"/>
    <w:rsid w:val="1C760ACE"/>
    <w:rsid w:val="1C7E2CF4"/>
    <w:rsid w:val="1C7F4184"/>
    <w:rsid w:val="1C84080D"/>
    <w:rsid w:val="1C8F3C79"/>
    <w:rsid w:val="1C922B90"/>
    <w:rsid w:val="1C961170"/>
    <w:rsid w:val="1CB05D8E"/>
    <w:rsid w:val="1CBA2E48"/>
    <w:rsid w:val="1CC00101"/>
    <w:rsid w:val="1CCB0E1A"/>
    <w:rsid w:val="1CD87093"/>
    <w:rsid w:val="1CE04199"/>
    <w:rsid w:val="1CE26164"/>
    <w:rsid w:val="1D0205B4"/>
    <w:rsid w:val="1D072627"/>
    <w:rsid w:val="1D0B4105"/>
    <w:rsid w:val="1D102CD1"/>
    <w:rsid w:val="1D196DD8"/>
    <w:rsid w:val="1D1D58BC"/>
    <w:rsid w:val="1D214638"/>
    <w:rsid w:val="1D2B18B9"/>
    <w:rsid w:val="1D3F269C"/>
    <w:rsid w:val="1D444728"/>
    <w:rsid w:val="1D551121"/>
    <w:rsid w:val="1D5B22DB"/>
    <w:rsid w:val="1D5D7B3E"/>
    <w:rsid w:val="1D6F53E1"/>
    <w:rsid w:val="1D756FD8"/>
    <w:rsid w:val="1D79640C"/>
    <w:rsid w:val="1D884F5D"/>
    <w:rsid w:val="1D8D2573"/>
    <w:rsid w:val="1D9751A0"/>
    <w:rsid w:val="1D9B41DA"/>
    <w:rsid w:val="1D9C27B6"/>
    <w:rsid w:val="1DA736BD"/>
    <w:rsid w:val="1DA90A2F"/>
    <w:rsid w:val="1DAB29F9"/>
    <w:rsid w:val="1DAF3D0A"/>
    <w:rsid w:val="1DBB1517"/>
    <w:rsid w:val="1DC13FCB"/>
    <w:rsid w:val="1DD71411"/>
    <w:rsid w:val="1DDE2CE5"/>
    <w:rsid w:val="1DE32193"/>
    <w:rsid w:val="1DE71C83"/>
    <w:rsid w:val="1DFC3255"/>
    <w:rsid w:val="1E14059F"/>
    <w:rsid w:val="1E1578D9"/>
    <w:rsid w:val="1E2E3B94"/>
    <w:rsid w:val="1E360515"/>
    <w:rsid w:val="1E380731"/>
    <w:rsid w:val="1E3F293E"/>
    <w:rsid w:val="1E5E181A"/>
    <w:rsid w:val="1E60582B"/>
    <w:rsid w:val="1E636E30"/>
    <w:rsid w:val="1E6F3318"/>
    <w:rsid w:val="1E761259"/>
    <w:rsid w:val="1E7E1EBC"/>
    <w:rsid w:val="1E9D0594"/>
    <w:rsid w:val="1EA04A39"/>
    <w:rsid w:val="1EB100DC"/>
    <w:rsid w:val="1ECA6EAF"/>
    <w:rsid w:val="1EEB109A"/>
    <w:rsid w:val="1EED151B"/>
    <w:rsid w:val="1EFA1543"/>
    <w:rsid w:val="1F176598"/>
    <w:rsid w:val="1F1846D7"/>
    <w:rsid w:val="1F242A63"/>
    <w:rsid w:val="1F42517D"/>
    <w:rsid w:val="1F543850"/>
    <w:rsid w:val="1F651171"/>
    <w:rsid w:val="1F664E2A"/>
    <w:rsid w:val="1F9C084C"/>
    <w:rsid w:val="1FA15E62"/>
    <w:rsid w:val="1FB43DE7"/>
    <w:rsid w:val="1FD624ED"/>
    <w:rsid w:val="1FEB5341"/>
    <w:rsid w:val="1FF468DA"/>
    <w:rsid w:val="1FFC12EA"/>
    <w:rsid w:val="20014B53"/>
    <w:rsid w:val="20024C12"/>
    <w:rsid w:val="20032679"/>
    <w:rsid w:val="20054643"/>
    <w:rsid w:val="20461A3D"/>
    <w:rsid w:val="20582C19"/>
    <w:rsid w:val="20600211"/>
    <w:rsid w:val="20644E2A"/>
    <w:rsid w:val="20887022"/>
    <w:rsid w:val="208A4B48"/>
    <w:rsid w:val="20C22534"/>
    <w:rsid w:val="20CE5434"/>
    <w:rsid w:val="20D44015"/>
    <w:rsid w:val="20EC135F"/>
    <w:rsid w:val="20EE3329"/>
    <w:rsid w:val="20F60D3D"/>
    <w:rsid w:val="21071545"/>
    <w:rsid w:val="211A411E"/>
    <w:rsid w:val="212D493C"/>
    <w:rsid w:val="2136082C"/>
    <w:rsid w:val="213B4094"/>
    <w:rsid w:val="213F600E"/>
    <w:rsid w:val="21466CC1"/>
    <w:rsid w:val="214967B1"/>
    <w:rsid w:val="21505D92"/>
    <w:rsid w:val="215533A8"/>
    <w:rsid w:val="2156613A"/>
    <w:rsid w:val="215D4C4C"/>
    <w:rsid w:val="215E55F2"/>
    <w:rsid w:val="215E68C0"/>
    <w:rsid w:val="216B6553"/>
    <w:rsid w:val="21787096"/>
    <w:rsid w:val="217B23A3"/>
    <w:rsid w:val="218D2503"/>
    <w:rsid w:val="219739C1"/>
    <w:rsid w:val="21A6689E"/>
    <w:rsid w:val="21E331F7"/>
    <w:rsid w:val="21E90CBF"/>
    <w:rsid w:val="21FF2362"/>
    <w:rsid w:val="220A52DD"/>
    <w:rsid w:val="220F3557"/>
    <w:rsid w:val="22124DF5"/>
    <w:rsid w:val="22194C96"/>
    <w:rsid w:val="22252D7A"/>
    <w:rsid w:val="222B3E08"/>
    <w:rsid w:val="22410A7A"/>
    <w:rsid w:val="224F1BA5"/>
    <w:rsid w:val="22574EFE"/>
    <w:rsid w:val="22635651"/>
    <w:rsid w:val="227855A0"/>
    <w:rsid w:val="228E65E4"/>
    <w:rsid w:val="228F28EA"/>
    <w:rsid w:val="2298100F"/>
    <w:rsid w:val="229879F0"/>
    <w:rsid w:val="22A30143"/>
    <w:rsid w:val="22A53EBB"/>
    <w:rsid w:val="22AC53BE"/>
    <w:rsid w:val="22B61C24"/>
    <w:rsid w:val="22BE6D2B"/>
    <w:rsid w:val="22CE3412"/>
    <w:rsid w:val="22D94FFA"/>
    <w:rsid w:val="22DB758F"/>
    <w:rsid w:val="22EE3805"/>
    <w:rsid w:val="22F0316C"/>
    <w:rsid w:val="22F917D2"/>
    <w:rsid w:val="22FD000C"/>
    <w:rsid w:val="23045086"/>
    <w:rsid w:val="23046E34"/>
    <w:rsid w:val="230E7CB2"/>
    <w:rsid w:val="2322550C"/>
    <w:rsid w:val="23774E96"/>
    <w:rsid w:val="237D091B"/>
    <w:rsid w:val="23897339"/>
    <w:rsid w:val="239F090A"/>
    <w:rsid w:val="23AB0215"/>
    <w:rsid w:val="23AC600C"/>
    <w:rsid w:val="23AE4FF1"/>
    <w:rsid w:val="23B71F51"/>
    <w:rsid w:val="23BA5744"/>
    <w:rsid w:val="23BD17E3"/>
    <w:rsid w:val="23C96B9A"/>
    <w:rsid w:val="23D20CE0"/>
    <w:rsid w:val="23E822B1"/>
    <w:rsid w:val="23EB4595"/>
    <w:rsid w:val="23F37B63"/>
    <w:rsid w:val="23F724F4"/>
    <w:rsid w:val="242332EA"/>
    <w:rsid w:val="2432177F"/>
    <w:rsid w:val="2457601B"/>
    <w:rsid w:val="246839D2"/>
    <w:rsid w:val="246D0A09"/>
    <w:rsid w:val="24743B45"/>
    <w:rsid w:val="24C34850"/>
    <w:rsid w:val="24C6497E"/>
    <w:rsid w:val="24C83E91"/>
    <w:rsid w:val="24D32F62"/>
    <w:rsid w:val="24D740D4"/>
    <w:rsid w:val="24E30CCB"/>
    <w:rsid w:val="24FB29C5"/>
    <w:rsid w:val="250F1B30"/>
    <w:rsid w:val="25113A8A"/>
    <w:rsid w:val="25180974"/>
    <w:rsid w:val="255B2F57"/>
    <w:rsid w:val="256516E0"/>
    <w:rsid w:val="256C37B5"/>
    <w:rsid w:val="257169FF"/>
    <w:rsid w:val="257302A1"/>
    <w:rsid w:val="257976D3"/>
    <w:rsid w:val="257A518B"/>
    <w:rsid w:val="259057E9"/>
    <w:rsid w:val="259F4BF2"/>
    <w:rsid w:val="25AC730F"/>
    <w:rsid w:val="25B74631"/>
    <w:rsid w:val="25C47301"/>
    <w:rsid w:val="25C805EC"/>
    <w:rsid w:val="25CA3B84"/>
    <w:rsid w:val="25CB59E7"/>
    <w:rsid w:val="25D36F91"/>
    <w:rsid w:val="25EB2BDC"/>
    <w:rsid w:val="25FE0B86"/>
    <w:rsid w:val="260655CE"/>
    <w:rsid w:val="2624159B"/>
    <w:rsid w:val="263537A8"/>
    <w:rsid w:val="26435EC5"/>
    <w:rsid w:val="2645663F"/>
    <w:rsid w:val="264F6618"/>
    <w:rsid w:val="267972B5"/>
    <w:rsid w:val="267C3185"/>
    <w:rsid w:val="268A58A2"/>
    <w:rsid w:val="269404CF"/>
    <w:rsid w:val="269B7AAF"/>
    <w:rsid w:val="26A8703C"/>
    <w:rsid w:val="26B172D2"/>
    <w:rsid w:val="26B446CD"/>
    <w:rsid w:val="26C1503C"/>
    <w:rsid w:val="26CB22CD"/>
    <w:rsid w:val="26CB6026"/>
    <w:rsid w:val="26CF59AB"/>
    <w:rsid w:val="26DF4A34"/>
    <w:rsid w:val="26FF7F42"/>
    <w:rsid w:val="270513CC"/>
    <w:rsid w:val="270C62B7"/>
    <w:rsid w:val="271725F1"/>
    <w:rsid w:val="271C2272"/>
    <w:rsid w:val="27345D06"/>
    <w:rsid w:val="27383550"/>
    <w:rsid w:val="273D46C2"/>
    <w:rsid w:val="274C6FFB"/>
    <w:rsid w:val="274F1A8E"/>
    <w:rsid w:val="275A6D0F"/>
    <w:rsid w:val="276149AF"/>
    <w:rsid w:val="276A7481"/>
    <w:rsid w:val="276B56D3"/>
    <w:rsid w:val="277F098D"/>
    <w:rsid w:val="278C564A"/>
    <w:rsid w:val="27A6670B"/>
    <w:rsid w:val="27BD1CA7"/>
    <w:rsid w:val="27C546B8"/>
    <w:rsid w:val="27C61896"/>
    <w:rsid w:val="27D05536"/>
    <w:rsid w:val="27F66DAD"/>
    <w:rsid w:val="27FF16D0"/>
    <w:rsid w:val="28094EEC"/>
    <w:rsid w:val="280E68BD"/>
    <w:rsid w:val="28122C0C"/>
    <w:rsid w:val="2822275C"/>
    <w:rsid w:val="282F48B5"/>
    <w:rsid w:val="28506677"/>
    <w:rsid w:val="285E4364"/>
    <w:rsid w:val="28602590"/>
    <w:rsid w:val="286345FC"/>
    <w:rsid w:val="286D0FD7"/>
    <w:rsid w:val="28773C04"/>
    <w:rsid w:val="287E0374"/>
    <w:rsid w:val="28836A4D"/>
    <w:rsid w:val="288B31B5"/>
    <w:rsid w:val="2892349D"/>
    <w:rsid w:val="289A1100"/>
    <w:rsid w:val="289A339D"/>
    <w:rsid w:val="28A6273B"/>
    <w:rsid w:val="28AD5878"/>
    <w:rsid w:val="28B77352"/>
    <w:rsid w:val="28C27A01"/>
    <w:rsid w:val="28D67F19"/>
    <w:rsid w:val="28DA552D"/>
    <w:rsid w:val="28DC43AF"/>
    <w:rsid w:val="28E346B7"/>
    <w:rsid w:val="28E96651"/>
    <w:rsid w:val="28EA7686"/>
    <w:rsid w:val="28F14500"/>
    <w:rsid w:val="28F96D0F"/>
    <w:rsid w:val="29064F88"/>
    <w:rsid w:val="290F6532"/>
    <w:rsid w:val="29235B3A"/>
    <w:rsid w:val="29257B04"/>
    <w:rsid w:val="29430220"/>
    <w:rsid w:val="294842B1"/>
    <w:rsid w:val="294D6E76"/>
    <w:rsid w:val="295757E3"/>
    <w:rsid w:val="295B3526"/>
    <w:rsid w:val="29615E24"/>
    <w:rsid w:val="29671ECA"/>
    <w:rsid w:val="297C6FCF"/>
    <w:rsid w:val="298E235A"/>
    <w:rsid w:val="29A24CB1"/>
    <w:rsid w:val="29A749BD"/>
    <w:rsid w:val="29B175E9"/>
    <w:rsid w:val="29E83878"/>
    <w:rsid w:val="29EB78E2"/>
    <w:rsid w:val="29FD638B"/>
    <w:rsid w:val="2A047719"/>
    <w:rsid w:val="2A063491"/>
    <w:rsid w:val="2A0A186E"/>
    <w:rsid w:val="2A2D54F7"/>
    <w:rsid w:val="2A355B25"/>
    <w:rsid w:val="2A393DE7"/>
    <w:rsid w:val="2A4E308A"/>
    <w:rsid w:val="2A622692"/>
    <w:rsid w:val="2A667FDD"/>
    <w:rsid w:val="2A671A3D"/>
    <w:rsid w:val="2A7E67EF"/>
    <w:rsid w:val="2A8D3BB3"/>
    <w:rsid w:val="2AB253C7"/>
    <w:rsid w:val="2ACB7B38"/>
    <w:rsid w:val="2AF459E0"/>
    <w:rsid w:val="2B051C1D"/>
    <w:rsid w:val="2B0D6AA1"/>
    <w:rsid w:val="2B142629"/>
    <w:rsid w:val="2B147E30"/>
    <w:rsid w:val="2B267384"/>
    <w:rsid w:val="2B29508C"/>
    <w:rsid w:val="2B5D3585"/>
    <w:rsid w:val="2B6D7540"/>
    <w:rsid w:val="2B721D55"/>
    <w:rsid w:val="2B7803BF"/>
    <w:rsid w:val="2B7D7783"/>
    <w:rsid w:val="2B8459AF"/>
    <w:rsid w:val="2B89663F"/>
    <w:rsid w:val="2BAC0255"/>
    <w:rsid w:val="2BBE369E"/>
    <w:rsid w:val="2BC4360C"/>
    <w:rsid w:val="2BC929C8"/>
    <w:rsid w:val="2BCA6CF0"/>
    <w:rsid w:val="2BE75544"/>
    <w:rsid w:val="2BEC7349"/>
    <w:rsid w:val="2C057779"/>
    <w:rsid w:val="2C085C64"/>
    <w:rsid w:val="2C091017"/>
    <w:rsid w:val="2C1F4CDE"/>
    <w:rsid w:val="2C3A5674"/>
    <w:rsid w:val="2C4E4BA9"/>
    <w:rsid w:val="2C5A1872"/>
    <w:rsid w:val="2C6B1CD2"/>
    <w:rsid w:val="2C6E531E"/>
    <w:rsid w:val="2C83526D"/>
    <w:rsid w:val="2C9034E6"/>
    <w:rsid w:val="2C9C1E8B"/>
    <w:rsid w:val="2CA70830"/>
    <w:rsid w:val="2CCD64E8"/>
    <w:rsid w:val="2CD07D87"/>
    <w:rsid w:val="2CD86C3B"/>
    <w:rsid w:val="2CE850D0"/>
    <w:rsid w:val="2D01602A"/>
    <w:rsid w:val="2D030E72"/>
    <w:rsid w:val="2D087520"/>
    <w:rsid w:val="2D095047"/>
    <w:rsid w:val="2D207063"/>
    <w:rsid w:val="2D241E80"/>
    <w:rsid w:val="2D252180"/>
    <w:rsid w:val="2D26209C"/>
    <w:rsid w:val="2D393B7E"/>
    <w:rsid w:val="2D497184"/>
    <w:rsid w:val="2D4B565F"/>
    <w:rsid w:val="2D8F379E"/>
    <w:rsid w:val="2DA84860"/>
    <w:rsid w:val="2DAC4CA0"/>
    <w:rsid w:val="2DCF4B5C"/>
    <w:rsid w:val="2DD6761F"/>
    <w:rsid w:val="2DF67CC1"/>
    <w:rsid w:val="2DF83A39"/>
    <w:rsid w:val="2E0F1C05"/>
    <w:rsid w:val="2E1C2839"/>
    <w:rsid w:val="2E293BF2"/>
    <w:rsid w:val="2E334A71"/>
    <w:rsid w:val="2E450300"/>
    <w:rsid w:val="2E461D92"/>
    <w:rsid w:val="2E516CA5"/>
    <w:rsid w:val="2E5A0250"/>
    <w:rsid w:val="2E5F0C01"/>
    <w:rsid w:val="2E712FF2"/>
    <w:rsid w:val="2EB55486"/>
    <w:rsid w:val="2EBC4A66"/>
    <w:rsid w:val="2ECC4926"/>
    <w:rsid w:val="2ED40002"/>
    <w:rsid w:val="2EE03902"/>
    <w:rsid w:val="2EE45D6B"/>
    <w:rsid w:val="2EE9031A"/>
    <w:rsid w:val="2EF06BB9"/>
    <w:rsid w:val="2EF710CA"/>
    <w:rsid w:val="2F0177F6"/>
    <w:rsid w:val="2F063F34"/>
    <w:rsid w:val="2F0F26EB"/>
    <w:rsid w:val="2F146650"/>
    <w:rsid w:val="2F372D57"/>
    <w:rsid w:val="2F4E511C"/>
    <w:rsid w:val="2F682229"/>
    <w:rsid w:val="2F6C023B"/>
    <w:rsid w:val="2F785F9B"/>
    <w:rsid w:val="2F8135BA"/>
    <w:rsid w:val="2FB27C17"/>
    <w:rsid w:val="2FC71915"/>
    <w:rsid w:val="2FCA4F61"/>
    <w:rsid w:val="2FCE2CA3"/>
    <w:rsid w:val="2FE06533"/>
    <w:rsid w:val="2FF7387C"/>
    <w:rsid w:val="2FF95846"/>
    <w:rsid w:val="301349D9"/>
    <w:rsid w:val="30146874"/>
    <w:rsid w:val="301D32E3"/>
    <w:rsid w:val="301E705B"/>
    <w:rsid w:val="3025663B"/>
    <w:rsid w:val="30275F10"/>
    <w:rsid w:val="30394E9E"/>
    <w:rsid w:val="30470360"/>
    <w:rsid w:val="304B26C7"/>
    <w:rsid w:val="30757D9D"/>
    <w:rsid w:val="30801AC4"/>
    <w:rsid w:val="3085324C"/>
    <w:rsid w:val="3095726A"/>
    <w:rsid w:val="30BD4AC6"/>
    <w:rsid w:val="30D065A7"/>
    <w:rsid w:val="30E262DA"/>
    <w:rsid w:val="30E46321"/>
    <w:rsid w:val="30E97669"/>
    <w:rsid w:val="31010E56"/>
    <w:rsid w:val="310444A3"/>
    <w:rsid w:val="31293F09"/>
    <w:rsid w:val="313B1C94"/>
    <w:rsid w:val="3144754A"/>
    <w:rsid w:val="31662A68"/>
    <w:rsid w:val="318D6246"/>
    <w:rsid w:val="31DD0A92"/>
    <w:rsid w:val="31F75DB5"/>
    <w:rsid w:val="320209E2"/>
    <w:rsid w:val="320D7387"/>
    <w:rsid w:val="32132BEF"/>
    <w:rsid w:val="322841C1"/>
    <w:rsid w:val="322A618B"/>
    <w:rsid w:val="32432DA9"/>
    <w:rsid w:val="32780CA4"/>
    <w:rsid w:val="327B2543"/>
    <w:rsid w:val="32B51EF8"/>
    <w:rsid w:val="32BF2D77"/>
    <w:rsid w:val="32D01D72"/>
    <w:rsid w:val="32DC7485"/>
    <w:rsid w:val="32E0684A"/>
    <w:rsid w:val="32E22D09"/>
    <w:rsid w:val="32FD564D"/>
    <w:rsid w:val="33062754"/>
    <w:rsid w:val="330E1609"/>
    <w:rsid w:val="331C7725"/>
    <w:rsid w:val="331F55C4"/>
    <w:rsid w:val="332B5D17"/>
    <w:rsid w:val="33305A23"/>
    <w:rsid w:val="33323549"/>
    <w:rsid w:val="335F179B"/>
    <w:rsid w:val="33633703"/>
    <w:rsid w:val="336E7E90"/>
    <w:rsid w:val="3381002D"/>
    <w:rsid w:val="33896EE1"/>
    <w:rsid w:val="338B4A07"/>
    <w:rsid w:val="338F44F8"/>
    <w:rsid w:val="33A47CB1"/>
    <w:rsid w:val="33B51A84"/>
    <w:rsid w:val="33C61EE3"/>
    <w:rsid w:val="33D70151"/>
    <w:rsid w:val="33E12879"/>
    <w:rsid w:val="33E454EA"/>
    <w:rsid w:val="33EA5BD2"/>
    <w:rsid w:val="33F25AB0"/>
    <w:rsid w:val="33F94067"/>
    <w:rsid w:val="33FE46E9"/>
    <w:rsid w:val="340C7660"/>
    <w:rsid w:val="340F73E6"/>
    <w:rsid w:val="342310E4"/>
    <w:rsid w:val="34346E4D"/>
    <w:rsid w:val="344F1ED9"/>
    <w:rsid w:val="34532F8F"/>
    <w:rsid w:val="345B262C"/>
    <w:rsid w:val="345E3ECA"/>
    <w:rsid w:val="345E77D2"/>
    <w:rsid w:val="34621C0C"/>
    <w:rsid w:val="34652F06"/>
    <w:rsid w:val="34781430"/>
    <w:rsid w:val="347926F3"/>
    <w:rsid w:val="34833F4F"/>
    <w:rsid w:val="34847DD4"/>
    <w:rsid w:val="34993154"/>
    <w:rsid w:val="349A316D"/>
    <w:rsid w:val="34AC2E87"/>
    <w:rsid w:val="34AC48B8"/>
    <w:rsid w:val="34B75FCD"/>
    <w:rsid w:val="34BD32E6"/>
    <w:rsid w:val="34C957E7"/>
    <w:rsid w:val="34CB7C0B"/>
    <w:rsid w:val="34EA3218"/>
    <w:rsid w:val="34F32864"/>
    <w:rsid w:val="35097219"/>
    <w:rsid w:val="354457B6"/>
    <w:rsid w:val="35494EE8"/>
    <w:rsid w:val="354A1665"/>
    <w:rsid w:val="3557243D"/>
    <w:rsid w:val="355C665B"/>
    <w:rsid w:val="35645510"/>
    <w:rsid w:val="3575760F"/>
    <w:rsid w:val="357F059C"/>
    <w:rsid w:val="357F67EE"/>
    <w:rsid w:val="358636D8"/>
    <w:rsid w:val="35877BE9"/>
    <w:rsid w:val="359C3C6E"/>
    <w:rsid w:val="35AA386B"/>
    <w:rsid w:val="35B72868"/>
    <w:rsid w:val="35BF175E"/>
    <w:rsid w:val="35C12CD7"/>
    <w:rsid w:val="35C506A4"/>
    <w:rsid w:val="35CD1307"/>
    <w:rsid w:val="35DC59EC"/>
    <w:rsid w:val="35EB63DA"/>
    <w:rsid w:val="35ED30EC"/>
    <w:rsid w:val="35FC65EB"/>
    <w:rsid w:val="36112646"/>
    <w:rsid w:val="361E7DB5"/>
    <w:rsid w:val="362311BF"/>
    <w:rsid w:val="3623361D"/>
    <w:rsid w:val="36251143"/>
    <w:rsid w:val="36257011"/>
    <w:rsid w:val="36393C8F"/>
    <w:rsid w:val="3647730B"/>
    <w:rsid w:val="364D069A"/>
    <w:rsid w:val="36525440"/>
    <w:rsid w:val="366A4DA8"/>
    <w:rsid w:val="366F23BE"/>
    <w:rsid w:val="36767BF1"/>
    <w:rsid w:val="368A2F3E"/>
    <w:rsid w:val="368A6933"/>
    <w:rsid w:val="368D09BB"/>
    <w:rsid w:val="36987B67"/>
    <w:rsid w:val="369E4A52"/>
    <w:rsid w:val="36B64491"/>
    <w:rsid w:val="36C06BEC"/>
    <w:rsid w:val="36C67567"/>
    <w:rsid w:val="36D466C5"/>
    <w:rsid w:val="36EF52AD"/>
    <w:rsid w:val="36F34D9D"/>
    <w:rsid w:val="37217B5C"/>
    <w:rsid w:val="373A6E70"/>
    <w:rsid w:val="37476E97"/>
    <w:rsid w:val="37704640"/>
    <w:rsid w:val="3777213E"/>
    <w:rsid w:val="377C4D93"/>
    <w:rsid w:val="378400EB"/>
    <w:rsid w:val="3784633D"/>
    <w:rsid w:val="37A43830"/>
    <w:rsid w:val="37A8202C"/>
    <w:rsid w:val="37C16C4A"/>
    <w:rsid w:val="37D61DC7"/>
    <w:rsid w:val="37E40B8A"/>
    <w:rsid w:val="37EA1977"/>
    <w:rsid w:val="37F54FE4"/>
    <w:rsid w:val="38194CD8"/>
    <w:rsid w:val="383C2774"/>
    <w:rsid w:val="384249AE"/>
    <w:rsid w:val="384F4255"/>
    <w:rsid w:val="38512E87"/>
    <w:rsid w:val="38514471"/>
    <w:rsid w:val="3851621F"/>
    <w:rsid w:val="38635F53"/>
    <w:rsid w:val="38704532"/>
    <w:rsid w:val="387416D1"/>
    <w:rsid w:val="3882287D"/>
    <w:rsid w:val="38832151"/>
    <w:rsid w:val="38834B69"/>
    <w:rsid w:val="38855EC9"/>
    <w:rsid w:val="388E3AD9"/>
    <w:rsid w:val="38991974"/>
    <w:rsid w:val="38A50319"/>
    <w:rsid w:val="38AC7A3D"/>
    <w:rsid w:val="38B40DC2"/>
    <w:rsid w:val="38C02AA3"/>
    <w:rsid w:val="38C70290"/>
    <w:rsid w:val="38DD7AB3"/>
    <w:rsid w:val="38F11291"/>
    <w:rsid w:val="38F372D7"/>
    <w:rsid w:val="3902576C"/>
    <w:rsid w:val="39070FD4"/>
    <w:rsid w:val="392C4597"/>
    <w:rsid w:val="393022D9"/>
    <w:rsid w:val="3958538C"/>
    <w:rsid w:val="396D0A5D"/>
    <w:rsid w:val="396F26D5"/>
    <w:rsid w:val="39783C80"/>
    <w:rsid w:val="39AC56D7"/>
    <w:rsid w:val="39BA7DF4"/>
    <w:rsid w:val="39C24EFB"/>
    <w:rsid w:val="39C62C3D"/>
    <w:rsid w:val="39D5195C"/>
    <w:rsid w:val="39FF1CAB"/>
    <w:rsid w:val="3A0A7D51"/>
    <w:rsid w:val="3A0F6392"/>
    <w:rsid w:val="3A211C22"/>
    <w:rsid w:val="3A266C45"/>
    <w:rsid w:val="3A2E6C62"/>
    <w:rsid w:val="3A35391F"/>
    <w:rsid w:val="3A4361F4"/>
    <w:rsid w:val="3A63048C"/>
    <w:rsid w:val="3A6722BF"/>
    <w:rsid w:val="3A7601BF"/>
    <w:rsid w:val="3A770EAE"/>
    <w:rsid w:val="3A7E0E22"/>
    <w:rsid w:val="3A80103E"/>
    <w:rsid w:val="3A8031A9"/>
    <w:rsid w:val="3A804B9A"/>
    <w:rsid w:val="3A993EAE"/>
    <w:rsid w:val="3AB13692"/>
    <w:rsid w:val="3AB860AB"/>
    <w:rsid w:val="3AD153F6"/>
    <w:rsid w:val="3AD35612"/>
    <w:rsid w:val="3ADF5A16"/>
    <w:rsid w:val="3AE570F3"/>
    <w:rsid w:val="3AF17846"/>
    <w:rsid w:val="3AF70386"/>
    <w:rsid w:val="3B005CDB"/>
    <w:rsid w:val="3B0120B1"/>
    <w:rsid w:val="3B0A02CB"/>
    <w:rsid w:val="3B0C2D98"/>
    <w:rsid w:val="3B175C07"/>
    <w:rsid w:val="3B1E43B3"/>
    <w:rsid w:val="3B2B5357"/>
    <w:rsid w:val="3B2E208F"/>
    <w:rsid w:val="3B2F79F0"/>
    <w:rsid w:val="3B4958D4"/>
    <w:rsid w:val="3B4C0F20"/>
    <w:rsid w:val="3B4D69AB"/>
    <w:rsid w:val="3B554279"/>
    <w:rsid w:val="3B6E0E96"/>
    <w:rsid w:val="3B7364AD"/>
    <w:rsid w:val="3B7641EF"/>
    <w:rsid w:val="3B874530"/>
    <w:rsid w:val="3B8A773E"/>
    <w:rsid w:val="3B8C756F"/>
    <w:rsid w:val="3B977AE1"/>
    <w:rsid w:val="3BA0301A"/>
    <w:rsid w:val="3BAE107B"/>
    <w:rsid w:val="3BB56AC5"/>
    <w:rsid w:val="3BB9455C"/>
    <w:rsid w:val="3BC74A4B"/>
    <w:rsid w:val="3BCE402B"/>
    <w:rsid w:val="3BD245CE"/>
    <w:rsid w:val="3BDC0FD0"/>
    <w:rsid w:val="3BEB0739"/>
    <w:rsid w:val="3BEB24E7"/>
    <w:rsid w:val="3BEC625F"/>
    <w:rsid w:val="3BF77147"/>
    <w:rsid w:val="3C090BBF"/>
    <w:rsid w:val="3C12216A"/>
    <w:rsid w:val="3C1C08F2"/>
    <w:rsid w:val="3C261771"/>
    <w:rsid w:val="3C5462DE"/>
    <w:rsid w:val="3C5B0781"/>
    <w:rsid w:val="3C5F4C83"/>
    <w:rsid w:val="3C600F6F"/>
    <w:rsid w:val="3C6504EB"/>
    <w:rsid w:val="3C6D2AA1"/>
    <w:rsid w:val="3C744599"/>
    <w:rsid w:val="3C7626F9"/>
    <w:rsid w:val="3C793F97"/>
    <w:rsid w:val="3C7B06AE"/>
    <w:rsid w:val="3C8560F8"/>
    <w:rsid w:val="3CA3705B"/>
    <w:rsid w:val="3CD016DD"/>
    <w:rsid w:val="3CE82ECA"/>
    <w:rsid w:val="3CF17FD1"/>
    <w:rsid w:val="3CF25AF7"/>
    <w:rsid w:val="3D05582A"/>
    <w:rsid w:val="3D073351"/>
    <w:rsid w:val="3D141F11"/>
    <w:rsid w:val="3D2A703F"/>
    <w:rsid w:val="3D3B749E"/>
    <w:rsid w:val="3D4A76E1"/>
    <w:rsid w:val="3D5440BC"/>
    <w:rsid w:val="3D6A1B31"/>
    <w:rsid w:val="3D712EC0"/>
    <w:rsid w:val="3D7D1C02"/>
    <w:rsid w:val="3D874491"/>
    <w:rsid w:val="3D8B21D4"/>
    <w:rsid w:val="3DA212CB"/>
    <w:rsid w:val="3DA4074B"/>
    <w:rsid w:val="3DAD49D1"/>
    <w:rsid w:val="3DBF3F1C"/>
    <w:rsid w:val="3DE6565C"/>
    <w:rsid w:val="3DE96EFA"/>
    <w:rsid w:val="3DEA7081"/>
    <w:rsid w:val="3DFF671E"/>
    <w:rsid w:val="3E0E070F"/>
    <w:rsid w:val="3E18070A"/>
    <w:rsid w:val="3E4C6F09"/>
    <w:rsid w:val="3E512B48"/>
    <w:rsid w:val="3E5C0687"/>
    <w:rsid w:val="3E693B97"/>
    <w:rsid w:val="3E6D6531"/>
    <w:rsid w:val="3E703177"/>
    <w:rsid w:val="3E860BED"/>
    <w:rsid w:val="3E932C1B"/>
    <w:rsid w:val="3E9A1FA2"/>
    <w:rsid w:val="3EA16C91"/>
    <w:rsid w:val="3EAF3CA0"/>
    <w:rsid w:val="3ED731F7"/>
    <w:rsid w:val="3ED84470"/>
    <w:rsid w:val="3EDF3E59"/>
    <w:rsid w:val="3EED3D22"/>
    <w:rsid w:val="3EF6072B"/>
    <w:rsid w:val="3F010273"/>
    <w:rsid w:val="3F033FEC"/>
    <w:rsid w:val="3F055FB6"/>
    <w:rsid w:val="3F057D64"/>
    <w:rsid w:val="3F191BEA"/>
    <w:rsid w:val="3F1F72E5"/>
    <w:rsid w:val="3F3615A2"/>
    <w:rsid w:val="3F4563B2"/>
    <w:rsid w:val="3F4E170B"/>
    <w:rsid w:val="3F4F3D9E"/>
    <w:rsid w:val="3F6251B6"/>
    <w:rsid w:val="3F6F13EE"/>
    <w:rsid w:val="3F704E97"/>
    <w:rsid w:val="3F724CCD"/>
    <w:rsid w:val="3F966C0E"/>
    <w:rsid w:val="3FAF1A7E"/>
    <w:rsid w:val="3FCC262F"/>
    <w:rsid w:val="3FE931E1"/>
    <w:rsid w:val="3FE94F8F"/>
    <w:rsid w:val="3FED1EB2"/>
    <w:rsid w:val="3FEE6A4A"/>
    <w:rsid w:val="400C6ED0"/>
    <w:rsid w:val="401232F8"/>
    <w:rsid w:val="403A3A3D"/>
    <w:rsid w:val="4041301D"/>
    <w:rsid w:val="404E31E7"/>
    <w:rsid w:val="40582115"/>
    <w:rsid w:val="40640ABA"/>
    <w:rsid w:val="40644F5E"/>
    <w:rsid w:val="407927B7"/>
    <w:rsid w:val="40896772"/>
    <w:rsid w:val="408F1FDB"/>
    <w:rsid w:val="40A610D2"/>
    <w:rsid w:val="40A73F87"/>
    <w:rsid w:val="40B20C52"/>
    <w:rsid w:val="40B76E3C"/>
    <w:rsid w:val="40BA6DA3"/>
    <w:rsid w:val="40BE3A3D"/>
    <w:rsid w:val="40FA4E17"/>
    <w:rsid w:val="40FA4F7A"/>
    <w:rsid w:val="41006A35"/>
    <w:rsid w:val="4113230B"/>
    <w:rsid w:val="412E2095"/>
    <w:rsid w:val="41474664"/>
    <w:rsid w:val="414D59F2"/>
    <w:rsid w:val="41517290"/>
    <w:rsid w:val="41617135"/>
    <w:rsid w:val="416C39BC"/>
    <w:rsid w:val="41967399"/>
    <w:rsid w:val="41C45CB4"/>
    <w:rsid w:val="41D46D31"/>
    <w:rsid w:val="41D72A2F"/>
    <w:rsid w:val="41DF2161"/>
    <w:rsid w:val="41E06866"/>
    <w:rsid w:val="41EA3241"/>
    <w:rsid w:val="41F06AA9"/>
    <w:rsid w:val="42073DF3"/>
    <w:rsid w:val="420F6FCA"/>
    <w:rsid w:val="422229DB"/>
    <w:rsid w:val="422378A4"/>
    <w:rsid w:val="42366486"/>
    <w:rsid w:val="423D7815"/>
    <w:rsid w:val="423F533B"/>
    <w:rsid w:val="42416CF7"/>
    <w:rsid w:val="42440BA3"/>
    <w:rsid w:val="42507548"/>
    <w:rsid w:val="42516C4F"/>
    <w:rsid w:val="425D02CF"/>
    <w:rsid w:val="42683E59"/>
    <w:rsid w:val="426923B8"/>
    <w:rsid w:val="42701998"/>
    <w:rsid w:val="427D180C"/>
    <w:rsid w:val="42894808"/>
    <w:rsid w:val="42A10C42"/>
    <w:rsid w:val="42A17DA3"/>
    <w:rsid w:val="42A94EAA"/>
    <w:rsid w:val="42AA0BA9"/>
    <w:rsid w:val="42B07FE6"/>
    <w:rsid w:val="42C375D5"/>
    <w:rsid w:val="42CF2B62"/>
    <w:rsid w:val="42D57A4D"/>
    <w:rsid w:val="42DF08CC"/>
    <w:rsid w:val="42E6709F"/>
    <w:rsid w:val="42E73FF8"/>
    <w:rsid w:val="42E83C24"/>
    <w:rsid w:val="43223B63"/>
    <w:rsid w:val="43317379"/>
    <w:rsid w:val="43346E69"/>
    <w:rsid w:val="43350C92"/>
    <w:rsid w:val="43364990"/>
    <w:rsid w:val="433A4C90"/>
    <w:rsid w:val="433E55F2"/>
    <w:rsid w:val="43441AA3"/>
    <w:rsid w:val="43482915"/>
    <w:rsid w:val="435A7F52"/>
    <w:rsid w:val="436037BB"/>
    <w:rsid w:val="436C03B1"/>
    <w:rsid w:val="43943464"/>
    <w:rsid w:val="43AD4526"/>
    <w:rsid w:val="43AF0D66"/>
    <w:rsid w:val="43AF4742"/>
    <w:rsid w:val="43CA0F6D"/>
    <w:rsid w:val="43E66AF2"/>
    <w:rsid w:val="43EC504E"/>
    <w:rsid w:val="43F16B09"/>
    <w:rsid w:val="44094D3B"/>
    <w:rsid w:val="44103433"/>
    <w:rsid w:val="44114220"/>
    <w:rsid w:val="44120098"/>
    <w:rsid w:val="44131682"/>
    <w:rsid w:val="442073EE"/>
    <w:rsid w:val="443E3D0E"/>
    <w:rsid w:val="44472BCC"/>
    <w:rsid w:val="445B0426"/>
    <w:rsid w:val="44660CEC"/>
    <w:rsid w:val="446A770C"/>
    <w:rsid w:val="446F3436"/>
    <w:rsid w:val="44756528"/>
    <w:rsid w:val="4477013B"/>
    <w:rsid w:val="448E4357"/>
    <w:rsid w:val="44993374"/>
    <w:rsid w:val="449C6A74"/>
    <w:rsid w:val="449D459A"/>
    <w:rsid w:val="449E2834"/>
    <w:rsid w:val="44A45D0D"/>
    <w:rsid w:val="44CC35C0"/>
    <w:rsid w:val="44D04970"/>
    <w:rsid w:val="450B1E4C"/>
    <w:rsid w:val="450C60CA"/>
    <w:rsid w:val="45192D66"/>
    <w:rsid w:val="45240FFC"/>
    <w:rsid w:val="45254DB1"/>
    <w:rsid w:val="452B7DF8"/>
    <w:rsid w:val="45343151"/>
    <w:rsid w:val="453B3E42"/>
    <w:rsid w:val="45447689"/>
    <w:rsid w:val="454A058C"/>
    <w:rsid w:val="45575091"/>
    <w:rsid w:val="455E3D2A"/>
    <w:rsid w:val="456B16B7"/>
    <w:rsid w:val="45763769"/>
    <w:rsid w:val="458D560D"/>
    <w:rsid w:val="45A51959"/>
    <w:rsid w:val="45AA241A"/>
    <w:rsid w:val="45BE0C6C"/>
    <w:rsid w:val="45DD79F6"/>
    <w:rsid w:val="45EC3A2B"/>
    <w:rsid w:val="45EF0E26"/>
    <w:rsid w:val="45F91FFD"/>
    <w:rsid w:val="45FB77CB"/>
    <w:rsid w:val="46091150"/>
    <w:rsid w:val="46146ADE"/>
    <w:rsid w:val="46195EA3"/>
    <w:rsid w:val="4636618B"/>
    <w:rsid w:val="46541CEC"/>
    <w:rsid w:val="46603AD2"/>
    <w:rsid w:val="4665558C"/>
    <w:rsid w:val="466D2522"/>
    <w:rsid w:val="46715CDF"/>
    <w:rsid w:val="467B6B5D"/>
    <w:rsid w:val="467C3272"/>
    <w:rsid w:val="467D17E2"/>
    <w:rsid w:val="46827EAB"/>
    <w:rsid w:val="4685178A"/>
    <w:rsid w:val="468C48C7"/>
    <w:rsid w:val="46AF1E22"/>
    <w:rsid w:val="46C91677"/>
    <w:rsid w:val="46CC73B9"/>
    <w:rsid w:val="46CD560F"/>
    <w:rsid w:val="46E6743B"/>
    <w:rsid w:val="46EB5A91"/>
    <w:rsid w:val="46FA6C8D"/>
    <w:rsid w:val="47024B89"/>
    <w:rsid w:val="470737A5"/>
    <w:rsid w:val="470F6E3D"/>
    <w:rsid w:val="47207E67"/>
    <w:rsid w:val="473016F6"/>
    <w:rsid w:val="47321912"/>
    <w:rsid w:val="47360BFD"/>
    <w:rsid w:val="4743767B"/>
    <w:rsid w:val="47462CC7"/>
    <w:rsid w:val="475573AE"/>
    <w:rsid w:val="47670CC3"/>
    <w:rsid w:val="47731896"/>
    <w:rsid w:val="47757790"/>
    <w:rsid w:val="47867568"/>
    <w:rsid w:val="478B1395"/>
    <w:rsid w:val="478F466E"/>
    <w:rsid w:val="47995FDF"/>
    <w:rsid w:val="47A83982"/>
    <w:rsid w:val="47B7300C"/>
    <w:rsid w:val="47C368F2"/>
    <w:rsid w:val="47C57658"/>
    <w:rsid w:val="47E32C0C"/>
    <w:rsid w:val="480706A9"/>
    <w:rsid w:val="48073C06"/>
    <w:rsid w:val="480D36B8"/>
    <w:rsid w:val="4823125B"/>
    <w:rsid w:val="482A4397"/>
    <w:rsid w:val="48342CE0"/>
    <w:rsid w:val="483671E0"/>
    <w:rsid w:val="483A5C59"/>
    <w:rsid w:val="484315B6"/>
    <w:rsid w:val="48515DC8"/>
    <w:rsid w:val="487424BD"/>
    <w:rsid w:val="488241D3"/>
    <w:rsid w:val="48861F15"/>
    <w:rsid w:val="488C5052"/>
    <w:rsid w:val="488F68F0"/>
    <w:rsid w:val="489130C1"/>
    <w:rsid w:val="48B46864"/>
    <w:rsid w:val="48CA0FF4"/>
    <w:rsid w:val="48CA7928"/>
    <w:rsid w:val="48CC299D"/>
    <w:rsid w:val="48D03190"/>
    <w:rsid w:val="48F52BF7"/>
    <w:rsid w:val="49042FF5"/>
    <w:rsid w:val="49101CC1"/>
    <w:rsid w:val="49214C78"/>
    <w:rsid w:val="492B03C7"/>
    <w:rsid w:val="4948541D"/>
    <w:rsid w:val="4982065A"/>
    <w:rsid w:val="4983468E"/>
    <w:rsid w:val="499B6B79"/>
    <w:rsid w:val="499F7616"/>
    <w:rsid w:val="49A05D40"/>
    <w:rsid w:val="49A87C69"/>
    <w:rsid w:val="49C831C6"/>
    <w:rsid w:val="49D0189D"/>
    <w:rsid w:val="49D56585"/>
    <w:rsid w:val="49F64E79"/>
    <w:rsid w:val="4A007AA5"/>
    <w:rsid w:val="4A051044"/>
    <w:rsid w:val="4A057BB7"/>
    <w:rsid w:val="4A062BE2"/>
    <w:rsid w:val="4A1D0657"/>
    <w:rsid w:val="4A257767"/>
    <w:rsid w:val="4A273284"/>
    <w:rsid w:val="4A3E237C"/>
    <w:rsid w:val="4A3E6BD8"/>
    <w:rsid w:val="4A524C36"/>
    <w:rsid w:val="4A600544"/>
    <w:rsid w:val="4A6201A5"/>
    <w:rsid w:val="4A6E2C61"/>
    <w:rsid w:val="4A7615A6"/>
    <w:rsid w:val="4A7933B4"/>
    <w:rsid w:val="4A85121F"/>
    <w:rsid w:val="4AB34B18"/>
    <w:rsid w:val="4AB368C6"/>
    <w:rsid w:val="4ACF4363"/>
    <w:rsid w:val="4AD13A99"/>
    <w:rsid w:val="4AD82C70"/>
    <w:rsid w:val="4ADB133C"/>
    <w:rsid w:val="4AE271AB"/>
    <w:rsid w:val="4AEC627C"/>
    <w:rsid w:val="4AED6BE2"/>
    <w:rsid w:val="4B2E0493"/>
    <w:rsid w:val="4B2E29D0"/>
    <w:rsid w:val="4B2F3F26"/>
    <w:rsid w:val="4B3F05A3"/>
    <w:rsid w:val="4B490FD8"/>
    <w:rsid w:val="4B5005B9"/>
    <w:rsid w:val="4B5B5477"/>
    <w:rsid w:val="4B5C6F5D"/>
    <w:rsid w:val="4B5D2CD5"/>
    <w:rsid w:val="4B693428"/>
    <w:rsid w:val="4B7C7600"/>
    <w:rsid w:val="4B8244EA"/>
    <w:rsid w:val="4B8F0BDF"/>
    <w:rsid w:val="4BA4553C"/>
    <w:rsid w:val="4BDE6D04"/>
    <w:rsid w:val="4BE850E4"/>
    <w:rsid w:val="4BEC7B31"/>
    <w:rsid w:val="4BEE652D"/>
    <w:rsid w:val="4C1C493F"/>
    <w:rsid w:val="4C231829"/>
    <w:rsid w:val="4C2832E3"/>
    <w:rsid w:val="4C443EC1"/>
    <w:rsid w:val="4C5C4F93"/>
    <w:rsid w:val="4C666AF6"/>
    <w:rsid w:val="4C6A56AA"/>
    <w:rsid w:val="4C8449BE"/>
    <w:rsid w:val="4C8C5620"/>
    <w:rsid w:val="4C8C73CE"/>
    <w:rsid w:val="4C8F3363"/>
    <w:rsid w:val="4C9038B4"/>
    <w:rsid w:val="4CA8577A"/>
    <w:rsid w:val="4CAD480A"/>
    <w:rsid w:val="4CC4300C"/>
    <w:rsid w:val="4CC443A4"/>
    <w:rsid w:val="4CD230F8"/>
    <w:rsid w:val="4CD9638C"/>
    <w:rsid w:val="4CDA3E72"/>
    <w:rsid w:val="4CF51418"/>
    <w:rsid w:val="4CFA4C80"/>
    <w:rsid w:val="4D0D7ED3"/>
    <w:rsid w:val="4D185106"/>
    <w:rsid w:val="4D203FBB"/>
    <w:rsid w:val="4D221AE1"/>
    <w:rsid w:val="4D28385F"/>
    <w:rsid w:val="4D31441A"/>
    <w:rsid w:val="4D381304"/>
    <w:rsid w:val="4D3823EC"/>
    <w:rsid w:val="4D445EFB"/>
    <w:rsid w:val="4D4E28D6"/>
    <w:rsid w:val="4D5D520F"/>
    <w:rsid w:val="4D7367E0"/>
    <w:rsid w:val="4D834C75"/>
    <w:rsid w:val="4D891B60"/>
    <w:rsid w:val="4D8D78A2"/>
    <w:rsid w:val="4D9B50BA"/>
    <w:rsid w:val="4D9C7AE5"/>
    <w:rsid w:val="4DB210B7"/>
    <w:rsid w:val="4DCF7EBB"/>
    <w:rsid w:val="4DD52FF7"/>
    <w:rsid w:val="4DDE418A"/>
    <w:rsid w:val="4DE84AD8"/>
    <w:rsid w:val="4DF3347D"/>
    <w:rsid w:val="4DF47921"/>
    <w:rsid w:val="4E0A0EF3"/>
    <w:rsid w:val="4E105D47"/>
    <w:rsid w:val="4E231FB4"/>
    <w:rsid w:val="4E382E13"/>
    <w:rsid w:val="4E41243B"/>
    <w:rsid w:val="4E4A1B7C"/>
    <w:rsid w:val="4E4F6905"/>
    <w:rsid w:val="4E511AC8"/>
    <w:rsid w:val="4E5177E5"/>
    <w:rsid w:val="4E524648"/>
    <w:rsid w:val="4E704ACE"/>
    <w:rsid w:val="4E8A3DE2"/>
    <w:rsid w:val="4E9B7D9D"/>
    <w:rsid w:val="4E9F4F00"/>
    <w:rsid w:val="4EA01857"/>
    <w:rsid w:val="4EBD5F65"/>
    <w:rsid w:val="4EBE1CDD"/>
    <w:rsid w:val="4EC015B1"/>
    <w:rsid w:val="4EC372F3"/>
    <w:rsid w:val="4EC94FA7"/>
    <w:rsid w:val="4EE17CDB"/>
    <w:rsid w:val="4EEB612E"/>
    <w:rsid w:val="4EEF1E97"/>
    <w:rsid w:val="4EF43951"/>
    <w:rsid w:val="4EF63225"/>
    <w:rsid w:val="4F005E52"/>
    <w:rsid w:val="4F0F3F52"/>
    <w:rsid w:val="4F0F42E7"/>
    <w:rsid w:val="4F1418FD"/>
    <w:rsid w:val="4F163801"/>
    <w:rsid w:val="4F2307E8"/>
    <w:rsid w:val="4F2A1121"/>
    <w:rsid w:val="4F2A2ECF"/>
    <w:rsid w:val="4F312CC3"/>
    <w:rsid w:val="4F5A37B4"/>
    <w:rsid w:val="4F5B752C"/>
    <w:rsid w:val="4F5F701C"/>
    <w:rsid w:val="4F626B0C"/>
    <w:rsid w:val="4F676533"/>
    <w:rsid w:val="4F6A776F"/>
    <w:rsid w:val="4F6B32AC"/>
    <w:rsid w:val="4F6B3C13"/>
    <w:rsid w:val="4F6C1739"/>
    <w:rsid w:val="4F895E47"/>
    <w:rsid w:val="4F8B7126"/>
    <w:rsid w:val="4F9071D6"/>
    <w:rsid w:val="4F9C201E"/>
    <w:rsid w:val="4FA843B3"/>
    <w:rsid w:val="4FC05D86"/>
    <w:rsid w:val="4FC979FE"/>
    <w:rsid w:val="4FCB2904"/>
    <w:rsid w:val="4FDF63AF"/>
    <w:rsid w:val="4FED514D"/>
    <w:rsid w:val="4FFA179E"/>
    <w:rsid w:val="4FFC486B"/>
    <w:rsid w:val="501F0AD1"/>
    <w:rsid w:val="502142D2"/>
    <w:rsid w:val="50357D7D"/>
    <w:rsid w:val="50406E4E"/>
    <w:rsid w:val="504D4CA4"/>
    <w:rsid w:val="505E1082"/>
    <w:rsid w:val="5062394E"/>
    <w:rsid w:val="50836D3A"/>
    <w:rsid w:val="5099655E"/>
    <w:rsid w:val="50AF602E"/>
    <w:rsid w:val="50B769E4"/>
    <w:rsid w:val="50C03AEB"/>
    <w:rsid w:val="50F11EF6"/>
    <w:rsid w:val="50F33EC0"/>
    <w:rsid w:val="50F93629"/>
    <w:rsid w:val="50F97720"/>
    <w:rsid w:val="51116894"/>
    <w:rsid w:val="511A17D0"/>
    <w:rsid w:val="511D2CEB"/>
    <w:rsid w:val="51383FC9"/>
    <w:rsid w:val="515A3F3F"/>
    <w:rsid w:val="51636E68"/>
    <w:rsid w:val="5164091A"/>
    <w:rsid w:val="5187285A"/>
    <w:rsid w:val="518B234A"/>
    <w:rsid w:val="518E5997"/>
    <w:rsid w:val="51911F67"/>
    <w:rsid w:val="51AB5237"/>
    <w:rsid w:val="51C95B4F"/>
    <w:rsid w:val="51DF0C4A"/>
    <w:rsid w:val="51E952C3"/>
    <w:rsid w:val="51FF0643"/>
    <w:rsid w:val="521F2FAF"/>
    <w:rsid w:val="521F6F37"/>
    <w:rsid w:val="522956BF"/>
    <w:rsid w:val="52467DA4"/>
    <w:rsid w:val="52495D62"/>
    <w:rsid w:val="5264494A"/>
    <w:rsid w:val="52704D94"/>
    <w:rsid w:val="529665D0"/>
    <w:rsid w:val="529945F3"/>
    <w:rsid w:val="52A15B9E"/>
    <w:rsid w:val="52A1794C"/>
    <w:rsid w:val="52AC6AC5"/>
    <w:rsid w:val="52B256B5"/>
    <w:rsid w:val="52C81553"/>
    <w:rsid w:val="52CB130A"/>
    <w:rsid w:val="52CF23C2"/>
    <w:rsid w:val="52D42A42"/>
    <w:rsid w:val="52D65847"/>
    <w:rsid w:val="52F61A46"/>
    <w:rsid w:val="5300499D"/>
    <w:rsid w:val="530F27DD"/>
    <w:rsid w:val="53352192"/>
    <w:rsid w:val="534D2C73"/>
    <w:rsid w:val="536C7F5A"/>
    <w:rsid w:val="536F35A6"/>
    <w:rsid w:val="53735D8F"/>
    <w:rsid w:val="537A2677"/>
    <w:rsid w:val="538F3C48"/>
    <w:rsid w:val="539553D2"/>
    <w:rsid w:val="53A96AB8"/>
    <w:rsid w:val="53C733E2"/>
    <w:rsid w:val="53CE79C0"/>
    <w:rsid w:val="53DF2E37"/>
    <w:rsid w:val="53EB5322"/>
    <w:rsid w:val="53F561A1"/>
    <w:rsid w:val="53FD5056"/>
    <w:rsid w:val="540A51E2"/>
    <w:rsid w:val="54161C73"/>
    <w:rsid w:val="542745D4"/>
    <w:rsid w:val="542D76E9"/>
    <w:rsid w:val="54336CC9"/>
    <w:rsid w:val="544215D6"/>
    <w:rsid w:val="546649A9"/>
    <w:rsid w:val="546C63AD"/>
    <w:rsid w:val="5481052E"/>
    <w:rsid w:val="548412D3"/>
    <w:rsid w:val="5486329D"/>
    <w:rsid w:val="54866DF9"/>
    <w:rsid w:val="54924F0A"/>
    <w:rsid w:val="549363D0"/>
    <w:rsid w:val="54972DB4"/>
    <w:rsid w:val="54A159E1"/>
    <w:rsid w:val="54BE47E5"/>
    <w:rsid w:val="54DC2EBD"/>
    <w:rsid w:val="54EC0257"/>
    <w:rsid w:val="54ED50CA"/>
    <w:rsid w:val="54EF2BF0"/>
    <w:rsid w:val="550541C2"/>
    <w:rsid w:val="550D3076"/>
    <w:rsid w:val="55173EF5"/>
    <w:rsid w:val="552E1371"/>
    <w:rsid w:val="55313209"/>
    <w:rsid w:val="55425416"/>
    <w:rsid w:val="555B0286"/>
    <w:rsid w:val="555D5DAC"/>
    <w:rsid w:val="55693404"/>
    <w:rsid w:val="556D1D67"/>
    <w:rsid w:val="55821CB6"/>
    <w:rsid w:val="559B4B26"/>
    <w:rsid w:val="55A27E89"/>
    <w:rsid w:val="55A36813"/>
    <w:rsid w:val="55AD46C9"/>
    <w:rsid w:val="55C44FDA"/>
    <w:rsid w:val="55D15F40"/>
    <w:rsid w:val="55D168BA"/>
    <w:rsid w:val="55EF1E3C"/>
    <w:rsid w:val="56044479"/>
    <w:rsid w:val="56091A90"/>
    <w:rsid w:val="560F3A7A"/>
    <w:rsid w:val="561072C2"/>
    <w:rsid w:val="5613290E"/>
    <w:rsid w:val="5633609D"/>
    <w:rsid w:val="56530F5D"/>
    <w:rsid w:val="565D1DDC"/>
    <w:rsid w:val="567362B3"/>
    <w:rsid w:val="56B55774"/>
    <w:rsid w:val="56C65BD3"/>
    <w:rsid w:val="56D95906"/>
    <w:rsid w:val="56DE116E"/>
    <w:rsid w:val="570E04BE"/>
    <w:rsid w:val="570F30D6"/>
    <w:rsid w:val="57106E4E"/>
    <w:rsid w:val="57165119"/>
    <w:rsid w:val="572C012C"/>
    <w:rsid w:val="57342B3C"/>
    <w:rsid w:val="57354C81"/>
    <w:rsid w:val="574F5BC8"/>
    <w:rsid w:val="5750567D"/>
    <w:rsid w:val="57535931"/>
    <w:rsid w:val="57664C0A"/>
    <w:rsid w:val="57680A38"/>
    <w:rsid w:val="57684EDC"/>
    <w:rsid w:val="576F1DC6"/>
    <w:rsid w:val="57776ECD"/>
    <w:rsid w:val="57874C19"/>
    <w:rsid w:val="5788214A"/>
    <w:rsid w:val="57884570"/>
    <w:rsid w:val="57897E23"/>
    <w:rsid w:val="57C40364"/>
    <w:rsid w:val="57D40395"/>
    <w:rsid w:val="57DB3900"/>
    <w:rsid w:val="57DF05F9"/>
    <w:rsid w:val="57E43572"/>
    <w:rsid w:val="57E519DB"/>
    <w:rsid w:val="57EA58F1"/>
    <w:rsid w:val="57EC3417"/>
    <w:rsid w:val="57F205D3"/>
    <w:rsid w:val="57FF139C"/>
    <w:rsid w:val="580C1D0B"/>
    <w:rsid w:val="581F48DC"/>
    <w:rsid w:val="582755AA"/>
    <w:rsid w:val="58344A66"/>
    <w:rsid w:val="58697CBB"/>
    <w:rsid w:val="587D0513"/>
    <w:rsid w:val="587F332E"/>
    <w:rsid w:val="58847AF3"/>
    <w:rsid w:val="588673C8"/>
    <w:rsid w:val="58883F2F"/>
    <w:rsid w:val="58A12453"/>
    <w:rsid w:val="58AD5A20"/>
    <w:rsid w:val="58AE2DC2"/>
    <w:rsid w:val="58B01789"/>
    <w:rsid w:val="58D34740"/>
    <w:rsid w:val="58D97E3F"/>
    <w:rsid w:val="58DF4D2A"/>
    <w:rsid w:val="58EE2CEB"/>
    <w:rsid w:val="58F1604C"/>
    <w:rsid w:val="58FD7B91"/>
    <w:rsid w:val="58FF53CC"/>
    <w:rsid w:val="5918420A"/>
    <w:rsid w:val="591B54E0"/>
    <w:rsid w:val="592956E3"/>
    <w:rsid w:val="594D25DB"/>
    <w:rsid w:val="59570D64"/>
    <w:rsid w:val="59653481"/>
    <w:rsid w:val="598853C1"/>
    <w:rsid w:val="59A246D5"/>
    <w:rsid w:val="5A124512"/>
    <w:rsid w:val="5A160C1F"/>
    <w:rsid w:val="5A274BDA"/>
    <w:rsid w:val="5A2C21F1"/>
    <w:rsid w:val="5A33532D"/>
    <w:rsid w:val="5A3E75E4"/>
    <w:rsid w:val="5A401B64"/>
    <w:rsid w:val="5A4E73EC"/>
    <w:rsid w:val="5A572798"/>
    <w:rsid w:val="5A573DE0"/>
    <w:rsid w:val="5A601E9A"/>
    <w:rsid w:val="5A7870EE"/>
    <w:rsid w:val="5A7B0A82"/>
    <w:rsid w:val="5A867B53"/>
    <w:rsid w:val="5A9A7464"/>
    <w:rsid w:val="5A9F3E73"/>
    <w:rsid w:val="5AA36454"/>
    <w:rsid w:val="5AB166D1"/>
    <w:rsid w:val="5AB3577D"/>
    <w:rsid w:val="5ABC3DEC"/>
    <w:rsid w:val="5AD53984"/>
    <w:rsid w:val="5ADA00B0"/>
    <w:rsid w:val="5ADA1C4D"/>
    <w:rsid w:val="5AFE3130"/>
    <w:rsid w:val="5B0C209D"/>
    <w:rsid w:val="5B263BCE"/>
    <w:rsid w:val="5B31551A"/>
    <w:rsid w:val="5B334F19"/>
    <w:rsid w:val="5B3C6ED1"/>
    <w:rsid w:val="5B5B0FE0"/>
    <w:rsid w:val="5B5E5CCC"/>
    <w:rsid w:val="5B717319"/>
    <w:rsid w:val="5B7C4AB2"/>
    <w:rsid w:val="5B800A46"/>
    <w:rsid w:val="5B8A5B4E"/>
    <w:rsid w:val="5B8B2FF9"/>
    <w:rsid w:val="5B8D4F11"/>
    <w:rsid w:val="5B8F6EDB"/>
    <w:rsid w:val="5B940B51"/>
    <w:rsid w:val="5B9B61EB"/>
    <w:rsid w:val="5BB84AB2"/>
    <w:rsid w:val="5BC76675"/>
    <w:rsid w:val="5BE56AFB"/>
    <w:rsid w:val="5BF154A0"/>
    <w:rsid w:val="5BF168A5"/>
    <w:rsid w:val="5C084598"/>
    <w:rsid w:val="5C484D92"/>
    <w:rsid w:val="5C48561E"/>
    <w:rsid w:val="5C4D6DB2"/>
    <w:rsid w:val="5C515F3F"/>
    <w:rsid w:val="5C7459B1"/>
    <w:rsid w:val="5C853E3A"/>
    <w:rsid w:val="5C8C341B"/>
    <w:rsid w:val="5C9037B4"/>
    <w:rsid w:val="5C9D1AB9"/>
    <w:rsid w:val="5CAD7A90"/>
    <w:rsid w:val="5CAE15E3"/>
    <w:rsid w:val="5CB5471F"/>
    <w:rsid w:val="5CC130C4"/>
    <w:rsid w:val="5CC46711"/>
    <w:rsid w:val="5CD03307"/>
    <w:rsid w:val="5CD32DF8"/>
    <w:rsid w:val="5CD34BA6"/>
    <w:rsid w:val="5D1D4073"/>
    <w:rsid w:val="5D327B1E"/>
    <w:rsid w:val="5D445AA3"/>
    <w:rsid w:val="5D4D4958"/>
    <w:rsid w:val="5D573A29"/>
    <w:rsid w:val="5D6972B8"/>
    <w:rsid w:val="5D746389"/>
    <w:rsid w:val="5D8A378D"/>
    <w:rsid w:val="5DB93D9B"/>
    <w:rsid w:val="5DBE13B2"/>
    <w:rsid w:val="5DD5494D"/>
    <w:rsid w:val="5DDB6408"/>
    <w:rsid w:val="5DDF6716"/>
    <w:rsid w:val="5DE31F8A"/>
    <w:rsid w:val="5DE60FFC"/>
    <w:rsid w:val="5DEA38E1"/>
    <w:rsid w:val="5E15646E"/>
    <w:rsid w:val="5E257683"/>
    <w:rsid w:val="5E295FCD"/>
    <w:rsid w:val="5E3D49CC"/>
    <w:rsid w:val="5E4500B4"/>
    <w:rsid w:val="5E4775F9"/>
    <w:rsid w:val="5E677C9B"/>
    <w:rsid w:val="5E7653C2"/>
    <w:rsid w:val="5E8A5738"/>
    <w:rsid w:val="5E9345EC"/>
    <w:rsid w:val="5E9E48FD"/>
    <w:rsid w:val="5EB9176F"/>
    <w:rsid w:val="5EBD74AB"/>
    <w:rsid w:val="5EBF3633"/>
    <w:rsid w:val="5EC24ED2"/>
    <w:rsid w:val="5EC92704"/>
    <w:rsid w:val="5ED16751"/>
    <w:rsid w:val="5ED762B1"/>
    <w:rsid w:val="5EE0706A"/>
    <w:rsid w:val="5EE25574"/>
    <w:rsid w:val="5EE3021A"/>
    <w:rsid w:val="5EF3152F"/>
    <w:rsid w:val="5F173805"/>
    <w:rsid w:val="5F174D28"/>
    <w:rsid w:val="5F1D1E85"/>
    <w:rsid w:val="5F1D429B"/>
    <w:rsid w:val="5F230066"/>
    <w:rsid w:val="5F2D2C93"/>
    <w:rsid w:val="5F2E6A0B"/>
    <w:rsid w:val="5F37766E"/>
    <w:rsid w:val="5F5521EA"/>
    <w:rsid w:val="5F593A88"/>
    <w:rsid w:val="5F6569D5"/>
    <w:rsid w:val="5F775CBC"/>
    <w:rsid w:val="5F840C85"/>
    <w:rsid w:val="5F954394"/>
    <w:rsid w:val="5F9E149B"/>
    <w:rsid w:val="5FA3544C"/>
    <w:rsid w:val="5FD376E8"/>
    <w:rsid w:val="5FDF1150"/>
    <w:rsid w:val="5FEB66AA"/>
    <w:rsid w:val="5FF003B5"/>
    <w:rsid w:val="600339F4"/>
    <w:rsid w:val="60052864"/>
    <w:rsid w:val="60177B46"/>
    <w:rsid w:val="60193217"/>
    <w:rsid w:val="60262323"/>
    <w:rsid w:val="60575AEE"/>
    <w:rsid w:val="605A45FB"/>
    <w:rsid w:val="605F7E99"/>
    <w:rsid w:val="60824919"/>
    <w:rsid w:val="6082700E"/>
    <w:rsid w:val="60950994"/>
    <w:rsid w:val="609D1752"/>
    <w:rsid w:val="60AA20C1"/>
    <w:rsid w:val="60AC408B"/>
    <w:rsid w:val="60AC5E39"/>
    <w:rsid w:val="60D20857"/>
    <w:rsid w:val="60D96503"/>
    <w:rsid w:val="60E2185B"/>
    <w:rsid w:val="610B5128"/>
    <w:rsid w:val="611A7247"/>
    <w:rsid w:val="61202383"/>
    <w:rsid w:val="61354081"/>
    <w:rsid w:val="61363955"/>
    <w:rsid w:val="61425A64"/>
    <w:rsid w:val="6142679E"/>
    <w:rsid w:val="614A1D5B"/>
    <w:rsid w:val="614C3178"/>
    <w:rsid w:val="6157521A"/>
    <w:rsid w:val="615D0EE2"/>
    <w:rsid w:val="61665FE8"/>
    <w:rsid w:val="616E1341"/>
    <w:rsid w:val="617D1584"/>
    <w:rsid w:val="618B52CB"/>
    <w:rsid w:val="619D5C7C"/>
    <w:rsid w:val="61A92379"/>
    <w:rsid w:val="61BE46B8"/>
    <w:rsid w:val="61DE0274"/>
    <w:rsid w:val="61E33ADD"/>
    <w:rsid w:val="61EE5FDE"/>
    <w:rsid w:val="62062DE6"/>
    <w:rsid w:val="621E4B15"/>
    <w:rsid w:val="6220263B"/>
    <w:rsid w:val="622140C6"/>
    <w:rsid w:val="62233ED9"/>
    <w:rsid w:val="62612C54"/>
    <w:rsid w:val="62712E97"/>
    <w:rsid w:val="627157EF"/>
    <w:rsid w:val="627838A0"/>
    <w:rsid w:val="627E7362"/>
    <w:rsid w:val="62804580"/>
    <w:rsid w:val="62895F4A"/>
    <w:rsid w:val="6291178B"/>
    <w:rsid w:val="62A0552A"/>
    <w:rsid w:val="62A82630"/>
    <w:rsid w:val="62AA45FB"/>
    <w:rsid w:val="62E50B97"/>
    <w:rsid w:val="62E51418"/>
    <w:rsid w:val="62F53AC8"/>
    <w:rsid w:val="62FB6C04"/>
    <w:rsid w:val="63057A83"/>
    <w:rsid w:val="630C0A12"/>
    <w:rsid w:val="630C2802"/>
    <w:rsid w:val="630C2BBF"/>
    <w:rsid w:val="6315047F"/>
    <w:rsid w:val="63181564"/>
    <w:rsid w:val="632E6FDA"/>
    <w:rsid w:val="633B16F7"/>
    <w:rsid w:val="63457FEC"/>
    <w:rsid w:val="634E0140"/>
    <w:rsid w:val="634E7D25"/>
    <w:rsid w:val="63506F50"/>
    <w:rsid w:val="635D341B"/>
    <w:rsid w:val="6361115D"/>
    <w:rsid w:val="636447A9"/>
    <w:rsid w:val="636D7CFA"/>
    <w:rsid w:val="63701B9A"/>
    <w:rsid w:val="6370314E"/>
    <w:rsid w:val="63737AA4"/>
    <w:rsid w:val="639808F7"/>
    <w:rsid w:val="639D5F0D"/>
    <w:rsid w:val="639F1272"/>
    <w:rsid w:val="63C51F19"/>
    <w:rsid w:val="63CE60C7"/>
    <w:rsid w:val="63D25BB7"/>
    <w:rsid w:val="63D47B81"/>
    <w:rsid w:val="63ED4234"/>
    <w:rsid w:val="640D6344"/>
    <w:rsid w:val="64153CF6"/>
    <w:rsid w:val="642301C1"/>
    <w:rsid w:val="64264155"/>
    <w:rsid w:val="643272F3"/>
    <w:rsid w:val="644665A5"/>
    <w:rsid w:val="64504D2E"/>
    <w:rsid w:val="645A0C92"/>
    <w:rsid w:val="645A795A"/>
    <w:rsid w:val="64634A61"/>
    <w:rsid w:val="647C5651"/>
    <w:rsid w:val="647E5D3F"/>
    <w:rsid w:val="648C220A"/>
    <w:rsid w:val="648F5856"/>
    <w:rsid w:val="64970BAF"/>
    <w:rsid w:val="649E018F"/>
    <w:rsid w:val="64B057FD"/>
    <w:rsid w:val="64CC2606"/>
    <w:rsid w:val="64DD5792"/>
    <w:rsid w:val="64DE1E6E"/>
    <w:rsid w:val="64EE6ACB"/>
    <w:rsid w:val="64EF27FA"/>
    <w:rsid w:val="64EF4547"/>
    <w:rsid w:val="64FA5F1C"/>
    <w:rsid w:val="6518584B"/>
    <w:rsid w:val="65235D36"/>
    <w:rsid w:val="652561BA"/>
    <w:rsid w:val="652650AB"/>
    <w:rsid w:val="65294EB6"/>
    <w:rsid w:val="652B1CF1"/>
    <w:rsid w:val="652B66B6"/>
    <w:rsid w:val="65347477"/>
    <w:rsid w:val="653528A1"/>
    <w:rsid w:val="65360DCB"/>
    <w:rsid w:val="654346AC"/>
    <w:rsid w:val="65464907"/>
    <w:rsid w:val="654F3237"/>
    <w:rsid w:val="655F347A"/>
    <w:rsid w:val="656071F2"/>
    <w:rsid w:val="656C2C43"/>
    <w:rsid w:val="6578453C"/>
    <w:rsid w:val="657D1B52"/>
    <w:rsid w:val="65BA6903"/>
    <w:rsid w:val="65C6174B"/>
    <w:rsid w:val="65D54EBE"/>
    <w:rsid w:val="65E52C9E"/>
    <w:rsid w:val="65EA330C"/>
    <w:rsid w:val="66063AC3"/>
    <w:rsid w:val="662002BD"/>
    <w:rsid w:val="66240220"/>
    <w:rsid w:val="66307E21"/>
    <w:rsid w:val="6655487D"/>
    <w:rsid w:val="665B6338"/>
    <w:rsid w:val="66652D12"/>
    <w:rsid w:val="66664CDC"/>
    <w:rsid w:val="667D2685"/>
    <w:rsid w:val="66856845"/>
    <w:rsid w:val="668D2269"/>
    <w:rsid w:val="66911D59"/>
    <w:rsid w:val="66A76FE0"/>
    <w:rsid w:val="66A95367"/>
    <w:rsid w:val="66B6543A"/>
    <w:rsid w:val="66C0263F"/>
    <w:rsid w:val="66E3632D"/>
    <w:rsid w:val="66EC3434"/>
    <w:rsid w:val="66EC6F90"/>
    <w:rsid w:val="66F61BBC"/>
    <w:rsid w:val="670E316A"/>
    <w:rsid w:val="670F0ED0"/>
    <w:rsid w:val="671F7AF2"/>
    <w:rsid w:val="673821D5"/>
    <w:rsid w:val="673B7F17"/>
    <w:rsid w:val="674F751F"/>
    <w:rsid w:val="675872FB"/>
    <w:rsid w:val="677840D9"/>
    <w:rsid w:val="678B53FE"/>
    <w:rsid w:val="678D13F1"/>
    <w:rsid w:val="679338AF"/>
    <w:rsid w:val="679B2764"/>
    <w:rsid w:val="67A67B51"/>
    <w:rsid w:val="67AE2497"/>
    <w:rsid w:val="67B14C3E"/>
    <w:rsid w:val="67BD7FA8"/>
    <w:rsid w:val="67C717AB"/>
    <w:rsid w:val="67CC2654"/>
    <w:rsid w:val="67D143D7"/>
    <w:rsid w:val="67D55C76"/>
    <w:rsid w:val="67DD6345"/>
    <w:rsid w:val="67DF4D46"/>
    <w:rsid w:val="67E05DA8"/>
    <w:rsid w:val="68071BA7"/>
    <w:rsid w:val="681C25B2"/>
    <w:rsid w:val="681F3395"/>
    <w:rsid w:val="682A770D"/>
    <w:rsid w:val="68346DDC"/>
    <w:rsid w:val="683F7593"/>
    <w:rsid w:val="68572B2F"/>
    <w:rsid w:val="68680898"/>
    <w:rsid w:val="686A6291"/>
    <w:rsid w:val="686F79F8"/>
    <w:rsid w:val="68815DFE"/>
    <w:rsid w:val="6888718C"/>
    <w:rsid w:val="68AA0EB0"/>
    <w:rsid w:val="68D6620B"/>
    <w:rsid w:val="68E24AEE"/>
    <w:rsid w:val="68F03827"/>
    <w:rsid w:val="69004F74"/>
    <w:rsid w:val="69352832"/>
    <w:rsid w:val="69434F57"/>
    <w:rsid w:val="69564B94"/>
    <w:rsid w:val="696073DC"/>
    <w:rsid w:val="69804C36"/>
    <w:rsid w:val="69877444"/>
    <w:rsid w:val="69AC0C58"/>
    <w:rsid w:val="69B57B99"/>
    <w:rsid w:val="69C05F4E"/>
    <w:rsid w:val="69D501AF"/>
    <w:rsid w:val="69DB153D"/>
    <w:rsid w:val="69EA352F"/>
    <w:rsid w:val="69F66377"/>
    <w:rsid w:val="6A0D5B9B"/>
    <w:rsid w:val="6A114F5F"/>
    <w:rsid w:val="6A241F3B"/>
    <w:rsid w:val="6A2473ED"/>
    <w:rsid w:val="6A287E60"/>
    <w:rsid w:val="6A3B4659"/>
    <w:rsid w:val="6A3C05FF"/>
    <w:rsid w:val="6A4B28BE"/>
    <w:rsid w:val="6A4E24D0"/>
    <w:rsid w:val="6A7A2B04"/>
    <w:rsid w:val="6A813E93"/>
    <w:rsid w:val="6A9E67F3"/>
    <w:rsid w:val="6AA14048"/>
    <w:rsid w:val="6AD71D05"/>
    <w:rsid w:val="6ADE7537"/>
    <w:rsid w:val="6AE24850"/>
    <w:rsid w:val="6AE83F12"/>
    <w:rsid w:val="6AF4280F"/>
    <w:rsid w:val="6AF87310"/>
    <w:rsid w:val="6B005A62"/>
    <w:rsid w:val="6B086362"/>
    <w:rsid w:val="6B13771A"/>
    <w:rsid w:val="6B1E16BC"/>
    <w:rsid w:val="6B252A70"/>
    <w:rsid w:val="6B2F7D93"/>
    <w:rsid w:val="6B3B2294"/>
    <w:rsid w:val="6B41058A"/>
    <w:rsid w:val="6B4E646B"/>
    <w:rsid w:val="6B5B4551"/>
    <w:rsid w:val="6B6569A6"/>
    <w:rsid w:val="6B673089"/>
    <w:rsid w:val="6B686E01"/>
    <w:rsid w:val="6B6E08BB"/>
    <w:rsid w:val="6B762F90"/>
    <w:rsid w:val="6B7F622B"/>
    <w:rsid w:val="6B9E091B"/>
    <w:rsid w:val="6BAC4F3F"/>
    <w:rsid w:val="6BB35194"/>
    <w:rsid w:val="6BB838E4"/>
    <w:rsid w:val="6BD526E8"/>
    <w:rsid w:val="6BDA5EC8"/>
    <w:rsid w:val="6C033B97"/>
    <w:rsid w:val="6C553829"/>
    <w:rsid w:val="6C55581A"/>
    <w:rsid w:val="6C5A2BED"/>
    <w:rsid w:val="6C891725"/>
    <w:rsid w:val="6C8918C9"/>
    <w:rsid w:val="6C9C6D62"/>
    <w:rsid w:val="6CAB51F7"/>
    <w:rsid w:val="6CB56E6E"/>
    <w:rsid w:val="6CC91B21"/>
    <w:rsid w:val="6CC938CF"/>
    <w:rsid w:val="6CD22FA1"/>
    <w:rsid w:val="6CD96208"/>
    <w:rsid w:val="6CE26729"/>
    <w:rsid w:val="6CE32BE3"/>
    <w:rsid w:val="6CEE44AF"/>
    <w:rsid w:val="6CF50B68"/>
    <w:rsid w:val="6D056FFD"/>
    <w:rsid w:val="6D066D31"/>
    <w:rsid w:val="6D0A227B"/>
    <w:rsid w:val="6D0B038C"/>
    <w:rsid w:val="6D1014FE"/>
    <w:rsid w:val="6D174F7D"/>
    <w:rsid w:val="6D282EEB"/>
    <w:rsid w:val="6D310178"/>
    <w:rsid w:val="6D400035"/>
    <w:rsid w:val="6D45328D"/>
    <w:rsid w:val="6D480C98"/>
    <w:rsid w:val="6D5835D1"/>
    <w:rsid w:val="6D7E2F42"/>
    <w:rsid w:val="6DDA2238"/>
    <w:rsid w:val="6DEC1B08"/>
    <w:rsid w:val="6DF130DE"/>
    <w:rsid w:val="6E005A16"/>
    <w:rsid w:val="6E0462F3"/>
    <w:rsid w:val="6E0E1709"/>
    <w:rsid w:val="6E1748BF"/>
    <w:rsid w:val="6E245261"/>
    <w:rsid w:val="6E292877"/>
    <w:rsid w:val="6E2C680B"/>
    <w:rsid w:val="6E5B49FB"/>
    <w:rsid w:val="6E5D4C17"/>
    <w:rsid w:val="6E623FDB"/>
    <w:rsid w:val="6E7004A6"/>
    <w:rsid w:val="6E781A51"/>
    <w:rsid w:val="6E804461"/>
    <w:rsid w:val="6E9028F6"/>
    <w:rsid w:val="6E9C74ED"/>
    <w:rsid w:val="6EAF35C0"/>
    <w:rsid w:val="6EB32A89"/>
    <w:rsid w:val="6EC910AF"/>
    <w:rsid w:val="6ECC1292"/>
    <w:rsid w:val="6ED76777"/>
    <w:rsid w:val="6F024984"/>
    <w:rsid w:val="6F215C44"/>
    <w:rsid w:val="6F3901DC"/>
    <w:rsid w:val="6F611B12"/>
    <w:rsid w:val="6FA06B69"/>
    <w:rsid w:val="6FA6614D"/>
    <w:rsid w:val="6FB12561"/>
    <w:rsid w:val="6FBA669E"/>
    <w:rsid w:val="6FC65335"/>
    <w:rsid w:val="6FD76303"/>
    <w:rsid w:val="6FD9207B"/>
    <w:rsid w:val="6FDE58E3"/>
    <w:rsid w:val="6FF375E1"/>
    <w:rsid w:val="70291255"/>
    <w:rsid w:val="70333E81"/>
    <w:rsid w:val="703C2DB9"/>
    <w:rsid w:val="704D0C3E"/>
    <w:rsid w:val="705C33D8"/>
    <w:rsid w:val="70647A5F"/>
    <w:rsid w:val="70670E9E"/>
    <w:rsid w:val="706D25DF"/>
    <w:rsid w:val="7081689B"/>
    <w:rsid w:val="70923DA3"/>
    <w:rsid w:val="709A2139"/>
    <w:rsid w:val="709D59AA"/>
    <w:rsid w:val="709E5C0C"/>
    <w:rsid w:val="70A22DB5"/>
    <w:rsid w:val="70BB1864"/>
    <w:rsid w:val="70C1148D"/>
    <w:rsid w:val="70CD1E2F"/>
    <w:rsid w:val="70CD37E5"/>
    <w:rsid w:val="70DF7B65"/>
    <w:rsid w:val="70EE3D5A"/>
    <w:rsid w:val="70FC24C5"/>
    <w:rsid w:val="71063344"/>
    <w:rsid w:val="710B44B6"/>
    <w:rsid w:val="710E21F8"/>
    <w:rsid w:val="71213CDA"/>
    <w:rsid w:val="712244BF"/>
    <w:rsid w:val="71321169"/>
    <w:rsid w:val="713C4FB8"/>
    <w:rsid w:val="713F6856"/>
    <w:rsid w:val="71835A78"/>
    <w:rsid w:val="71922E29"/>
    <w:rsid w:val="71995F66"/>
    <w:rsid w:val="71A04EB5"/>
    <w:rsid w:val="71A46AF5"/>
    <w:rsid w:val="71AA1F21"/>
    <w:rsid w:val="71B0505E"/>
    <w:rsid w:val="71B42DA0"/>
    <w:rsid w:val="71C32FE3"/>
    <w:rsid w:val="71C40D6E"/>
    <w:rsid w:val="71CB1E97"/>
    <w:rsid w:val="71ED29B8"/>
    <w:rsid w:val="721D6B97"/>
    <w:rsid w:val="7239166B"/>
    <w:rsid w:val="72447FC9"/>
    <w:rsid w:val="725F0F5E"/>
    <w:rsid w:val="726A16B0"/>
    <w:rsid w:val="72800ED4"/>
    <w:rsid w:val="728926E9"/>
    <w:rsid w:val="728937D0"/>
    <w:rsid w:val="728B1D53"/>
    <w:rsid w:val="7296312A"/>
    <w:rsid w:val="72BA25EB"/>
    <w:rsid w:val="72BC63B0"/>
    <w:rsid w:val="72C15774"/>
    <w:rsid w:val="72CD7B87"/>
    <w:rsid w:val="72DE40C1"/>
    <w:rsid w:val="732A1122"/>
    <w:rsid w:val="733221CE"/>
    <w:rsid w:val="735208C1"/>
    <w:rsid w:val="73532145"/>
    <w:rsid w:val="736E5623"/>
    <w:rsid w:val="73716BF4"/>
    <w:rsid w:val="738A11EB"/>
    <w:rsid w:val="738B18DE"/>
    <w:rsid w:val="73A86934"/>
    <w:rsid w:val="73AF4223"/>
    <w:rsid w:val="73C45764"/>
    <w:rsid w:val="73CD639B"/>
    <w:rsid w:val="73DF3DC7"/>
    <w:rsid w:val="73E831D5"/>
    <w:rsid w:val="73E84F83"/>
    <w:rsid w:val="73F13E37"/>
    <w:rsid w:val="73FC0A2E"/>
    <w:rsid w:val="741B0EB4"/>
    <w:rsid w:val="742C1313"/>
    <w:rsid w:val="74341F76"/>
    <w:rsid w:val="74496C98"/>
    <w:rsid w:val="745148D6"/>
    <w:rsid w:val="74600FBD"/>
    <w:rsid w:val="746C7962"/>
    <w:rsid w:val="746F5AA3"/>
    <w:rsid w:val="74732A9E"/>
    <w:rsid w:val="747D391D"/>
    <w:rsid w:val="7487479C"/>
    <w:rsid w:val="74936C9D"/>
    <w:rsid w:val="74975A1E"/>
    <w:rsid w:val="74A25132"/>
    <w:rsid w:val="74B60BDD"/>
    <w:rsid w:val="74BB4445"/>
    <w:rsid w:val="74E1661C"/>
    <w:rsid w:val="74FF6D12"/>
    <w:rsid w:val="751604DE"/>
    <w:rsid w:val="75181898"/>
    <w:rsid w:val="752D5343"/>
    <w:rsid w:val="7533222E"/>
    <w:rsid w:val="753B10E2"/>
    <w:rsid w:val="754D4D81"/>
    <w:rsid w:val="755F3023"/>
    <w:rsid w:val="75640B68"/>
    <w:rsid w:val="756B19C7"/>
    <w:rsid w:val="7590723C"/>
    <w:rsid w:val="75B14314"/>
    <w:rsid w:val="75CF01A8"/>
    <w:rsid w:val="75D05CCE"/>
    <w:rsid w:val="75D752AF"/>
    <w:rsid w:val="75EB48B6"/>
    <w:rsid w:val="75FA2D4B"/>
    <w:rsid w:val="760140DA"/>
    <w:rsid w:val="76053BCA"/>
    <w:rsid w:val="760A7432"/>
    <w:rsid w:val="760D2A7F"/>
    <w:rsid w:val="76251CA4"/>
    <w:rsid w:val="76373F9F"/>
    <w:rsid w:val="76374252"/>
    <w:rsid w:val="764861AD"/>
    <w:rsid w:val="764D1B64"/>
    <w:rsid w:val="765B5EE0"/>
    <w:rsid w:val="76685F07"/>
    <w:rsid w:val="766E26D2"/>
    <w:rsid w:val="7682346D"/>
    <w:rsid w:val="768A639E"/>
    <w:rsid w:val="76AC673B"/>
    <w:rsid w:val="76C30DC7"/>
    <w:rsid w:val="76CA6003"/>
    <w:rsid w:val="76D11CFE"/>
    <w:rsid w:val="77073972"/>
    <w:rsid w:val="770D0917"/>
    <w:rsid w:val="771D6F5D"/>
    <w:rsid w:val="772B086F"/>
    <w:rsid w:val="77380003"/>
    <w:rsid w:val="7746449A"/>
    <w:rsid w:val="77672662"/>
    <w:rsid w:val="776E39F1"/>
    <w:rsid w:val="77752FD1"/>
    <w:rsid w:val="7778661E"/>
    <w:rsid w:val="777D1E86"/>
    <w:rsid w:val="77877914"/>
    <w:rsid w:val="778C5026"/>
    <w:rsid w:val="77950F7E"/>
    <w:rsid w:val="779C230C"/>
    <w:rsid w:val="77A375EC"/>
    <w:rsid w:val="77AE5B7C"/>
    <w:rsid w:val="77B315A4"/>
    <w:rsid w:val="77D93560"/>
    <w:rsid w:val="77E93077"/>
    <w:rsid w:val="77EB6DF0"/>
    <w:rsid w:val="77ED0E77"/>
    <w:rsid w:val="77EE51AD"/>
    <w:rsid w:val="77FC7B6B"/>
    <w:rsid w:val="78056103"/>
    <w:rsid w:val="780B7492"/>
    <w:rsid w:val="780F6F82"/>
    <w:rsid w:val="783E7867"/>
    <w:rsid w:val="784309DA"/>
    <w:rsid w:val="784B658D"/>
    <w:rsid w:val="785A26AB"/>
    <w:rsid w:val="786C6182"/>
    <w:rsid w:val="786F17CF"/>
    <w:rsid w:val="786F7A21"/>
    <w:rsid w:val="7875635D"/>
    <w:rsid w:val="78886D34"/>
    <w:rsid w:val="788A6608"/>
    <w:rsid w:val="78915BE9"/>
    <w:rsid w:val="78A37352"/>
    <w:rsid w:val="78A53442"/>
    <w:rsid w:val="78AA2807"/>
    <w:rsid w:val="78B35B5F"/>
    <w:rsid w:val="78D83818"/>
    <w:rsid w:val="78E24696"/>
    <w:rsid w:val="78F079E2"/>
    <w:rsid w:val="78F47F26"/>
    <w:rsid w:val="78F66111"/>
    <w:rsid w:val="790463BB"/>
    <w:rsid w:val="79050385"/>
    <w:rsid w:val="79053EE1"/>
    <w:rsid w:val="790C314B"/>
    <w:rsid w:val="790D44A7"/>
    <w:rsid w:val="79112886"/>
    <w:rsid w:val="79145EE6"/>
    <w:rsid w:val="79147BBC"/>
    <w:rsid w:val="79192242"/>
    <w:rsid w:val="7923331A"/>
    <w:rsid w:val="79273E57"/>
    <w:rsid w:val="79310391"/>
    <w:rsid w:val="79344916"/>
    <w:rsid w:val="793B1F63"/>
    <w:rsid w:val="7976483F"/>
    <w:rsid w:val="7977015A"/>
    <w:rsid w:val="797B41A3"/>
    <w:rsid w:val="79856DD0"/>
    <w:rsid w:val="799C0BF8"/>
    <w:rsid w:val="79B53B29"/>
    <w:rsid w:val="79BF195F"/>
    <w:rsid w:val="79CE69C9"/>
    <w:rsid w:val="79D32B34"/>
    <w:rsid w:val="79E82FA9"/>
    <w:rsid w:val="79F91C98"/>
    <w:rsid w:val="7A2C1A86"/>
    <w:rsid w:val="7A401675"/>
    <w:rsid w:val="7A401DD9"/>
    <w:rsid w:val="7A460C55"/>
    <w:rsid w:val="7A5E781D"/>
    <w:rsid w:val="7A6370D6"/>
    <w:rsid w:val="7A666C01"/>
    <w:rsid w:val="7A70182E"/>
    <w:rsid w:val="7A752342"/>
    <w:rsid w:val="7A94551C"/>
    <w:rsid w:val="7A950C44"/>
    <w:rsid w:val="7AB94F83"/>
    <w:rsid w:val="7AC8398B"/>
    <w:rsid w:val="7AC95903"/>
    <w:rsid w:val="7ADB314B"/>
    <w:rsid w:val="7AE26F23"/>
    <w:rsid w:val="7AE632E9"/>
    <w:rsid w:val="7AE65D93"/>
    <w:rsid w:val="7AF72273"/>
    <w:rsid w:val="7B022DCE"/>
    <w:rsid w:val="7B02692A"/>
    <w:rsid w:val="7B09415C"/>
    <w:rsid w:val="7B0A24B6"/>
    <w:rsid w:val="7B0D52CF"/>
    <w:rsid w:val="7B113011"/>
    <w:rsid w:val="7B446F42"/>
    <w:rsid w:val="7B5D6256"/>
    <w:rsid w:val="7B656EB9"/>
    <w:rsid w:val="7B700006"/>
    <w:rsid w:val="7B726150"/>
    <w:rsid w:val="7B762E74"/>
    <w:rsid w:val="7B8732D3"/>
    <w:rsid w:val="7B8C2698"/>
    <w:rsid w:val="7B9003DA"/>
    <w:rsid w:val="7B931C78"/>
    <w:rsid w:val="7B93307C"/>
    <w:rsid w:val="7BA23C69"/>
    <w:rsid w:val="7BB10350"/>
    <w:rsid w:val="7BE129E3"/>
    <w:rsid w:val="7BE572EC"/>
    <w:rsid w:val="7C025685"/>
    <w:rsid w:val="7C07017F"/>
    <w:rsid w:val="7C1103AD"/>
    <w:rsid w:val="7C122B9D"/>
    <w:rsid w:val="7C1745DC"/>
    <w:rsid w:val="7C1A5EF5"/>
    <w:rsid w:val="7C1E3C37"/>
    <w:rsid w:val="7C340013"/>
    <w:rsid w:val="7C4411C4"/>
    <w:rsid w:val="7C571BDF"/>
    <w:rsid w:val="7C6B1F8D"/>
    <w:rsid w:val="7C737BAF"/>
    <w:rsid w:val="7C745605"/>
    <w:rsid w:val="7C7A6994"/>
    <w:rsid w:val="7C835849"/>
    <w:rsid w:val="7C8415C1"/>
    <w:rsid w:val="7C8D2159"/>
    <w:rsid w:val="7C907F65"/>
    <w:rsid w:val="7CBB3234"/>
    <w:rsid w:val="7CBD259D"/>
    <w:rsid w:val="7CD23CF7"/>
    <w:rsid w:val="7CD82038"/>
    <w:rsid w:val="7CEA58C8"/>
    <w:rsid w:val="7CF60F14"/>
    <w:rsid w:val="7D006E99"/>
    <w:rsid w:val="7D2D1C58"/>
    <w:rsid w:val="7D3B25C7"/>
    <w:rsid w:val="7D580A83"/>
    <w:rsid w:val="7D641B1E"/>
    <w:rsid w:val="7D6C452F"/>
    <w:rsid w:val="7D770206"/>
    <w:rsid w:val="7D7D673C"/>
    <w:rsid w:val="7D7E406F"/>
    <w:rsid w:val="7D871368"/>
    <w:rsid w:val="7D902913"/>
    <w:rsid w:val="7D925F29"/>
    <w:rsid w:val="7D935F5F"/>
    <w:rsid w:val="7D965A4F"/>
    <w:rsid w:val="7DAB14FB"/>
    <w:rsid w:val="7DB54128"/>
    <w:rsid w:val="7DB85415"/>
    <w:rsid w:val="7DBB0FBB"/>
    <w:rsid w:val="7DD520D4"/>
    <w:rsid w:val="7DEA15DA"/>
    <w:rsid w:val="7E004C20"/>
    <w:rsid w:val="7E0155BF"/>
    <w:rsid w:val="7E1330F6"/>
    <w:rsid w:val="7E1A3F8B"/>
    <w:rsid w:val="7E301A00"/>
    <w:rsid w:val="7E3F39F1"/>
    <w:rsid w:val="7E527BC8"/>
    <w:rsid w:val="7E6B317F"/>
    <w:rsid w:val="7E857F9E"/>
    <w:rsid w:val="7E966CB8"/>
    <w:rsid w:val="7E9A06A4"/>
    <w:rsid w:val="7EAD46E4"/>
    <w:rsid w:val="7EB4321E"/>
    <w:rsid w:val="7EB663A9"/>
    <w:rsid w:val="7EB73ECF"/>
    <w:rsid w:val="7EC01B9D"/>
    <w:rsid w:val="7EC34622"/>
    <w:rsid w:val="7ED42EAA"/>
    <w:rsid w:val="7F0A3FFF"/>
    <w:rsid w:val="7F2A6E09"/>
    <w:rsid w:val="7F2A7E75"/>
    <w:rsid w:val="7F403EC5"/>
    <w:rsid w:val="7F480FCB"/>
    <w:rsid w:val="7F5657F4"/>
    <w:rsid w:val="7F6556D9"/>
    <w:rsid w:val="7F792E5F"/>
    <w:rsid w:val="7F7B6CAB"/>
    <w:rsid w:val="7F857EEC"/>
    <w:rsid w:val="7F9A1827"/>
    <w:rsid w:val="7F9F127F"/>
    <w:rsid w:val="7FA51F7A"/>
    <w:rsid w:val="7FB328E9"/>
    <w:rsid w:val="7FBB554F"/>
    <w:rsid w:val="7FD5485F"/>
    <w:rsid w:val="7FF56A5D"/>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方正仿宋_GBK" w:cs="Times New Roman"/>
      <w:sz w:val="32"/>
      <w:szCs w:val="32"/>
      <w:lang w:val="en-US" w:eastAsia="zh-CN" w:bidi="ar-SA"/>
    </w:rPr>
  </w:style>
  <w:style w:type="paragraph" w:styleId="2">
    <w:name w:val="heading 1"/>
    <w:basedOn w:val="1"/>
    <w:next w:val="1"/>
    <w:link w:val="40"/>
    <w:qFormat/>
    <w:uiPriority w:val="0"/>
    <w:pPr>
      <w:keepNext/>
      <w:keepLines/>
      <w:spacing w:before="340" w:after="330" w:line="576" w:lineRule="auto"/>
      <w:outlineLvl w:val="0"/>
    </w:pPr>
    <w:rPr>
      <w:rFonts w:eastAsia="宋体"/>
      <w:b/>
      <w:kern w:val="44"/>
      <w:sz w:val="44"/>
    </w:rPr>
  </w:style>
  <w:style w:type="paragraph" w:styleId="3">
    <w:name w:val="heading 2"/>
    <w:basedOn w:val="1"/>
    <w:next w:val="1"/>
    <w:link w:val="41"/>
    <w:qFormat/>
    <w:uiPriority w:val="0"/>
    <w:pPr>
      <w:keepNext/>
      <w:keepLines/>
      <w:spacing w:before="260" w:after="260" w:line="415" w:lineRule="auto"/>
      <w:outlineLvl w:val="1"/>
    </w:pPr>
    <w:rPr>
      <w:rFonts w:ascii="Arial" w:hAnsi="Arial" w:eastAsia="黑体"/>
      <w:b/>
      <w:bCs/>
    </w:rPr>
  </w:style>
  <w:style w:type="paragraph" w:styleId="4">
    <w:name w:val="heading 3"/>
    <w:basedOn w:val="1"/>
    <w:next w:val="1"/>
    <w:qFormat/>
    <w:uiPriority w:val="0"/>
    <w:pPr>
      <w:keepNext/>
      <w:keepLines/>
      <w:spacing w:before="260" w:after="260" w:line="416" w:lineRule="auto"/>
      <w:outlineLvl w:val="2"/>
    </w:pPr>
    <w:rPr>
      <w:rFonts w:eastAsia="宋体"/>
      <w:b/>
      <w:bCs/>
    </w:rPr>
  </w:style>
  <w:style w:type="paragraph" w:styleId="5">
    <w:name w:val="heading 4"/>
    <w:basedOn w:val="1"/>
    <w:next w:val="1"/>
    <w:qFormat/>
    <w:uiPriority w:val="0"/>
    <w:pPr>
      <w:widowControl/>
      <w:spacing w:beforeAutospacing="1" w:afterAutospacing="1"/>
      <w:jc w:val="left"/>
      <w:outlineLvl w:val="3"/>
    </w:pPr>
    <w:rPr>
      <w:rFonts w:ascii="宋体" w:hAnsi="宋体" w:eastAsia="宋体" w:cs="宋体"/>
      <w:b/>
      <w:bCs/>
      <w:sz w:val="24"/>
    </w:rPr>
  </w:style>
  <w:style w:type="paragraph" w:styleId="6">
    <w:name w:val="heading 5"/>
    <w:basedOn w:val="1"/>
    <w:next w:val="1"/>
    <w:qFormat/>
    <w:uiPriority w:val="0"/>
    <w:pPr>
      <w:widowControl/>
      <w:spacing w:before="100" w:beforeAutospacing="1" w:after="100" w:afterAutospacing="1"/>
      <w:jc w:val="left"/>
      <w:outlineLvl w:val="4"/>
    </w:pPr>
    <w:rPr>
      <w:rFonts w:ascii="宋体" w:hAnsi="宋体" w:cs="宋体"/>
      <w:b/>
      <w:bCs/>
      <w:sz w:val="20"/>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480" w:lineRule="atLeast"/>
      <w:ind w:firstLine="600"/>
      <w:textAlignment w:val="baseline"/>
    </w:pPr>
    <w:rPr>
      <w:rFonts w:eastAsia="仿宋_GB2312"/>
      <w:sz w:val="30"/>
      <w:szCs w:val="20"/>
    </w:rPr>
  </w:style>
  <w:style w:type="paragraph" w:styleId="8">
    <w:name w:val="annotation text"/>
    <w:basedOn w:val="1"/>
    <w:qFormat/>
    <w:uiPriority w:val="0"/>
    <w:rPr>
      <w:rFonts w:eastAsia="宋体"/>
      <w:kern w:val="2"/>
      <w:sz w:val="21"/>
      <w:szCs w:val="24"/>
    </w:rPr>
  </w:style>
  <w:style w:type="paragraph" w:styleId="9">
    <w:name w:val="Body Text"/>
    <w:basedOn w:val="1"/>
    <w:next w:val="1"/>
    <w:qFormat/>
    <w:uiPriority w:val="0"/>
    <w:rPr>
      <w:rFonts w:eastAsia="宋体"/>
      <w:sz w:val="26"/>
    </w:rPr>
  </w:style>
  <w:style w:type="paragraph" w:styleId="10">
    <w:name w:val="Body Text Indent"/>
    <w:basedOn w:val="1"/>
    <w:qFormat/>
    <w:uiPriority w:val="0"/>
    <w:pPr>
      <w:spacing w:line="700" w:lineRule="exact"/>
      <w:ind w:left="960"/>
    </w:pPr>
    <w:rPr>
      <w:sz w:val="44"/>
    </w:rPr>
  </w:style>
  <w:style w:type="paragraph" w:styleId="11">
    <w:name w:val="List Bullet 2"/>
    <w:basedOn w:val="1"/>
    <w:qFormat/>
    <w:uiPriority w:val="0"/>
    <w:pPr>
      <w:numPr>
        <w:ilvl w:val="0"/>
        <w:numId w:val="1"/>
      </w:numPr>
    </w:pPr>
    <w:rPr>
      <w:rFonts w:eastAsia="宋体"/>
    </w:rPr>
  </w:style>
  <w:style w:type="paragraph" w:styleId="12">
    <w:name w:val="Plain Text"/>
    <w:basedOn w:val="1"/>
    <w:qFormat/>
    <w:uiPriority w:val="0"/>
    <w:rPr>
      <w:rFonts w:ascii="宋体" w:hAnsi="Courier New" w:eastAsia="宋体"/>
      <w:color w:val="000000"/>
      <w:szCs w:val="20"/>
    </w:rPr>
  </w:style>
  <w:style w:type="paragraph" w:styleId="13">
    <w:name w:val="Body Text Indent 2"/>
    <w:basedOn w:val="1"/>
    <w:qFormat/>
    <w:uiPriority w:val="0"/>
    <w:pPr>
      <w:widowControl/>
      <w:spacing w:line="480" w:lineRule="auto"/>
      <w:ind w:firstLine="560"/>
      <w:jc w:val="left"/>
    </w:pPr>
    <w:rPr>
      <w:sz w:val="28"/>
    </w:rPr>
  </w:style>
  <w:style w:type="paragraph" w:styleId="14">
    <w:name w:val="footer"/>
    <w:basedOn w:val="1"/>
    <w:qFormat/>
    <w:uiPriority w:val="0"/>
    <w:pPr>
      <w:tabs>
        <w:tab w:val="center" w:pos="4153"/>
        <w:tab w:val="right" w:pos="8306"/>
      </w:tabs>
      <w:snapToGrid w:val="0"/>
      <w:spacing w:line="240" w:lineRule="atLeast"/>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6">
    <w:name w:val="toc 1"/>
    <w:basedOn w:val="1"/>
    <w:next w:val="1"/>
    <w:qFormat/>
    <w:uiPriority w:val="0"/>
    <w:rPr>
      <w:rFonts w:eastAsia="宋体"/>
    </w:rPr>
  </w:style>
  <w:style w:type="paragraph" w:styleId="17">
    <w:name w:val="Subtitle"/>
    <w:basedOn w:val="1"/>
    <w:qFormat/>
    <w:uiPriority w:val="0"/>
    <w:pPr>
      <w:widowControl/>
      <w:jc w:val="center"/>
    </w:pPr>
    <w:rPr>
      <w:rFonts w:ascii="ˎ̥" w:hAnsi="ˎ̥" w:eastAsia="宋体"/>
      <w:sz w:val="24"/>
      <w:u w:val="single"/>
      <w:lang w:eastAsia="en-US"/>
    </w:rPr>
  </w:style>
  <w:style w:type="paragraph" w:styleId="18">
    <w:name w:val="toc 2"/>
    <w:basedOn w:val="1"/>
    <w:next w:val="1"/>
    <w:qFormat/>
    <w:uiPriority w:val="0"/>
    <w:pPr>
      <w:ind w:left="200" w:leftChars="200"/>
    </w:pPr>
    <w:rPr>
      <w:rFonts w:eastAsia="宋体"/>
    </w:rPr>
  </w:style>
  <w:style w:type="paragraph" w:styleId="19">
    <w:name w:val="Body Text 2"/>
    <w:basedOn w:val="1"/>
    <w:qFormat/>
    <w:uiPriority w:val="0"/>
    <w:rPr>
      <w:i/>
      <w:iCs/>
      <w:sz w:val="26"/>
    </w:rPr>
  </w:style>
  <w:style w:type="paragraph" w:styleId="20">
    <w:name w:val="Normal (Web)"/>
    <w:basedOn w:val="1"/>
    <w:qFormat/>
    <w:uiPriority w:val="0"/>
    <w:pPr>
      <w:jc w:val="left"/>
    </w:pPr>
    <w:rPr>
      <w:rFonts w:eastAsia="宋体"/>
      <w:sz w:val="24"/>
    </w:rPr>
  </w:style>
  <w:style w:type="paragraph" w:styleId="21">
    <w:name w:val="Title"/>
    <w:basedOn w:val="1"/>
    <w:next w:val="1"/>
    <w:qFormat/>
    <w:uiPriority w:val="0"/>
    <w:pPr>
      <w:widowControl/>
      <w:jc w:val="center"/>
    </w:pPr>
    <w:rPr>
      <w:sz w:val="20"/>
      <w:u w:val="single"/>
      <w:lang w:eastAsia="en-US"/>
    </w:rPr>
  </w:style>
  <w:style w:type="paragraph" w:styleId="22">
    <w:name w:val="Body Text First Indent"/>
    <w:basedOn w:val="9"/>
    <w:next w:val="23"/>
    <w:qFormat/>
    <w:uiPriority w:val="0"/>
    <w:pPr>
      <w:spacing w:after="120"/>
      <w:ind w:firstLine="420" w:firstLineChars="100"/>
    </w:pPr>
    <w:rPr>
      <w:rFonts w:ascii="Calibri" w:hAnsi="Calibri"/>
      <w:sz w:val="21"/>
    </w:rPr>
  </w:style>
  <w:style w:type="paragraph" w:styleId="23">
    <w:name w:val="Body Text First Indent 2"/>
    <w:basedOn w:val="10"/>
    <w:next w:val="1"/>
    <w:qFormat/>
    <w:uiPriority w:val="0"/>
    <w:pPr>
      <w:spacing w:after="120"/>
      <w:ind w:left="420" w:leftChars="200" w:firstLine="420" w:firstLineChars="200"/>
    </w:pPr>
  </w:style>
  <w:style w:type="table" w:styleId="25">
    <w:name w:val="Table Grid"/>
    <w:basedOn w:val="2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0"/>
    <w:rPr>
      <w:rFonts w:ascii="Times New Roman" w:hAnsi="Times New Roman" w:eastAsia="宋体" w:cs="Times New Roman"/>
    </w:rPr>
  </w:style>
  <w:style w:type="character" w:styleId="28">
    <w:name w:val="page number"/>
    <w:qFormat/>
    <w:uiPriority w:val="0"/>
    <w:rPr>
      <w:rFonts w:ascii="Times New Roman" w:hAnsi="Times New Roman" w:eastAsia="宋体" w:cs="Times New Roman"/>
    </w:rPr>
  </w:style>
  <w:style w:type="character" w:styleId="29">
    <w:name w:val="FollowedHyperlink"/>
    <w:qFormat/>
    <w:uiPriority w:val="0"/>
    <w:rPr>
      <w:rFonts w:ascii="Times New Roman" w:hAnsi="Times New Roman" w:eastAsia="宋体" w:cs="Times New Roman"/>
      <w:color w:val="800080"/>
      <w:u w:val="none"/>
    </w:rPr>
  </w:style>
  <w:style w:type="character" w:styleId="30">
    <w:name w:val="Emphasis"/>
    <w:qFormat/>
    <w:uiPriority w:val="0"/>
    <w:rPr>
      <w:rFonts w:ascii="Times New Roman" w:hAnsi="Times New Roman" w:eastAsia="宋体" w:cs="Times New Roman"/>
    </w:rPr>
  </w:style>
  <w:style w:type="character" w:styleId="31">
    <w:name w:val="HTML Definition"/>
    <w:qFormat/>
    <w:uiPriority w:val="0"/>
    <w:rPr>
      <w:rFonts w:ascii="Times New Roman" w:hAnsi="Times New Roman" w:eastAsia="宋体" w:cs="Times New Roman"/>
    </w:rPr>
  </w:style>
  <w:style w:type="character" w:styleId="32">
    <w:name w:val="HTML Typewriter"/>
    <w:qFormat/>
    <w:uiPriority w:val="0"/>
    <w:rPr>
      <w:rFonts w:ascii="monospace" w:hAnsi="monospace" w:eastAsia="monospace" w:cs="monospace"/>
      <w:sz w:val="20"/>
    </w:rPr>
  </w:style>
  <w:style w:type="character" w:styleId="33">
    <w:name w:val="HTML Acronym"/>
    <w:qFormat/>
    <w:uiPriority w:val="0"/>
    <w:rPr>
      <w:rFonts w:ascii="Times New Roman" w:hAnsi="Times New Roman" w:eastAsia="宋体" w:cs="Times New Roman"/>
    </w:rPr>
  </w:style>
  <w:style w:type="character" w:styleId="34">
    <w:name w:val="HTML Variable"/>
    <w:qFormat/>
    <w:uiPriority w:val="0"/>
    <w:rPr>
      <w:rFonts w:ascii="Times New Roman" w:hAnsi="Times New Roman" w:eastAsia="宋体" w:cs="Times New Roman"/>
    </w:rPr>
  </w:style>
  <w:style w:type="character" w:styleId="35">
    <w:name w:val="Hyperlink"/>
    <w:qFormat/>
    <w:uiPriority w:val="0"/>
    <w:rPr>
      <w:rFonts w:ascii="Times New Roman" w:hAnsi="Times New Roman" w:eastAsia="宋体" w:cs="Times New Roman"/>
      <w:color w:val="0000FF"/>
      <w:u w:val="single"/>
    </w:rPr>
  </w:style>
  <w:style w:type="character" w:styleId="36">
    <w:name w:val="HTML Code"/>
    <w:qFormat/>
    <w:uiPriority w:val="0"/>
    <w:rPr>
      <w:rFonts w:hint="default" w:ascii="monospace" w:hAnsi="monospace" w:eastAsia="monospace" w:cs="monospace"/>
      <w:sz w:val="20"/>
    </w:rPr>
  </w:style>
  <w:style w:type="character" w:styleId="37">
    <w:name w:val="HTML Cite"/>
    <w:qFormat/>
    <w:uiPriority w:val="0"/>
    <w:rPr>
      <w:rFonts w:ascii="Times New Roman" w:hAnsi="Times New Roman" w:eastAsia="宋体" w:cs="Times New Roman"/>
    </w:rPr>
  </w:style>
  <w:style w:type="character" w:styleId="38">
    <w:name w:val="HTML Keyboard"/>
    <w:qFormat/>
    <w:uiPriority w:val="0"/>
    <w:rPr>
      <w:rFonts w:hint="default" w:ascii="monospace" w:hAnsi="monospace" w:eastAsia="monospace" w:cs="monospace"/>
      <w:sz w:val="20"/>
    </w:rPr>
  </w:style>
  <w:style w:type="character" w:styleId="39">
    <w:name w:val="HTML Sample"/>
    <w:qFormat/>
    <w:uiPriority w:val="0"/>
    <w:rPr>
      <w:rFonts w:hint="default" w:ascii="monospace" w:hAnsi="monospace" w:eastAsia="monospace" w:cs="monospace"/>
    </w:rPr>
  </w:style>
  <w:style w:type="character" w:customStyle="1" w:styleId="40">
    <w:name w:val="标题 1 字符"/>
    <w:link w:val="2"/>
    <w:qFormat/>
    <w:uiPriority w:val="0"/>
    <w:rPr>
      <w:rFonts w:ascii="Times New Roman" w:hAnsi="Times New Roman" w:eastAsia="宋体" w:cs="Times New Roman"/>
      <w:b/>
      <w:kern w:val="44"/>
      <w:sz w:val="44"/>
    </w:rPr>
  </w:style>
  <w:style w:type="character" w:customStyle="1" w:styleId="41">
    <w:name w:val="标题 2 字符"/>
    <w:link w:val="3"/>
    <w:qFormat/>
    <w:uiPriority w:val="0"/>
    <w:rPr>
      <w:rFonts w:ascii="Arial" w:hAnsi="Arial" w:eastAsia="黑体" w:cs="Times New Roman"/>
      <w:b/>
      <w:bCs/>
    </w:rPr>
  </w:style>
  <w:style w:type="paragraph" w:customStyle="1" w:styleId="42">
    <w:name w:val="Default"/>
    <w:next w:val="1"/>
    <w:qFormat/>
    <w:uiPriority w:val="0"/>
    <w:pPr>
      <w:widowControl w:val="0"/>
      <w:autoSpaceDE w:val="0"/>
      <w:autoSpaceDN w:val="0"/>
      <w:adjustRightInd w:val="0"/>
    </w:pPr>
    <w:rPr>
      <w:rFonts w:hint="eastAsia" w:ascii="Times New Roman" w:hAnsi="Times New Roman" w:eastAsia="Times New Roman" w:cs="Times New Roman"/>
      <w:color w:val="000000"/>
      <w:sz w:val="24"/>
      <w:szCs w:val="22"/>
      <w:lang w:val="en-US" w:eastAsia="zh-CN" w:bidi="ar-SA"/>
    </w:rPr>
  </w:style>
  <w:style w:type="paragraph" w:customStyle="1" w:styleId="43">
    <w:name w:val="扉首"/>
    <w:basedOn w:val="1"/>
    <w:qFormat/>
    <w:uiPriority w:val="0"/>
    <w:pPr>
      <w:spacing w:line="480" w:lineRule="auto"/>
      <w:ind w:firstLine="560"/>
      <w:jc w:val="center"/>
    </w:pPr>
    <w:rPr>
      <w:rFonts w:ascii="黑体" w:hAnsi="黑体" w:eastAsia="仿宋_GB2312" w:cs="黑体"/>
      <w:b/>
      <w:color w:val="000000"/>
      <w:kern w:val="1"/>
      <w:sz w:val="52"/>
    </w:rPr>
  </w:style>
  <w:style w:type="paragraph" w:customStyle="1" w:styleId="44">
    <w:name w:val="正  文"/>
    <w:basedOn w:val="1"/>
    <w:qFormat/>
    <w:uiPriority w:val="0"/>
    <w:pPr>
      <w:spacing w:line="360" w:lineRule="auto"/>
      <w:ind w:firstLine="200" w:firstLineChars="200"/>
    </w:pPr>
    <w:rPr>
      <w:rFonts w:ascii="宋体" w:eastAsia="宋体"/>
      <w:sz w:val="24"/>
    </w:rPr>
  </w:style>
  <w:style w:type="paragraph" w:customStyle="1" w:styleId="45">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46">
    <w:name w:val="_Style 3"/>
    <w:basedOn w:val="1"/>
    <w:qFormat/>
    <w:uiPriority w:val="0"/>
    <w:pPr>
      <w:ind w:firstLine="420" w:firstLineChars="200"/>
    </w:pPr>
    <w:rPr>
      <w:rFonts w:eastAsia="宋体"/>
    </w:rPr>
  </w:style>
  <w:style w:type="paragraph" w:customStyle="1" w:styleId="47">
    <w:name w:val="Table Paragraph"/>
    <w:basedOn w:val="1"/>
    <w:qFormat/>
    <w:uiPriority w:val="0"/>
    <w:rPr>
      <w:rFonts w:eastAsia="宋体"/>
    </w:rPr>
  </w:style>
  <w:style w:type="table" w:customStyle="1" w:styleId="48">
    <w:name w:val="Table Normal"/>
    <w:qFormat/>
    <w:uiPriority w:val="0"/>
    <w:tblPr>
      <w:tblCellMar>
        <w:top w:w="0" w:type="dxa"/>
        <w:left w:w="0" w:type="dxa"/>
        <w:bottom w:w="0" w:type="dxa"/>
        <w:right w:w="0" w:type="dxa"/>
      </w:tblCellMar>
    </w:tblPr>
  </w:style>
  <w:style w:type="paragraph" w:customStyle="1" w:styleId="49">
    <w:name w:val="列出段落1"/>
    <w:basedOn w:val="1"/>
    <w:qFormat/>
    <w:uiPriority w:val="0"/>
    <w:pPr>
      <w:ind w:firstLine="420" w:firstLineChars="200"/>
    </w:pPr>
    <w:rPr>
      <w:rFonts w:eastAsia="宋体"/>
      <w:sz w:val="28"/>
      <w:szCs w:val="28"/>
    </w:rPr>
  </w:style>
  <w:style w:type="paragraph" w:customStyle="1" w:styleId="50">
    <w:name w:val="合同条款1.1"/>
    <w:basedOn w:val="1"/>
    <w:qFormat/>
    <w:uiPriority w:val="0"/>
    <w:pPr>
      <w:spacing w:line="360" w:lineRule="auto"/>
      <w:jc w:val="left"/>
    </w:pPr>
    <w:rPr>
      <w:rFonts w:eastAsia="宋体"/>
      <w:b/>
    </w:rPr>
  </w:style>
  <w:style w:type="paragraph" w:customStyle="1" w:styleId="51">
    <w:name w:val="pa-34"/>
    <w:basedOn w:val="1"/>
    <w:qFormat/>
    <w:uiPriority w:val="0"/>
    <w:pPr>
      <w:widowControl/>
      <w:spacing w:line="360" w:lineRule="atLeast"/>
      <w:ind w:firstLine="420"/>
      <w:jc w:val="left"/>
    </w:pPr>
    <w:rPr>
      <w:rFonts w:ascii="宋体" w:hAnsi="宋体" w:cs="宋体"/>
      <w:sz w:val="24"/>
    </w:rPr>
  </w:style>
  <w:style w:type="paragraph" w:customStyle="1" w:styleId="52">
    <w:name w:val="列出段落12"/>
    <w:basedOn w:val="1"/>
    <w:qFormat/>
    <w:uiPriority w:val="0"/>
    <w:pPr>
      <w:ind w:firstLine="420" w:firstLineChars="200"/>
    </w:pPr>
    <w:rPr>
      <w:sz w:val="28"/>
      <w:szCs w:val="28"/>
    </w:rPr>
  </w:style>
  <w:style w:type="paragraph" w:customStyle="1" w:styleId="53">
    <w:name w:val="Body text|1"/>
    <w:basedOn w:val="1"/>
    <w:qFormat/>
    <w:uiPriority w:val="0"/>
    <w:pPr>
      <w:spacing w:line="439" w:lineRule="auto"/>
      <w:ind w:firstLine="400"/>
    </w:pPr>
    <w:rPr>
      <w:rFonts w:ascii="宋体" w:hAnsi="宋体" w:cs="宋体"/>
      <w:sz w:val="30"/>
      <w:szCs w:val="30"/>
      <w:lang w:val="zh-TW" w:eastAsia="zh-TW" w:bidi="zh-TW"/>
    </w:rPr>
  </w:style>
  <w:style w:type="paragraph" w:customStyle="1" w:styleId="54">
    <w:name w:val="索引 411"/>
    <w:basedOn w:val="1"/>
    <w:next w:val="1"/>
    <w:unhideWhenUsed/>
    <w:qFormat/>
    <w:uiPriority w:val="99"/>
    <w:pPr>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065;&#37326;&#20892;&#36259;&#20048;&#27963;&#21306;&#20892;&#30000;&#25913;&#36896;&#24037;&#31243;&#31454;&#20105;&#24615;&#27604;&#36873;&#25991;&#20214;-071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乡野农趣乐活区农田改造工程竞争性比选文件-0712(2).wpt</Template>
  <Pages>70</Pages>
  <Words>25927</Words>
  <Characters>27491</Characters>
  <Lines>1103</Lines>
  <Paragraphs>863</Paragraphs>
  <TotalTime>19</TotalTime>
  <ScaleCrop>false</ScaleCrop>
  <LinksUpToDate>false</LinksUpToDate>
  <CharactersWithSpaces>30334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2022-07-12T09:24:00Z</dcterms:created>
  <dc:creator>Administrator</dc:creator>
  <cp:lastModifiedBy> </cp:lastModifiedBy>
  <cp:lastPrinted>2024-07-03T07:38:00Z</cp:lastPrinted>
  <dcterms:modified xsi:type="dcterms:W3CDTF">2026-01-27T10:06:21Z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355ED581EF9548E5889A198D340476F9_13</vt:lpwstr>
  </property>
  <property fmtid="{D5CDD505-2E9C-101B-9397-08002B2CF9AE}" pid="4" name="KSOTemplateDocerSaveRecord">
    <vt:lpwstr>eyJoZGlkIjoiOWUxOGExZTU2YmJjNDk4YzM0OWNmNDE4YjNmNmJhMDIiLCJ1c2VySWQiOiIxMTMyNDk2OTU3In0=</vt:lpwstr>
  </property>
</Properties>
</file>